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the config file it read: </w:t>
      </w:r>
      <w:r>
        <w:rPr>
          <w:rStyle w:val="SourceText"/>
        </w:rPr>
        <w:t>.crew/config.json</w:t>
      </w:r>
      <w:r>
        <w:rPr/>
        <w:t xml:space="preserve"> for a repository </w:t>
      </w:r>
      <w:r>
        <w:rPr>
          <w:rStyle w:val="SourceText"/>
        </w:rPr>
        <w:t>/crew:init</w:t>
      </w:r>
      <w:r>
        <w:rPr/>
        <w:t xml:space="preserve"> set up, ending </w:t>
      </w:r>
      <w:r>
        <w:rPr>
          <w:rStyle w:val="SourceText"/>
        </w:rPr>
        <w:t>run /crew:migrate</w:t>
      </w:r>
      <w:r>
        <w:rPr/>
        <w:t xml:space="preserve"> only when that file still holds a 0.20 setup, or </w:t>
      </w:r>
      <w:r>
        <w:rPr>
          <w:rStyle w:val="SourceText"/>
        </w:rPr>
        <w:t>.crew/crew.json</w:t>
      </w:r>
      <w:r>
        <w:rPr/>
        <w:t xml:space="preserve"> once </w:t>
      </w:r>
      <w:r>
        <w:rPr>
          <w:rStyle w:val="SourceText"/>
        </w:rPr>
        <w:t>/crew:migrate</w:t>
      </w:r>
      <w:r>
        <w:rPr/>
        <w:t xml:space="preserve"> has run;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2926" w:type="dxa"/>
        <w:jc w:val="left"/>
        <w:tblInd w:w="28" w:type="dxa"/>
        <w:tblLayout w:type="fixed"/>
        <w:tblCellMar>
          <w:top w:w="28" w:type="dxa"/>
          <w:left w:w="28" w:type="dxa"/>
          <w:bottom w:w="28" w:type="dxa"/>
          <w:right w:w="28" w:type="dxa"/>
        </w:tblCellMar>
      </w:tblPr>
      <w:tblGrid>
        <w:gridCol w:w="2119"/>
        <w:gridCol w:w="2456"/>
        <w:gridCol w:w="2808"/>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808"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808"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808"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808"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808"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808"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808"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808"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2808"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808"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808"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808"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48" w:type="dxa"/>
            <w:tcBorders/>
            <w:vAlign w:val="center"/>
          </w:tcPr>
          <w:p>
            <w:pPr>
              <w:pStyle w:val="TableContents"/>
              <w:shd w:fill="2E3440" w:val="clear"/>
              <w:bidi w:val="0"/>
              <w:spacing w:before="120" w:after="120"/>
              <w:jc w:val="left"/>
              <w:rPr/>
            </w:pPr>
            <w:r>
              <w:rPr/>
              <w:t>off</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808"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808"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808"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ourceText"/>
        </w:rPr>
        <w:t>excluded path changed: &lt;path&gt; (receipt base -&gt; reviewed head)</w:t>
      </w:r>
      <w:r>
        <w:rPr/>
        <w:t xml:space="preserve"> in a repository that commits </w:t>
      </w:r>
      <w:r>
        <w:rPr>
          <w:rStyle w:val="SourceText"/>
        </w:rPr>
        <w:t>.work/</w:t>
      </w:r>
      <w:r>
        <w:rPr/>
        <w:t xml:space="preserve"> notes: since L-0739 the bundle carries a committed text change there, so a receipt minted by an older crew says </w:t>
      </w:r>
      <w:r>
        <w:rPr>
          <w:rStyle w:val="SourceText"/>
        </w:rPr>
        <w:t>outside the bundle; re-review so it is included</w:t>
      </w:r>
      <w:r>
        <w:rPr/>
        <w:t xml:space="preserve"> - run </w:t>
      </w:r>
      <w:r>
        <w:rPr>
          <w:rStyle w:val="SourceText"/>
        </w:rPr>
        <w:t>/crew:review</w:t>
      </w:r>
      <w:r>
        <w:rPr/>
        <w:t xml:space="preserve"> again and the new round shows it. </w:t>
      </w:r>
      <w:r>
        <w:rPr>
          <w:rStyle w:val="SourceText"/>
        </w:rPr>
        <w:t>outside the bundle, which cannot show it</w:t>
      </w:r>
      <w:r>
        <w:rPr/>
        <w:t xml:space="preserve"> (a binary, executable, symlink or gitlink file, a force-added file the repository ignores, or a </w:t>
      </w:r>
      <w:r>
        <w:rPr>
          <w:rStyle w:val="SourceText"/>
        </w:rPr>
        <w:t>graphify-out/</w:t>
      </w:r>
      <w:r>
        <w:rPr/>
        <w:t xml:space="preserve"> file) has one remedy: restore the path in a new commit, then re-review. Run the review from another checkout of the deploy commit, so its </w:t>
      </w:r>
      <w:r>
        <w:rPr>
          <w:rStyle w:val="SourceText"/>
        </w:rPr>
        <w:t>review.json</w:t>
      </w:r>
      <w:r>
        <w:rPr/>
        <w:t xml:space="preserve"> and metrics row do not dirty the tree promote-gate checks.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7"/>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at check 2 although every Stop turn exited 0.</w:t>
      </w:r>
      <w:r>
        <w:rPr/>
        <w:t xml:space="preserve"> Stop never fails a turn on a deferral: a rule priced over </w:t>
      </w:r>
      <w:r>
        <w:rPr>
          <w:rStyle w:val="SourceText"/>
        </w:rPr>
        <w:t>verify.stopBudgetSeconds</w:t>
      </w:r>
      <w:r>
        <w:rPr/>
        <w:t xml:space="preserve"> on its own is </w:t>
      </w:r>
      <w:r>
        <w:rPr>
          <w:rStyle w:val="SourceText"/>
        </w:rPr>
        <w:t>chronic</w:t>
      </w:r>
      <w:r>
        <w:rPr/>
        <w:t xml:space="preserve">, deferred to CI, and a turn where </w:t>
      </w:r>
      <w:r>
        <w:rPr>
          <w:rStyle w:val="SourceText"/>
        </w:rPr>
        <w:t>0 rules ran</w:t>
      </w:r>
      <w:r>
        <w:rPr/>
        <w:t xml:space="preserve"> writes no verified marker (L-0710). Check 2 needs evidence for HEAD itself. </w:t>
      </w:r>
      <w:r>
        <w:rPr>
          <w:rStyle w:val="Strong"/>
        </w:rPr>
        <w:t>Check:</w:t>
      </w:r>
      <w:r>
        <w:rPr/>
        <w:t xml:space="preserve"> </w:t>
      </w:r>
    </w:p>
    <w:p>
      <w:pPr>
        <w:pStyle w:val="PreformattedText"/>
        <w:bidi w:val="0"/>
        <w:jc w:val="left"/>
        <w:rPr/>
      </w:pPr>
      <w:r>
        <w:rPr>
          <w:rStyle w:val="SourceText"/>
        </w:rPr>
        <w:t>python3 "&lt;crew&gt;/hooks/scripts/crew_status.py" --root .</w:t>
      </w:r>
    </w:p>
    <w:p>
      <w:pPr>
        <w:pStyle w:val="PreformattedText"/>
        <w:bidi w:val="0"/>
        <w:jc w:val="left"/>
        <w:rPr/>
      </w:pPr>
      <w:r>
        <w:rPr>
          <w:rStyle w:val="SourceText"/>
        </w:rPr>
        <w:t>python3 "&lt;crew&gt;/hooks/scripts/ci_receipt.py" check --root .</w:t>
      </w:r>
    </w:p>
    <w:p>
      <w:pPr>
        <w:pStyle w:val="BodyText"/>
        <w:bidi w:val="0"/>
        <w:jc w:val="left"/>
        <w:rPr/>
      </w:pPr>
      <w:r>
        <w:rPr>
          <w:rStyle w:val="Strong"/>
        </w:rPr>
        <w:t>Fix:</w:t>
      </w:r>
      <w:r>
        <w:rPr/>
        <w:t xml:space="preserve"> commit and push the branch so the </w:t>
      </w:r>
      <w:r>
        <w:rPr>
          <w:rStyle w:val="SourceText"/>
        </w:rPr>
        <w:t>verify-gate</w:t>
      </w:r>
      <w:r>
        <w:rPr/>
        <w:t xml:space="preserve"> workflow runs the whole map, then rerun </w:t>
      </w:r>
      <w:r>
        <w:rPr>
          <w:rStyle w:val="SourceText"/>
        </w:rPr>
        <w:t>/crew:done</w:t>
      </w:r>
      <w:r>
        <w:rPr/>
        <w:t xml:space="preserve"> once </w:t>
      </w:r>
      <w:r>
        <w:rPr>
          <w:rStyle w:val="SourceText"/>
        </w:rPr>
        <w:t>CI_RECEIPT VERIFIED</w:t>
      </w:r>
      <w:r>
        <w:rPr/>
        <w:t xml:space="preserve"> names HEAD. After the PR merged, close from a branch at </w:t>
      </w:r>
      <w:r>
        <w:rPr>
          <w:rStyle w:val="SourceText"/>
        </w:rPr>
        <w:t>origin/main</w:t>
      </w:r>
      <w:r>
        <w:rPr/>
        <w:t xml:space="preserve">: the merge has no run of its own, and the PR head's run counts when its tree is exactly the merge's (it reads </w:t>
      </w:r>
      <w:r>
        <w:rPr>
          <w:rStyle w:val="SourceText"/>
        </w:rPr>
        <w:t>through &lt;sha&gt;, which has the same tree</w:t>
      </w:r>
      <w:r>
        <w:rPr/>
        <w:t xml:space="preserve">); if </w:t>
      </w:r>
      <w:r>
        <w:rPr>
          <w:rStyle w:val="SourceText"/>
        </w:rPr>
        <w:t>main</w:t>
      </w:r>
      <w:r>
        <w:rPr/>
        <w:t xml:space="preserve"> moved before the merge, the trees differ and the bytes were never gated. Or run </w:t>
      </w:r>
      <w:r>
        <w:rPr>
          <w:rStyle w:val="SourceText"/>
        </w:rPr>
        <w:t>/crew:verify --all</w:t>
      </w:r>
      <w:r>
        <w:rPr/>
        <w:t xml:space="preserve"> here, which empties the record (</w:t>
      </w:r>
      <w:r>
        <w:rPr>
          <w:rStyle w:val="SourceText"/>
        </w:rPr>
        <w:t>verify no rules recorded</w:t>
      </w:r>
      <w:r>
        <w:rPr/>
        <w:t xml:space="preserve">) and leaves the gate's </w:t>
      </w:r>
      <w:r>
        <w:rPr>
          <w:rStyle w:val="SourceText"/>
        </w:rPr>
        <w:t>GATE VERIFIED</w:t>
      </w:r>
      <w:r>
        <w:rPr/>
        <w:t xml:space="preserve"> answer for this tree. An uncommitted edit after that pass turns it back to </w:t>
      </w:r>
      <w:r>
        <w:rPr>
          <w:rStyle w:val="SourceText"/>
        </w:rPr>
        <w:t>GATE UNVERIFIED</w:t>
      </w:r>
      <w:r>
        <w:rPr/>
        <w:t xml:space="preserve">: commit, then re-run. </w:t>
      </w:r>
      <w:r>
        <w:rPr>
          <w:rStyle w:val="SourceText"/>
        </w:rPr>
        <w:t>UNKNOWN</w:t>
      </w:r>
      <w:r>
        <w:rPr/>
        <w:t xml:space="preserve"> (exit 3) is </w:t>
      </w:r>
      <w:r>
        <w:rPr>
          <w:rStyle w:val="SourceText"/>
        </w:rPr>
        <w:t>gh</w:t>
      </w:r>
      <w:r>
        <w:rPr/>
        <w:t>, the network or the artifact, never a pass; a branch that changes the gate or the workflow itself never gets a VERIFIED receipt, so it needs the local run.</w:t>
      </w:r>
    </w:p>
    <w:p>
      <w:pPr>
        <w:pStyle w:val="BodyText"/>
        <w:numPr>
          <w:ilvl w:val="0"/>
          <w:numId w:val="8"/>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8"/>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9"/>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10"/>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2"/>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4"/>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4"/>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4"/>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4"/>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5"/>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5"/>
        </w:numPr>
        <w:tabs>
          <w:tab w:val="clear" w:pos="1134"/>
          <w:tab w:val="left" w:pos="829" w:leader="none"/>
        </w:tabs>
        <w:bidi w:val="0"/>
        <w:ind w:hanging="283" w:left="829"/>
        <w:jc w:val="left"/>
        <w:rPr/>
      </w:pPr>
      <w:r>
        <w:rPr>
          <w:rStyle w:val="Strong"/>
        </w:rPr>
        <w:t xml:space="preserve">Symptom: the Stop prints </w:t>
      </w:r>
      <w:r>
        <w:rPr>
          <w:rStyle w:val="SourceText"/>
        </w:rPr>
        <w:t>outside-scope: (could not tell - ...)</w:t>
      </w:r>
      <w:r>
        <w:rPr>
          <w:rStyle w:val="Strong"/>
        </w:rPr>
        <w:t>.</w:t>
      </w:r>
      <w:r>
        <w:rPr/>
        <w:t xml:space="preserve"> The verify gate's scope line (</w:t>
      </w:r>
      <w:r>
        <w:rPr>
          <w:rStyle w:val="SourceText"/>
        </w:rPr>
        <w:t>scope_report.py</w:t>
      </w:r>
      <w:r>
        <w:rPr/>
        <w:t xml:space="preserve">) reads the active ticket's approved </w:t>
      </w:r>
      <w:r>
        <w:rPr>
          <w:rStyle w:val="SourceText"/>
        </w:rPr>
        <w:t>.work/tickets/&lt;id&gt;/spec.md ## Touch</w:t>
      </w:r>
      <w:r>
        <w:rPr/>
        <w:t xml:space="preserve">, as the completion audit does. The reason names the gap: no readable </w:t>
      </w:r>
      <w:r>
        <w:rPr>
          <w:rStyle w:val="SourceText"/>
        </w:rPr>
        <w:t>spec.md</w:t>
      </w:r>
      <w:r>
        <w:rPr/>
        <w:t xml:space="preserve">, no </w:t>
      </w:r>
      <w:r>
        <w:rPr>
          <w:rStyle w:val="SourceText"/>
        </w:rPr>
        <w:t>## Touch</w:t>
      </w:r>
      <w:r>
        <w:rPr/>
        <w:t xml:space="preserve"> paths, a Touch that is not approved (approve it, or approve it again after a spec edit), a broken active-ticket pointer, a pre-1.0 </w:t>
      </w:r>
      <w:r>
        <w:rPr>
          <w:rStyle w:val="SourceText"/>
        </w:rPr>
        <w:t>.work/tickets/&lt;id&gt;.md</w:t>
      </w:r>
      <w:r>
        <w:rPr/>
        <w:t xml:space="preserve"> ticket (run </w:t>
      </w:r>
      <w:r>
        <w:rPr>
          <w:rStyle w:val="SourceText"/>
        </w:rPr>
        <w:t>/crew:migrate</w:t>
      </w:r>
      <w:r>
        <w:rPr/>
        <w:t xml:space="preserve">), or an </w:t>
      </w:r>
      <w:r>
        <w:rPr>
          <w:rStyle w:val="SourceText"/>
        </w:rPr>
        <w:t>INDEX.md</w:t>
      </w:r>
      <w:r>
        <w:rPr/>
        <w:t xml:space="preserve"> open ticket whose </w:t>
      </w:r>
      <w:r>
        <w:rPr>
          <w:rStyle w:val="SourceText"/>
        </w:rPr>
        <w:t>.work/tickets/&lt;id&gt;/</w:t>
      </w:r>
      <w:r>
        <w:rPr/>
        <w:t xml:space="preserve"> folder does not exist (fix the INDEX row or restore the folder), or an </w:t>
      </w:r>
      <w:r>
        <w:rPr>
          <w:rStyle w:val="SourceText"/>
        </w:rPr>
        <w:t>INDEX.md</w:t>
      </w:r>
      <w:r>
        <w:rPr/>
        <w:t xml:space="preserve"> that cannot be read. A clean line can also carry </w:t>
      </w:r>
      <w:r>
        <w:rPr>
          <w:rStyle w:val="SourceText"/>
        </w:rPr>
        <w:t>(merged main: could not tell - ...)</w:t>
      </w:r>
      <w:r>
        <w:rPr/>
        <w:t xml:space="preserve">, for example on a detached HEAD: nothing was left out as main's, the same as the audit. Before L-0711 the line said every 1.0 ticket's file was missing. It is report-only: the refusal is </w:t>
      </w:r>
      <w:r>
        <w:rPr>
          <w:rStyle w:val="SourceText"/>
        </w:rPr>
        <w:t>/crew:done</w:t>
      </w:r>
      <w:r>
        <w:rPr/>
        <w:t xml:space="preserve"> check 3.</w:t>
      </w:r>
    </w:p>
    <w:p>
      <w:pPr>
        <w:pStyle w:val="BodyText"/>
        <w:numPr>
          <w:ilvl w:val="0"/>
          <w:numId w:val="15"/>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6"/>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6"/>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6"/>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6"/>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6"/>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7"/>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7"/>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7"/>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7"/>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7"/>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7"/>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7"/>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diagram-check-fails-in-ci-with-no-reas"/>
      <w:bookmarkEnd w:id="6"/>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18"/>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18"/>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7" w:name="autopilot-in-a-worktree-and-the-refresh-"/>
      <w:bookmarkEnd w:id="7"/>
      <w:r>
        <w:rPr/>
        <w:t>Autopilot in a Worktree, and the Refresh Check</w:t>
      </w:r>
    </w:p>
    <w:p>
      <w:pPr>
        <w:pStyle w:val="BodyText"/>
        <w:numPr>
          <w:ilvl w:val="0"/>
          <w:numId w:val="19"/>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20"/>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8" w:name="wave-refuses-a-cross-session-dependency"/>
      <w:bookmarkEnd w:id="8"/>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2926" w:type="dxa"/>
        <w:jc w:val="left"/>
        <w:tblInd w:w="28" w:type="dxa"/>
        <w:tblLayout w:type="fixed"/>
        <w:tblCellMar>
          <w:top w:w="28" w:type="dxa"/>
          <w:left w:w="28" w:type="dxa"/>
          <w:bottom w:w="28" w:type="dxa"/>
          <w:right w:w="28" w:type="dxa"/>
        </w:tblCellMar>
      </w:tblPr>
      <w:tblGrid>
        <w:gridCol w:w="4978"/>
        <w:gridCol w:w="3967"/>
        <w:gridCol w:w="3981"/>
      </w:tblGrid>
      <w:tr>
        <w:trPr>
          <w:tblHeader w:val="true"/>
        </w:trPr>
        <w:tc>
          <w:tcPr>
            <w:tcW w:w="4978"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3967" w:type="dxa"/>
            <w:tcBorders/>
            <w:vAlign w:val="center"/>
          </w:tcPr>
          <w:p>
            <w:pPr>
              <w:pStyle w:val="TableHeading"/>
              <w:suppressLineNumbers/>
              <w:shd w:fill="434C5E" w:val="clear"/>
              <w:bidi w:val="0"/>
              <w:spacing w:before="120" w:after="120"/>
              <w:jc w:val="left"/>
              <w:rPr/>
            </w:pPr>
            <w:r>
              <w:rPr/>
              <w:t>Means</w:t>
            </w:r>
          </w:p>
        </w:tc>
        <w:tc>
          <w:tcPr>
            <w:tcW w:w="3981" w:type="dxa"/>
            <w:tcBorders/>
            <w:vAlign w:val="center"/>
          </w:tcPr>
          <w:p>
            <w:pPr>
              <w:pStyle w:val="TableHeading"/>
              <w:suppressLineNumbers/>
              <w:shd w:fill="434C5E" w:val="clear"/>
              <w:bidi w:val="0"/>
              <w:spacing w:before="120" w:after="120"/>
              <w:jc w:val="left"/>
              <w:rPr/>
            </w:pPr>
            <w:r>
              <w:rPr/>
              <w:t>Do</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3967"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3981"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4978" w:type="dxa"/>
            <w:tcBorders/>
            <w:vAlign w:val="center"/>
          </w:tcPr>
          <w:p>
            <w:pPr>
              <w:pStyle w:val="TableContents"/>
              <w:shd w:fill="2E3440" w:val="clear"/>
              <w:bidi w:val="0"/>
              <w:spacing w:before="120" w:after="120"/>
              <w:jc w:val="left"/>
              <w:rPr/>
            </w:pPr>
            <w:r>
              <w:rPr>
                <w:rStyle w:val="SourceText"/>
              </w:rPr>
              <w:t>... reads released (...); only done closes it</w:t>
            </w:r>
          </w:p>
        </w:tc>
        <w:tc>
          <w:tcPr>
            <w:tcW w:w="3967" w:type="dxa"/>
            <w:tcBorders/>
            <w:vAlign w:val="center"/>
          </w:tcPr>
          <w:p>
            <w:pPr>
              <w:pStyle w:val="TableContents"/>
              <w:shd w:fill="2E3440" w:val="clear"/>
              <w:bidi w:val="0"/>
              <w:spacing w:before="120" w:after="120"/>
              <w:jc w:val="left"/>
              <w:rPr/>
            </w:pPr>
            <w:r>
              <w:rPr/>
              <w:t>the peer gave the ticket back unfinished</w:t>
            </w:r>
          </w:p>
        </w:tc>
        <w:tc>
          <w:tcPr>
            <w:tcW w:w="3981"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3967" w:type="dxa"/>
            <w:tcBorders/>
            <w:vAlign w:val="center"/>
          </w:tcPr>
          <w:p>
            <w:pPr>
              <w:pStyle w:val="TableContents"/>
              <w:shd w:fill="2E3440" w:val="clear"/>
              <w:bidi w:val="0"/>
              <w:spacing w:before="120" w:after="120"/>
              <w:jc w:val="left"/>
              <w:rPr/>
            </w:pPr>
            <w:r>
              <w:rPr/>
              <w:t>nobody on the channel has claimed that id</w:t>
            </w:r>
          </w:p>
        </w:tc>
        <w:tc>
          <w:tcPr>
            <w:tcW w:w="3981"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4978"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3967" w:type="dxa"/>
            <w:tcBorders/>
            <w:vAlign w:val="center"/>
          </w:tcPr>
          <w:p>
            <w:pPr>
              <w:pStyle w:val="TableContents"/>
              <w:shd w:fill="2E3440" w:val="clear"/>
              <w:bidi w:val="0"/>
              <w:spacing w:before="120" w:after="120"/>
              <w:jc w:val="left"/>
              <w:rPr/>
            </w:pPr>
            <w:r>
              <w:rPr/>
              <w:t>the short form is ambiguous</w:t>
            </w:r>
          </w:p>
        </w:tc>
        <w:tc>
          <w:tcPr>
            <w:tcW w:w="3981"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4978" w:type="dxa"/>
            <w:tcBorders/>
            <w:vAlign w:val="center"/>
          </w:tcPr>
          <w:p>
            <w:pPr>
              <w:pStyle w:val="TableContents"/>
              <w:shd w:fill="2E3440" w:val="clear"/>
              <w:bidi w:val="0"/>
              <w:spacing w:before="120" w:after="120"/>
              <w:jc w:val="left"/>
              <w:rPr/>
            </w:pPr>
            <w:r>
              <w:rPr>
                <w:rStyle w:val="SourceText"/>
              </w:rPr>
              <w:t>... unknown: its claim ... is corrupt (...)</w:t>
            </w:r>
          </w:p>
        </w:tc>
        <w:tc>
          <w:tcPr>
            <w:tcW w:w="3967" w:type="dxa"/>
            <w:tcBorders/>
            <w:vAlign w:val="center"/>
          </w:tcPr>
          <w:p>
            <w:pPr>
              <w:pStyle w:val="TableContents"/>
              <w:shd w:fill="2E3440" w:val="clear"/>
              <w:bidi w:val="0"/>
              <w:spacing w:before="120" w:after="120"/>
              <w:jc w:val="left"/>
              <w:rPr/>
            </w:pPr>
            <w:r>
              <w:rPr/>
              <w:t>the claim file does not parse</w:t>
            </w:r>
          </w:p>
        </w:tc>
        <w:tc>
          <w:tcPr>
            <w:tcW w:w="3981"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4978"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3967" w:type="dxa"/>
            <w:tcBorders/>
            <w:vAlign w:val="center"/>
          </w:tcPr>
          <w:p>
            <w:pPr>
              <w:pStyle w:val="TableContents"/>
              <w:shd w:fill="2E3440" w:val="clear"/>
              <w:bidi w:val="0"/>
              <w:spacing w:before="120" w:after="120"/>
              <w:jc w:val="left"/>
              <w:rPr/>
            </w:pPr>
            <w:r>
              <w:rPr/>
              <w:t>the channel is absent, or the remote cannot be reached</w:t>
            </w:r>
          </w:p>
        </w:tc>
        <w:tc>
          <w:tcPr>
            <w:tcW w:w="3981"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4978"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3967"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3981"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4978" w:type="dxa"/>
            <w:tcBorders/>
            <w:vAlign w:val="center"/>
          </w:tcPr>
          <w:p>
            <w:pPr>
              <w:pStyle w:val="TableContents"/>
              <w:shd w:fill="2E3440" w:val="clear"/>
              <w:bidi w:val="0"/>
              <w:spacing w:before="120" w:after="120"/>
              <w:jc w:val="left"/>
              <w:rPr/>
            </w:pPr>
            <w:r>
              <w:rPr>
                <w:rStyle w:val="SourceText"/>
              </w:rPr>
              <w:t>dependencies unknown: ...</w:t>
            </w:r>
          </w:p>
        </w:tc>
        <w:tc>
          <w:tcPr>
            <w:tcW w:w="3967"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3981"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9" w:name="wave-refuses-a-tickets-contract"/>
      <w:bookmarkEnd w:id="9"/>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2926" w:type="dxa"/>
        <w:jc w:val="left"/>
        <w:tblInd w:w="28" w:type="dxa"/>
        <w:tblLayout w:type="fixed"/>
        <w:tblCellMar>
          <w:top w:w="28" w:type="dxa"/>
          <w:left w:w="28" w:type="dxa"/>
          <w:bottom w:w="28" w:type="dxa"/>
          <w:right w:w="28" w:type="dxa"/>
        </w:tblCellMar>
      </w:tblPr>
      <w:tblGrid>
        <w:gridCol w:w="2479"/>
        <w:gridCol w:w="4005"/>
        <w:gridCol w:w="6442"/>
      </w:tblGrid>
      <w:tr>
        <w:trPr>
          <w:tblHeader w:val="true"/>
        </w:trPr>
        <w:tc>
          <w:tcPr>
            <w:tcW w:w="2479"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005" w:type="dxa"/>
            <w:tcBorders/>
            <w:vAlign w:val="center"/>
          </w:tcPr>
          <w:p>
            <w:pPr>
              <w:pStyle w:val="TableHeading"/>
              <w:suppressLineNumbers/>
              <w:shd w:fill="434C5E" w:val="clear"/>
              <w:bidi w:val="0"/>
              <w:spacing w:before="120" w:after="120"/>
              <w:jc w:val="left"/>
              <w:rPr/>
            </w:pPr>
            <w:r>
              <w:rPr/>
              <w:t>Means</w:t>
            </w:r>
          </w:p>
        </w:tc>
        <w:tc>
          <w:tcPr>
            <w:tcW w:w="6442" w:type="dxa"/>
            <w:tcBorders/>
            <w:vAlign w:val="center"/>
          </w:tcPr>
          <w:p>
            <w:pPr>
              <w:pStyle w:val="TableHeading"/>
              <w:suppressLineNumbers/>
              <w:shd w:fill="434C5E" w:val="clear"/>
              <w:bidi w:val="0"/>
              <w:spacing w:before="120" w:after="120"/>
              <w:jc w:val="left"/>
              <w:rPr/>
            </w:pPr>
            <w:r>
              <w:rPr/>
              <w:t>Do</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005"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6442"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unknown (...)</w:t>
            </w:r>
          </w:p>
        </w:tc>
        <w:tc>
          <w:tcPr>
            <w:tcW w:w="4005"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6442"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479" w:type="dxa"/>
            <w:tcBorders/>
            <w:vAlign w:val="center"/>
          </w:tcPr>
          <w:p>
            <w:pPr>
              <w:pStyle w:val="TableContents"/>
              <w:shd w:fill="2E3440" w:val="clear"/>
              <w:bidi w:val="0"/>
              <w:spacing w:before="120" w:after="120"/>
              <w:jc w:val="left"/>
              <w:rPr/>
            </w:pPr>
            <w:r>
              <w:rPr>
                <w:rStyle w:val="SourceText"/>
              </w:rPr>
              <w:t>contract bindings unknown (...)</w:t>
            </w:r>
          </w:p>
        </w:tc>
        <w:tc>
          <w:tcPr>
            <w:tcW w:w="4005"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6442"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0" w:name="promote-gate-blocks-a-worktree-deploy"/>
      <w:bookmarkEnd w:id="10"/>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1"/>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1"/>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1"/>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1"/>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1"/>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1"/>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1"/>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1"/>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1"/>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1"/>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1"/>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1"/>
        </w:numPr>
        <w:tabs>
          <w:tab w:val="clear" w:pos="1134"/>
          <w:tab w:val="left" w:pos="829" w:leader="none"/>
        </w:tabs>
        <w:bidi w:val="0"/>
        <w:spacing w:before="120" w:after="0"/>
        <w:ind w:hanging="283" w:left="829"/>
        <w:jc w:val="left"/>
        <w:rPr/>
      </w:pPr>
      <w:r>
        <w:rPr>
          <w:rStyle w:val="Strong"/>
        </w:rPr>
        <w:t>"records the short sha X"</w:t>
      </w:r>
      <w:r>
        <w:rPr/>
        <w:t xml:space="preserve"> (L-0703): a </w:t>
      </w:r>
      <w:r>
        <w:rPr>
          <w:rStyle w:val="SourceText"/>
        </w:rPr>
        <w:t>requires</w:t>
      </w:r>
      <w:r>
        <w:rPr/>
        <w:t xml:space="preserve"> row counts only with the full 40-character sha. Re-run the upstream promotion, or rewrite the row with </w:t>
      </w:r>
      <w:r>
        <w:rPr>
          <w:rStyle w:val="SourceText"/>
        </w:rPr>
        <w:t>git rev-parse HEAD</w:t>
      </w:r>
      <w:r>
        <w:rPr/>
        <w:t xml:space="preserve"> of the tree that passed, after checking it is that commit. </w:t>
      </w:r>
    </w:p>
    <w:p>
      <w:pPr>
        <w:pStyle w:val="BodyText"/>
        <w:numPr>
          <w:ilvl w:val="0"/>
          <w:numId w:val="21"/>
        </w:numPr>
        <w:tabs>
          <w:tab w:val="clear" w:pos="1134"/>
          <w:tab w:val="left" w:pos="829" w:leader="none"/>
        </w:tabs>
        <w:bidi w:val="0"/>
        <w:spacing w:before="120" w:after="0"/>
        <w:ind w:hanging="283" w:left="829"/>
        <w:jc w:val="left"/>
        <w:rPr/>
      </w:pPr>
      <w:r>
        <w:rPr>
          <w:rStyle w:val="Strong"/>
        </w:rPr>
        <w:t>"requires an accepted review of the sha being deployed"</w:t>
      </w:r>
      <w:r>
        <w:rPr/>
        <w:t xml:space="preserve"> (L-0703): no ticket's accepted receipt was of a tree identical to the one being deployed. A merge commit whose tree differs from the reviewed head (main moved, or a bump landed after the review) is not covered: deploy the reviewed head, or review the merged tree. An environment that genuinely takes unreviewed builds sets </w:t>
      </w:r>
      <w:r>
        <w:rPr>
          <w:rStyle w:val="SourceText"/>
        </w:rPr>
        <w:t>requireReview: false</w:t>
      </w:r>
      <w:r>
        <w:rPr/>
        <w:t xml:space="preserve"> plus a </w:t>
      </w:r>
      <w:r>
        <w:rPr>
          <w:rStyle w:val="SourceText"/>
        </w:rPr>
        <w:t>reviewReason</w:t>
      </w:r>
      <w:r>
        <w:rPr/>
        <w:t xml:space="preserve"> in the committed map. "could not tell ... did not finish" means the receipt check ran past the gate's 16s deadline; "no usable python" means the gate cannot evaluate at all - install python 3.8+. </w:t>
      </w:r>
    </w:p>
    <w:p>
      <w:pPr>
        <w:pStyle w:val="BodyText"/>
        <w:numPr>
          <w:ilvl w:val="0"/>
          <w:numId w:val="21"/>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1" w:name="the-run-could-not-be-identified"/>
      <w:bookmarkEnd w:id="11"/>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2"/>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2"/>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2"/>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2"/>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2"/>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2" w:name="cloud-guard-false-positives"/>
      <w:bookmarkEnd w:id="12"/>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3"/>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3"/>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3"/>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3"/>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3" w:name="unattended-launch-refuses"/>
      <w:bookmarkEnd w:id="13"/>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4"/>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4"/>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4"/>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4"/>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4"/>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4"/>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4"/>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4"/>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4"/>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4"/>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4"/>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4"/>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4" w:name="obsidian"/>
      <w:bookmarkEnd w:id="14"/>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5"/>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5"/>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6"/>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6"/>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6"/>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6"/>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6"/>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26"/>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6"/>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6"/>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5" w:name="auto-wrap-up-clear-and-resume"/>
      <w:bookmarkEnd w:id="15"/>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6" w:name="auto-clear-did-nothing-on-windows"/>
      <w:bookmarkEnd w:id="16"/>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7"/>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7"/>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7"/>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7" w:name="bare-crewautopilot-stopped-on-a-goal"/>
      <w:bookmarkEnd w:id="17"/>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28"/>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28"/>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28"/>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18" w:name="claude-code-compacted-by-itself"/>
      <w:bookmarkEnd w:id="18"/>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9" w:name="autopilot-refused-a-successor-plan-after"/>
      <w:bookmarkEnd w:id="19"/>
      <w:r>
        <w:rPr/>
        <w:t>Autopilot Refused a Successor Plan After an Automatic Reject</w:t>
      </w:r>
    </w:p>
    <w:p>
      <w:pPr>
        <w:pStyle w:val="BodyText"/>
        <w:numPr>
          <w:ilvl w:val="0"/>
          <w:numId w:val="29"/>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29"/>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29"/>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29"/>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20" w:name="verify-gate-says-rules-declare-no-reach"/>
      <w:bookmarkEnd w:id="20"/>
      <w:r>
        <w:rPr/>
        <w:t xml:space="preserve">Verify Gate Says Rules Declare No </w:t>
      </w:r>
      <w:r>
        <w:rPr>
          <w:rStyle w:val="SourceText"/>
        </w:rPr>
        <w:t>Reach</w:t>
      </w:r>
    </w:p>
    <w:p>
      <w:pPr>
        <w:pStyle w:val="BodyText"/>
        <w:numPr>
          <w:ilvl w:val="0"/>
          <w:numId w:val="30"/>
        </w:numPr>
        <w:tabs>
          <w:tab w:val="clear" w:pos="1134"/>
          <w:tab w:val="left" w:pos="829" w:leader="none"/>
        </w:tabs>
        <w:bidi w:val="0"/>
        <w:spacing w:before="120" w:after="0"/>
        <w:ind w:hanging="283" w:left="829"/>
        <w:jc w:val="left"/>
        <w:rPr/>
      </w:pPr>
      <w:r>
        <w:rPr>
          <w:rStyle w:val="Strong"/>
        </w:rPr>
        <w:t>Symptom:</w:t>
      </w:r>
      <w:r>
        <w:rPr/>
        <w:t xml:space="preserve"> on Stop, </w:t>
      </w:r>
      <w:r>
        <w:rPr>
          <w:rStyle w:val="SourceText"/>
        </w:rPr>
        <w:t>verify-gate: N rule(s) matched this turn declare no</w:t>
      </w:r>
      <w:r>
        <w:rPr/>
        <w:t>reach</w:t>
      </w:r>
      <w:r>
        <w:rPr>
          <w:rStyle w:val="SourceText"/>
        </w:rPr>
        <w:t>, so Stop did NOT run them</w:t>
      </w:r>
      <w:r>
        <w:rPr/>
        <w:t xml:space="preserve"> once, then on every later Stop one line: </w:t>
      </w:r>
      <w:r>
        <w:rPr>
          <w:rStyle w:val="SourceText"/>
        </w:rPr>
        <w:t>NOT VERIFIED ON THIS TREE - N rule(s) with no</w:t>
      </w:r>
      <w:r>
        <w:rPr/>
        <w:t>reach</w:t>
      </w:r>
      <w:r>
        <w:rPr>
          <w:rStyle w:val="SourceText"/>
        </w:rPr>
        <w:t>not run on Stop: rules[...]</w:t>
      </w:r>
      <w:r>
        <w:rPr/>
        <w:t xml:space="preserve"> (L-0733; before it, a line per rule per turn). </w:t>
      </w:r>
    </w:p>
    <w:p>
      <w:pPr>
        <w:pStyle w:val="BodyText"/>
        <w:numPr>
          <w:ilvl w:val="0"/>
          <w:numId w:val="30"/>
        </w:numPr>
        <w:tabs>
          <w:tab w:val="clear" w:pos="1134"/>
          <w:tab w:val="left" w:pos="829" w:leader="none"/>
        </w:tabs>
        <w:bidi w:val="0"/>
        <w:spacing w:before="120" w:after="0"/>
        <w:ind w:hanging="283" w:left="829"/>
        <w:jc w:val="left"/>
        <w:rPr/>
      </w:pPr>
      <w:r>
        <w:rPr>
          <w:rStyle w:val="Strong"/>
        </w:rPr>
        <w:t>Cause:</w:t>
      </w:r>
      <w:r>
        <w:rPr/>
        <w:t xml:space="preserve"> </w:t>
      </w:r>
      <w:r>
        <w:rPr>
          <w:rStyle w:val="SourceText"/>
        </w:rPr>
        <w:t>.crew/verify.json</w:t>
      </w:r>
      <w:r>
        <w:rPr/>
        <w:t xml:space="preserve"> predates </w:t>
      </w:r>
      <w:r>
        <w:rPr>
          <w:rStyle w:val="SourceText"/>
        </w:rPr>
        <w:t>reach</w:t>
      </w:r>
      <w:r>
        <w:rPr/>
        <w:t xml:space="preserve">. A rule with none that wraps a script, uses shell syntax or names a remote verb is never run unattended on Stop - it may reach a live host. The notice is shown once per map content; </w:t>
      </w:r>
      <w:r>
        <w:rPr>
          <w:rStyle w:val="SourceText"/>
        </w:rPr>
        <w:t>.crew/.verify-gate.reach-notice</w:t>
      </w:r>
      <w:r>
        <w:rPr/>
        <w:t xml:space="preserve"> remembers which. </w:t>
      </w:r>
    </w:p>
    <w:p>
      <w:pPr>
        <w:pStyle w:val="BodyText"/>
        <w:numPr>
          <w:ilvl w:val="0"/>
          <w:numId w:val="30"/>
        </w:numPr>
        <w:tabs>
          <w:tab w:val="clear" w:pos="1134"/>
          <w:tab w:val="left" w:pos="829" w:leader="none"/>
        </w:tabs>
        <w:bidi w:val="0"/>
        <w:spacing w:before="120" w:after="0"/>
        <w:ind w:hanging="283" w:left="829"/>
        <w:jc w:val="left"/>
        <w:rPr/>
      </w:pPr>
      <w:r>
        <w:rPr>
          <w:rStyle w:val="Strong"/>
        </w:rPr>
        <w:t>Fix:</w:t>
      </w:r>
      <w:r>
        <w:rPr/>
        <w:t xml:space="preserve"> </w:t>
      </w:r>
      <w:r>
        <w:rPr>
          <w:rStyle w:val="SourceText"/>
        </w:rPr>
        <w:t>/crew:verify --stamp-reach</w:t>
      </w:r>
      <w:r>
        <w:rPr/>
        <w:t xml:space="preserve"> shows what each rule would get; </w:t>
      </w:r>
      <w:r>
        <w:rPr>
          <w:rStyle w:val="SourceText"/>
        </w:rPr>
        <w:t>--apply</w:t>
      </w:r>
      <w:r>
        <w:rPr/>
        <w:t xml:space="preserve"> writes the </w:t>
      </w:r>
      <w:r>
        <w:rPr>
          <w:rStyle w:val="SourceText"/>
        </w:rPr>
        <w:t>local</w:t>
      </w:r>
      <w:r>
        <w:rPr/>
        <w:t xml:space="preserve"> and </w:t>
      </w:r>
      <w:r>
        <w:rPr>
          <w:rStyle w:val="SourceText"/>
        </w:rPr>
        <w:t>network</w:t>
      </w:r>
      <w:r>
        <w:rPr/>
        <w:t xml:space="preserve"> proposals, and </w:t>
      </w:r>
      <w:r>
        <w:rPr>
          <w:rStyle w:val="SourceText"/>
        </w:rPr>
        <w:t>--set N=local|network|host</w:t>
      </w:r>
      <w:r>
        <w:rPr/>
        <w:t xml:space="preserve"> decides a wrapper or shell rule. Review the diff and commit it on its own. </w:t>
      </w:r>
      <w:r>
        <w:rPr>
          <w:rStyle w:val="SourceText"/>
        </w:rPr>
        <w:t>/crew:verify --all</w:t>
      </w:r>
      <w:r>
        <w:rPr/>
        <w:t xml:space="preserve"> runs every rule meanwhile. </w:t>
      </w:r>
    </w:p>
    <w:p>
      <w:pPr>
        <w:pStyle w:val="BodyText"/>
        <w:numPr>
          <w:ilvl w:val="0"/>
          <w:numId w:val="30"/>
        </w:numPr>
        <w:tabs>
          <w:tab w:val="clear" w:pos="1134"/>
          <w:tab w:val="left" w:pos="829" w:leader="none"/>
        </w:tabs>
        <w:bidi w:val="0"/>
        <w:ind w:hanging="283" w:left="829"/>
        <w:jc w:val="left"/>
        <w:rPr/>
      </w:pPr>
      <w:r>
        <w:rPr>
          <w:rStyle w:val="Strong"/>
        </w:rPr>
        <w:t>Symptom:</w:t>
      </w:r>
      <w:r>
        <w:rPr/>
        <w:t xml:space="preserve"> </w:t>
      </w:r>
      <w:r>
        <w:rPr>
          <w:rStyle w:val="SourceText"/>
        </w:rPr>
        <w:t>N unverified obligation(s) belong to a rule that was edited or removed and that no rule on the same paths replaced; NOT advancing the marker [record: &lt;path&gt;]</w:t>
      </w:r>
      <w:r>
        <w:rPr/>
        <w:t xml:space="preserve">. </w:t>
      </w:r>
      <w:r>
        <w:rPr>
          <w:rStyle w:val="Strong"/>
        </w:rPr>
        <w:t>Cause:</w:t>
      </w:r>
      <w:r>
        <w:rPr/>
        <w:t xml:space="preserve"> a rule was removed, or its </w:t>
      </w:r>
      <w:r>
        <w:rPr>
          <w:rStyle w:val="SourceText"/>
        </w:rPr>
        <w:t>paths</w:t>
      </w:r>
      <w:r>
        <w:rPr/>
        <w:t xml:space="preserve"> changed, after its entry was recorded. A rule edited in place (same paths) supersedes its old entry instead, which is dropped with a </w:t>
      </w:r>
      <w:r>
        <w:rPr>
          <w:rStyle w:val="SourceText"/>
        </w:rPr>
        <w:t>dropped the obligation of rules[N]</w:t>
      </w:r>
      <w:r>
        <w:rPr/>
        <w:t xml:space="preserve"> line. An undeclared-reach orphan no longer holds the marker (it is counted in the summary line); any other kind does. Entries recorded before L-0733 are never superseded. </w:t>
      </w:r>
      <w:r>
        <w:rPr>
          <w:rStyle w:val="Strong"/>
        </w:rPr>
        <w:t>Fix:</w:t>
      </w:r>
      <w:r>
        <w:rPr/>
        <w:t xml:space="preserve"> </w:t>
      </w:r>
      <w:r>
        <w:rPr>
          <w:rStyle w:val="SourceText"/>
        </w:rPr>
        <w:t>/crew:verify --all</w:t>
      </w:r>
      <w:r>
        <w:rPr/>
        <w:t xml:space="preserve"> in the checkout the </w:t>
      </w:r>
      <w:r>
        <w:rPr>
          <w:rStyle w:val="SourceText"/>
        </w:rPr>
        <w:t>[record: ...]</w:t>
      </w:r>
      <w:r>
        <w:rPr/>
        <w:t xml:space="preserve"> path names (it clears only that checkout's record, and </w:t>
      </w:r>
      <w:r>
        <w:rPr>
          <w:rStyle w:val="SourceText"/>
        </w:rPr>
        <w:t>--ci</w:t>
      </w:r>
      <w:r>
        <w:rPr/>
        <w:t xml:space="preserve"> never prunes it), or, when that would reach </w:t>
      </w:r>
      <w:r>
        <w:rPr>
          <w:rStyle w:val="SourceText"/>
        </w:rPr>
        <w:t>network</w:t>
      </w:r>
      <w:r>
        <w:rPr/>
        <w:t>/</w:t>
      </w:r>
      <w:r>
        <w:rPr>
          <w:rStyle w:val="SourceText"/>
        </w:rPr>
        <w:t>host</w:t>
      </w:r>
      <w:r>
        <w:rPr/>
        <w:t xml:space="preserve"> targets, run the </w:t>
      </w:r>
      <w:r>
        <w:rPr>
          <w:rStyle w:val="SourceText"/>
        </w:rPr>
        <w:t>verify_record.py forget-orphans</w:t>
      </w:r>
      <w:r>
        <w:rPr/>
        <w:t xml:space="preserve"> command the line names, from the repo root: it drops the orphans by name and runs nothing. </w:t>
      </w:r>
    </w:p>
    <w:p>
      <w:pPr>
        <w:pStyle w:val="Heading2"/>
        <w:bidi w:val="0"/>
        <w:ind w:hanging="0" w:left="0" w:right="0"/>
        <w:jc w:val="left"/>
        <w:rPr/>
      </w:pPr>
      <w:bookmarkStart w:id="21" w:name="a-stop-that-should-have-blocked-said-the"/>
      <w:bookmarkEnd w:id="21"/>
      <w:r>
        <w:rPr/>
        <w:t>A Stop That Should Have Blocked Said the Hook Script Was Missing</w:t>
      </w:r>
    </w:p>
    <w:p>
      <w:pPr>
        <w:pStyle w:val="BodyText"/>
        <w:numPr>
          <w:ilvl w:val="0"/>
          <w:numId w:val="31"/>
        </w:numPr>
        <w:tabs>
          <w:tab w:val="clear" w:pos="1134"/>
          <w:tab w:val="left" w:pos="829" w:leader="none"/>
        </w:tabs>
        <w:bidi w:val="0"/>
        <w:spacing w:before="120" w:after="0"/>
        <w:ind w:hanging="283" w:left="829"/>
        <w:jc w:val="left"/>
        <w:rPr/>
      </w:pPr>
      <w:r>
        <w:rPr>
          <w:rStyle w:val="Strong"/>
        </w:rPr>
        <w:t>Symptom:</w:t>
      </w:r>
      <w:r>
        <w:rPr/>
        <w:t xml:space="preserve"> a rule failed, but Claude Code said </w:t>
      </w:r>
      <w:r>
        <w:rPr>
          <w:rStyle w:val="SourceText"/>
        </w:rPr>
        <w:t>Hook script appears to be missing ... Treating as non-blocking. Run /plugin to reinstall</w:t>
      </w:r>
      <w:r>
        <w:rPr/>
        <w:t xml:space="preserve"> and the turn ended anyway. </w:t>
      </w:r>
    </w:p>
    <w:p>
      <w:pPr>
        <w:pStyle w:val="BodyText"/>
        <w:numPr>
          <w:ilvl w:val="0"/>
          <w:numId w:val="31"/>
        </w:numPr>
        <w:tabs>
          <w:tab w:val="clear" w:pos="1134"/>
          <w:tab w:val="left" w:pos="829" w:leader="none"/>
        </w:tabs>
        <w:bidi w:val="0"/>
        <w:spacing w:before="120" w:after="0"/>
        <w:ind w:hanging="283" w:left="829"/>
        <w:jc w:val="left"/>
        <w:rPr/>
      </w:pPr>
      <w:r>
        <w:rPr>
          <w:rStyle w:val="Strong"/>
        </w:rPr>
        <w:t>Cause:</w:t>
      </w:r>
      <w:r>
        <w:rPr/>
        <w:t xml:space="preserve"> Claude Code reads a Stop hook that exits 2 with empty stdout and a stderr containing </w:t>
      </w:r>
      <w:r>
        <w:rPr>
          <w:rStyle w:val="SourceText"/>
        </w:rPr>
        <w:t>No such file</w:t>
      </w:r>
      <w:r>
        <w:rPr/>
        <w:t xml:space="preserve"> or </w:t>
      </w:r>
      <w:r>
        <w:rPr>
          <w:rStyle w:val="SourceText"/>
        </w:rPr>
        <w:t>can't open</w:t>
      </w:r>
      <w:r>
        <w:rPr/>
        <w:t xml:space="preserve"> as a missing script. A rule like </w:t>
      </w:r>
      <w:r>
        <w:rPr>
          <w:rStyle w:val="SourceText"/>
        </w:rPr>
        <w:t>bash _verify/check.sh</w:t>
      </w:r>
      <w:r>
        <w:rPr/>
        <w:t xml:space="preserve"> whose script is gone fails with exactly that stderr. </w:t>
      </w:r>
    </w:p>
    <w:p>
      <w:pPr>
        <w:pStyle w:val="BodyText"/>
        <w:numPr>
          <w:ilvl w:val="0"/>
          <w:numId w:val="31"/>
        </w:numPr>
        <w:tabs>
          <w:tab w:val="clear" w:pos="1134"/>
          <w:tab w:val="left" w:pos="829" w:leader="none"/>
        </w:tabs>
        <w:bidi w:val="0"/>
        <w:ind w:hanging="283" w:left="829"/>
        <w:jc w:val="left"/>
        <w:rPr/>
      </w:pPr>
      <w:r>
        <w:rPr>
          <w:rStyle w:val="Strong"/>
        </w:rPr>
        <w:t>Fix:</w:t>
      </w:r>
      <w:r>
        <w:rPr/>
        <w:t xml:space="preserve"> since L-0733 crew writes </w:t>
      </w:r>
      <w:r>
        <w:rPr>
          <w:rStyle w:val="SourceText"/>
        </w:rPr>
        <w:t>VERIFY GATE: BLOCKED (exit 2)</w:t>
      </w:r>
      <w:r>
        <w:rPr/>
        <w:t xml:space="preserve"> to stdout on every exit 2, in both flavours, so the block holds. On an older crew, update the plugin; fix or remove the rule either way. </w:t>
      </w:r>
    </w:p>
    <w:p>
      <w:pPr>
        <w:pStyle w:val="Heading2"/>
        <w:bidi w:val="0"/>
        <w:ind w:hanging="0" w:left="0" w:right="0"/>
        <w:jc w:val="left"/>
        <w:rPr/>
      </w:pPr>
      <w:bookmarkStart w:id="22" w:name="an-agent-named-in-verifyjson-is-not-inst"/>
      <w:bookmarkEnd w:id="22"/>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32"/>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3" w:name="the-temp-directory-fills-with-crew-files"/>
      <w:bookmarkEnd w:id="23"/>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3"/>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4" w:name="a-setting-seems-to-do-nothing"/>
      <w:bookmarkEnd w:id="24"/>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4"/>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4"/>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5" w:name="graph-refresh-refused-secrets-denylisted"/>
      <w:bookmarkEnd w:id="25"/>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35"/>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36"/>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36"/>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26" w:name="a-message-from-another-session-asks-for-"/>
      <w:bookmarkEnd w:id="26"/>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37"/>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27" w:name="turning-things-off"/>
      <w:bookmarkEnd w:id="27"/>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2926" w:type="dxa"/>
        <w:jc w:val="left"/>
        <w:tblInd w:w="28" w:type="dxa"/>
        <w:tblLayout w:type="fixed"/>
        <w:tblCellMar>
          <w:top w:w="28" w:type="dxa"/>
          <w:left w:w="28" w:type="dxa"/>
          <w:bottom w:w="28" w:type="dxa"/>
          <w:right w:w="28" w:type="dxa"/>
        </w:tblCellMar>
      </w:tblPr>
      <w:tblGrid>
        <w:gridCol w:w="4249"/>
        <w:gridCol w:w="1607"/>
        <w:gridCol w:w="1634"/>
        <w:gridCol w:w="5436"/>
      </w:tblGrid>
      <w:tr>
        <w:trPr>
          <w:tblHeader w:val="true"/>
        </w:trPr>
        <w:tc>
          <w:tcPr>
            <w:tcW w:w="4249" w:type="dxa"/>
            <w:tcBorders/>
            <w:vAlign w:val="center"/>
          </w:tcPr>
          <w:p>
            <w:pPr>
              <w:pStyle w:val="TableHeading"/>
              <w:suppressLineNumbers/>
              <w:shd w:fill="434C5E" w:val="clear"/>
              <w:bidi w:val="0"/>
              <w:spacing w:before="120" w:after="120"/>
              <w:jc w:val="left"/>
              <w:rPr/>
            </w:pPr>
            <w:r>
              <w:rPr/>
              <w:t>Key</w:t>
            </w:r>
          </w:p>
        </w:tc>
        <w:tc>
          <w:tcPr>
            <w:tcW w:w="1607" w:type="dxa"/>
            <w:tcBorders/>
            <w:vAlign w:val="center"/>
          </w:tcPr>
          <w:p>
            <w:pPr>
              <w:pStyle w:val="TableHeading"/>
              <w:suppressLineNumbers/>
              <w:shd w:fill="434C5E" w:val="clear"/>
              <w:bidi w:val="0"/>
              <w:spacing w:before="120" w:after="120"/>
              <w:jc w:val="left"/>
              <w:rPr/>
            </w:pPr>
            <w:r>
              <w:rPr/>
              <w:t>Lives in</w:t>
            </w:r>
          </w:p>
        </w:tc>
        <w:tc>
          <w:tcPr>
            <w:tcW w:w="1634" w:type="dxa"/>
            <w:tcBorders/>
            <w:vAlign w:val="center"/>
          </w:tcPr>
          <w:p>
            <w:pPr>
              <w:pStyle w:val="TableHeading"/>
              <w:suppressLineNumbers/>
              <w:shd w:fill="434C5E" w:val="clear"/>
              <w:bidi w:val="0"/>
              <w:spacing w:before="120" w:after="120"/>
              <w:jc w:val="left"/>
              <w:rPr/>
            </w:pPr>
            <w:r>
              <w:rPr/>
              <w:t>Values</w:t>
            </w:r>
          </w:p>
        </w:tc>
        <w:tc>
          <w:tcPr>
            <w:tcW w:w="5436" w:type="dxa"/>
            <w:tcBorders/>
            <w:vAlign w:val="center"/>
          </w:tcPr>
          <w:p>
            <w:pPr>
              <w:pStyle w:val="TableHeading"/>
              <w:suppressLineNumbers/>
              <w:shd w:fill="434C5E" w:val="clear"/>
              <w:bidi w:val="0"/>
              <w:spacing w:before="120" w:after="120"/>
              <w:jc w:val="left"/>
              <w:rPr/>
            </w:pPr>
            <w:r>
              <w:rPr/>
              <w:t>What "off"/floor means</w:t>
            </w:r>
          </w:p>
        </w:tc>
      </w:tr>
      <w:tr>
        <w:trPr/>
        <w:tc>
          <w:tcPr>
            <w:tcW w:w="4249" w:type="dxa"/>
            <w:tcBorders/>
            <w:vAlign w:val="center"/>
          </w:tcPr>
          <w:p>
            <w:pPr>
              <w:pStyle w:val="TableContents"/>
              <w:shd w:fill="2E3440" w:val="clear"/>
              <w:bidi w:val="0"/>
              <w:spacing w:before="120" w:after="120"/>
              <w:jc w:val="left"/>
              <w:rPr/>
            </w:pPr>
            <w:r>
              <w:rPr>
                <w:rStyle w:val="SourceText"/>
              </w:rPr>
              <w:t>autopilot.mode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436"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249" w:type="dxa"/>
            <w:tcBorders/>
            <w:vAlign w:val="center"/>
          </w:tcPr>
          <w:p>
            <w:pPr>
              <w:pStyle w:val="TableContents"/>
              <w:shd w:fill="2E3440" w:val="clear"/>
              <w:bidi w:val="0"/>
              <w:spacing w:before="120" w:after="120"/>
              <w:jc w:val="left"/>
              <w:rPr/>
            </w:pPr>
            <w:r>
              <w:rPr>
                <w:rStyle w:val="SourceText"/>
              </w:rPr>
              <w:t>memory.inject</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249" w:type="dxa"/>
            <w:tcBorders/>
            <w:vAlign w:val="center"/>
          </w:tcPr>
          <w:p>
            <w:pPr>
              <w:pStyle w:val="TableContents"/>
              <w:shd w:fill="2E3440" w:val="clear"/>
              <w:bidi w:val="0"/>
              <w:spacing w:before="120" w:after="120"/>
              <w:jc w:val="left"/>
              <w:rPr/>
            </w:pPr>
            <w:r>
              <w:rPr>
                <w:rStyle w:val="SourceText"/>
              </w:rPr>
              <w:t>guards.cloudGuard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guards.roleWrites</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24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249" w:type="dxa"/>
            <w:tcBorders/>
            <w:vAlign w:val="center"/>
          </w:tcPr>
          <w:p>
            <w:pPr>
              <w:pStyle w:val="TableContents"/>
              <w:shd w:fill="2E3440" w:val="clear"/>
              <w:bidi w:val="0"/>
              <w:spacing w:before="120" w:after="120"/>
              <w:jc w:val="left"/>
              <w:rPr/>
            </w:pPr>
            <w:r>
              <w:rPr>
                <w:rStyle w:val="SourceText"/>
              </w:rPr>
              <w:t>guards.deployWorkflow</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environments.nonProd</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list of globs</w:t>
            </w:r>
          </w:p>
        </w:tc>
        <w:tc>
          <w:tcPr>
            <w:tcW w:w="5436"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environments.prodUnattended</w:t>
            </w:r>
          </w:p>
        </w:tc>
        <w:tc>
          <w:tcPr>
            <w:tcW w:w="1607"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24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436"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249" w:type="dxa"/>
            <w:tcBorders/>
            <w:vAlign w:val="center"/>
          </w:tcPr>
          <w:p>
            <w:pPr>
              <w:pStyle w:val="TableContents"/>
              <w:shd w:fill="2E3440" w:val="clear"/>
              <w:bidi w:val="0"/>
              <w:spacing w:before="120" w:after="120"/>
              <w:jc w:val="left"/>
              <w:rPr/>
            </w:pPr>
            <w:r>
              <w:rPr>
                <w:rStyle w:val="SourceText"/>
              </w:rPr>
              <w:t>scope.mode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436"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249" w:type="dxa"/>
            <w:tcBorders/>
            <w:vAlign w:val="center"/>
          </w:tcPr>
          <w:p>
            <w:pPr>
              <w:pStyle w:val="TableContents"/>
              <w:shd w:fill="2E3440" w:val="clear"/>
              <w:bidi w:val="0"/>
              <w:spacing w:before="120" w:after="120"/>
              <w:jc w:val="left"/>
              <w:rPr/>
            </w:pPr>
            <w:r>
              <w:rPr>
                <w:rStyle w:val="SourceText"/>
              </w:rPr>
              <w:t>scope.allowCliApproval</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249" w:type="dxa"/>
            <w:tcBorders/>
            <w:vAlign w:val="center"/>
          </w:tcPr>
          <w:p>
            <w:pPr>
              <w:pStyle w:val="TableContents"/>
              <w:shd w:fill="2E3440" w:val="clear"/>
              <w:bidi w:val="0"/>
              <w:spacing w:before="120" w:after="120"/>
              <w:jc w:val="left"/>
              <w:rPr/>
            </w:pPr>
            <w:r>
              <w:rPr>
                <w:rStyle w:val="SourceText"/>
              </w:rPr>
              <w:t>verifyGate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249" w:type="dxa"/>
            <w:tcBorders/>
            <w:vAlign w:val="center"/>
          </w:tcPr>
          <w:p>
            <w:pPr>
              <w:pStyle w:val="TableContents"/>
              <w:shd w:fill="2E3440" w:val="clear"/>
              <w:bidi w:val="0"/>
              <w:spacing w:before="120" w:after="120"/>
              <w:jc w:val="left"/>
              <w:rPr/>
            </w:pPr>
            <w:r>
              <w:rPr>
                <w:rStyle w:val="SourceText"/>
              </w:rPr>
              <w:t>context.enabled</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24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249" w:type="dxa"/>
            <w:tcBorders/>
            <w:vAlign w:val="center"/>
          </w:tcPr>
          <w:p>
            <w:pPr>
              <w:pStyle w:val="TableContents"/>
              <w:shd w:fill="2E3440" w:val="clear"/>
              <w:bidi w:val="0"/>
              <w:spacing w:before="120" w:after="120"/>
              <w:jc w:val="left"/>
              <w:rPr/>
            </w:pPr>
            <w:r>
              <w:rPr>
                <w:rStyle w:val="SourceText"/>
              </w:rPr>
              <w:t>notify.provider</w:t>
            </w:r>
          </w:p>
        </w:tc>
        <w:tc>
          <w:tcPr>
            <w:tcW w:w="1607" w:type="dxa"/>
            <w:tcBorders/>
            <w:vAlign w:val="center"/>
          </w:tcPr>
          <w:p>
            <w:pPr>
              <w:pStyle w:val="TableContents"/>
              <w:shd w:fill="2E3440" w:val="clear"/>
              <w:bidi w:val="0"/>
              <w:spacing w:before="120" w:after="120"/>
              <w:jc w:val="left"/>
              <w:rPr/>
            </w:pPr>
            <w:r>
              <w:rPr/>
              <w:t>both layers (a repo null inherits the global one)</w:t>
            </w:r>
          </w:p>
        </w:tc>
        <w:tc>
          <w:tcPr>
            <w:tcW w:w="1634"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436"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249" w:type="dxa"/>
            <w:tcBorders/>
            <w:vAlign w:val="center"/>
          </w:tcPr>
          <w:p>
            <w:pPr>
              <w:pStyle w:val="TableContents"/>
              <w:shd w:fill="2E3440" w:val="clear"/>
              <w:bidi w:val="0"/>
              <w:spacing w:before="120" w:after="120"/>
              <w:jc w:val="left"/>
              <w:rPr/>
            </w:pPr>
            <w:r>
              <w:rPr>
                <w:rStyle w:val="SourceText"/>
              </w:rPr>
              <w:t>change.requireForProduction</w:t>
            </w:r>
          </w:p>
        </w:tc>
        <w:tc>
          <w:tcPr>
            <w:tcW w:w="1607" w:type="dxa"/>
            <w:tcBorders/>
            <w:vAlign w:val="center"/>
          </w:tcPr>
          <w:p>
            <w:pPr>
              <w:pStyle w:val="TableContents"/>
              <w:shd w:fill="2E3440" w:val="clear"/>
              <w:bidi w:val="0"/>
              <w:spacing w:before="120" w:after="120"/>
              <w:jc w:val="left"/>
              <w:rPr/>
            </w:pPr>
            <w:r>
              <w:rPr/>
              <w:t>both layers, ratchets (may only turn ON)</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249" w:type="dxa"/>
            <w:tcBorders/>
            <w:vAlign w:val="center"/>
          </w:tcPr>
          <w:p>
            <w:pPr>
              <w:pStyle w:val="TableContents"/>
              <w:shd w:fill="2E3440" w:val="clear"/>
              <w:bidi w:val="0"/>
              <w:spacing w:before="120" w:after="120"/>
              <w:jc w:val="left"/>
              <w:rPr/>
            </w:pPr>
            <w:r>
              <w:rPr>
                <w:rStyle w:val="SourceText"/>
              </w:rPr>
              <w:t>install.policy</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5436"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terraformApply: allow</w:t>
      </w:r>
      <w:r>
        <w:rPr/>
        <w:t xml:space="preserve"> and </w:t>
      </w:r>
      <w:r>
        <w:rPr>
          <w:rStyle w:val="SourceText"/>
        </w:rPr>
        <w:t>environments.prodUnattended</w:t>
      </w:r>
      <w:r>
        <w:rPr/>
        <w:t xml:space="preserve"> included. The full decision table is in </w:t>
      </w:r>
      <w:r>
        <w:rPr>
          <w:rStyle w:val="SourceText"/>
        </w:rPr>
        <w:t>plugin/crew/CONFIG.md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28" w:name="web-testing"/>
      <w:bookmarkEnd w:id="28"/>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38"/>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38"/>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38"/>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38"/>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29" w:name="windows-notes"/>
      <w:bookmarkEnd w:id="29"/>
      <w:r>
        <w:rPr/>
        <w:t>Windows Notes</w:t>
      </w:r>
    </w:p>
    <w:p>
      <w:pPr>
        <w:pStyle w:val="BodyText"/>
        <w:numPr>
          <w:ilvl w:val="0"/>
          <w:numId w:val="39"/>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39"/>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39"/>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39"/>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30" w:name="auto-wrap-up-auto-clear-and-auto-resume"/>
      <w:bookmarkEnd w:id="30"/>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31" w:name="what-the-cycle-does"/>
      <w:bookmarkEnd w:id="31"/>
      <w:r>
        <w:rPr/>
        <w:t>What the Cycle Does</w:t>
      </w:r>
    </w:p>
    <w:p>
      <w:pPr>
        <w:pStyle w:val="BodyText"/>
        <w:numPr>
          <w:ilvl w:val="0"/>
          <w:numId w:val="40"/>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40"/>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32" w:name="turning-it-on-and-off"/>
      <w:bookmarkEnd w:id="32"/>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2926" w:type="dxa"/>
        <w:jc w:val="left"/>
        <w:tblInd w:w="28" w:type="dxa"/>
        <w:tblLayout w:type="fixed"/>
        <w:tblCellMar>
          <w:top w:w="28" w:type="dxa"/>
          <w:left w:w="28" w:type="dxa"/>
          <w:bottom w:w="28" w:type="dxa"/>
          <w:right w:w="28" w:type="dxa"/>
        </w:tblCellMar>
      </w:tblPr>
      <w:tblGrid>
        <w:gridCol w:w="2552"/>
        <w:gridCol w:w="4100"/>
        <w:gridCol w:w="2009"/>
        <w:gridCol w:w="4265"/>
      </w:tblGrid>
      <w:tr>
        <w:trPr>
          <w:tblHeader w:val="true"/>
        </w:trPr>
        <w:tc>
          <w:tcPr>
            <w:tcW w:w="2552"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2009" w:type="dxa"/>
            <w:tcBorders/>
            <w:vAlign w:val="center"/>
          </w:tcPr>
          <w:p>
            <w:pPr>
              <w:pStyle w:val="TableHeading"/>
              <w:suppressLineNumbers/>
              <w:shd w:fill="434C5E" w:val="clear"/>
              <w:bidi w:val="0"/>
              <w:spacing w:before="120" w:after="120"/>
              <w:jc w:val="left"/>
              <w:rPr/>
            </w:pPr>
            <w:r>
              <w:rPr/>
              <w:t>Value</w:t>
            </w:r>
          </w:p>
        </w:tc>
        <w:tc>
          <w:tcPr>
            <w:tcW w:w="4265" w:type="dxa"/>
            <w:tcBorders/>
            <w:vAlign w:val="center"/>
          </w:tcPr>
          <w:p>
            <w:pPr>
              <w:pStyle w:val="TableHeading"/>
              <w:suppressLineNumbers/>
              <w:shd w:fill="434C5E" w:val="clear"/>
              <w:bidi w:val="0"/>
              <w:spacing w:before="120" w:after="120"/>
              <w:jc w:val="left"/>
              <w:rPr/>
            </w:pPr>
            <w:r>
              <w:rPr/>
              <w:t>Effect</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2009"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4265"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2009" w:type="dxa"/>
            <w:tcBorders/>
            <w:vAlign w:val="center"/>
          </w:tcPr>
          <w:p>
            <w:pPr>
              <w:pStyle w:val="TableContents"/>
              <w:shd w:fill="2E3440" w:val="clear"/>
              <w:bidi w:val="0"/>
              <w:spacing w:before="120" w:after="120"/>
              <w:jc w:val="left"/>
              <w:rPr/>
            </w:pPr>
            <w:r>
              <w:rPr/>
              <w:t>a substring of the terminal's title</w:t>
            </w:r>
          </w:p>
        </w:tc>
        <w:tc>
          <w:tcPr>
            <w:tcW w:w="4265"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2009" w:type="dxa"/>
            <w:tcBorders/>
            <w:vAlign w:val="center"/>
          </w:tcPr>
          <w:p>
            <w:pPr>
              <w:pStyle w:val="TableContents"/>
              <w:shd w:fill="2E3440" w:val="clear"/>
              <w:bidi w:val="0"/>
              <w:spacing w:before="120" w:after="120"/>
              <w:jc w:val="left"/>
              <w:rPr/>
            </w:pPr>
            <w:r>
              <w:rPr>
                <w:rStyle w:val="SourceText"/>
              </w:rPr>
              <w:t>3</w:t>
            </w:r>
          </w:p>
        </w:tc>
        <w:tc>
          <w:tcPr>
            <w:tcW w:w="4265" w:type="dxa"/>
            <w:tcBorders/>
            <w:vAlign w:val="center"/>
          </w:tcPr>
          <w:p>
            <w:pPr>
              <w:pStyle w:val="TableContents"/>
              <w:shd w:fill="2E3440" w:val="clear"/>
              <w:bidi w:val="0"/>
              <w:spacing w:before="120" w:after="120"/>
              <w:jc w:val="left"/>
              <w:rPr/>
            </w:pPr>
            <w:r>
              <w:rPr/>
              <w:t>wait before typing, so the prompt exists</w:t>
            </w:r>
          </w:p>
        </w:tc>
      </w:tr>
      <w:tr>
        <w:trPr/>
        <w:tc>
          <w:tcPr>
            <w:tcW w:w="2552"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2009" w:type="dxa"/>
            <w:tcBorders/>
            <w:vAlign w:val="center"/>
          </w:tcPr>
          <w:p>
            <w:pPr>
              <w:pStyle w:val="TableContents"/>
              <w:shd w:fill="2E3440" w:val="clear"/>
              <w:bidi w:val="0"/>
              <w:spacing w:before="120" w:after="120"/>
              <w:jc w:val="left"/>
              <w:rPr/>
            </w:pPr>
            <w:r>
              <w:rPr>
                <w:rStyle w:val="SourceText"/>
              </w:rPr>
              <w:t>5</w:t>
            </w:r>
          </w:p>
        </w:tc>
        <w:tc>
          <w:tcPr>
            <w:tcW w:w="4265" w:type="dxa"/>
            <w:tcBorders/>
            <w:vAlign w:val="center"/>
          </w:tcPr>
          <w:p>
            <w:pPr>
              <w:pStyle w:val="TableContents"/>
              <w:shd w:fill="2E3440" w:val="clear"/>
              <w:bidi w:val="0"/>
              <w:spacing w:before="120" w:after="120"/>
              <w:jc w:val="left"/>
              <w:rPr/>
            </w:pPr>
            <w:r>
              <w:rPr/>
              <w:t>a shorter handoff counts as a stub</w:t>
            </w:r>
          </w:p>
        </w:tc>
      </w:tr>
      <w:tr>
        <w:trPr/>
        <w:tc>
          <w:tcPr>
            <w:tcW w:w="2552"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2"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2"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context.autoClear.wrapUp</w:t>
            </w:r>
          </w:p>
        </w:tc>
        <w:tc>
          <w:tcPr>
            <w:tcW w:w="2009" w:type="dxa"/>
            <w:tcBorders/>
            <w:vAlign w:val="center"/>
          </w:tcPr>
          <w:p>
            <w:pPr>
              <w:pStyle w:val="TableContents"/>
              <w:shd w:fill="2E3440" w:val="clear"/>
              <w:bidi w:val="0"/>
              <w:spacing w:before="120" w:after="120"/>
              <w:jc w:val="left"/>
              <w:rPr/>
            </w:pPr>
            <w:r>
              <w:rPr>
                <w:rStyle w:val="SourceText"/>
              </w:rPr>
              <w:t>true</w:t>
            </w:r>
          </w:p>
        </w:tc>
        <w:tc>
          <w:tcPr>
            <w:tcW w:w="4265"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2"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2009" w:type="dxa"/>
            <w:tcBorders/>
            <w:vAlign w:val="center"/>
          </w:tcPr>
          <w:p>
            <w:pPr>
              <w:pStyle w:val="TableContents"/>
              <w:shd w:fill="2E3440" w:val="clear"/>
              <w:bidi w:val="0"/>
              <w:spacing w:before="120" w:after="120"/>
              <w:jc w:val="left"/>
              <w:rPr/>
            </w:pPr>
            <w:r>
              <w:rPr>
                <w:rStyle w:val="SourceText"/>
              </w:rPr>
              <w:t>false</w:t>
            </w:r>
          </w:p>
        </w:tc>
        <w:tc>
          <w:tcPr>
            <w:tcW w:w="4265"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3" w:name="armed-wrap-up-contextautoclearwrapup"/>
      <w:bookmarkEnd w:id="33"/>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41"/>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41"/>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41"/>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41"/>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4" w:name="arming-one-scratch-repo-while-other-sess"/>
      <w:bookmarkEnd w:id="34"/>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42"/>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42"/>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42"/>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42"/>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42"/>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42"/>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42"/>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5" w:name="which-method-and-what-it-does"/>
      <w:bookmarkEnd w:id="35"/>
      <w:r>
        <w:rPr/>
        <w:t>Which Method, and What It Does</w:t>
      </w:r>
    </w:p>
    <w:tbl>
      <w:tblPr>
        <w:tblW w:w="12926" w:type="dxa"/>
        <w:jc w:val="left"/>
        <w:tblInd w:w="28" w:type="dxa"/>
        <w:tblLayout w:type="fixed"/>
        <w:tblCellMar>
          <w:top w:w="28" w:type="dxa"/>
          <w:left w:w="28" w:type="dxa"/>
          <w:bottom w:w="28" w:type="dxa"/>
          <w:right w:w="28" w:type="dxa"/>
        </w:tblCellMar>
      </w:tblPr>
      <w:tblGrid>
        <w:gridCol w:w="1180"/>
        <w:gridCol w:w="9263"/>
        <w:gridCol w:w="2483"/>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9263" w:type="dxa"/>
            <w:tcBorders/>
            <w:vAlign w:val="center"/>
          </w:tcPr>
          <w:p>
            <w:pPr>
              <w:pStyle w:val="TableHeading"/>
              <w:suppressLineNumbers/>
              <w:shd w:fill="434C5E" w:val="clear"/>
              <w:bidi w:val="0"/>
              <w:spacing w:before="120" w:after="120"/>
              <w:jc w:val="left"/>
              <w:rPr/>
            </w:pPr>
            <w:r>
              <w:rPr/>
              <w:t>What it does</w:t>
            </w:r>
          </w:p>
        </w:tc>
        <w:tc>
          <w:tcPr>
            <w:tcW w:w="2483"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9263"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483"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9263"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483"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9263"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483"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9263"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483" w:type="dxa"/>
            <w:tcBorders/>
            <w:vAlign w:val="center"/>
          </w:tcPr>
          <w:p>
            <w:pPr>
              <w:pStyle w:val="TableContents"/>
              <w:shd w:fill="2E3440" w:val="clear"/>
              <w:bidi w:val="0"/>
              <w:spacing w:before="120" w:after="120"/>
              <w:jc w:val="left"/>
              <w:rPr/>
            </w:pPr>
            <w:r>
              <w:rPr/>
              <w:t>never (opt-in only)</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9263" w:type="dxa"/>
            <w:tcBorders/>
            <w:vAlign w:val="center"/>
          </w:tcPr>
          <w:p>
            <w:pPr>
              <w:pStyle w:val="TableContents"/>
              <w:shd w:fill="2E3440" w:val="clear"/>
              <w:bidi w:val="0"/>
              <w:spacing w:before="120" w:after="120"/>
              <w:jc w:val="left"/>
              <w:rPr/>
            </w:pPr>
            <w:r>
              <w:rPr/>
              <w:t>Refused outright.</w:t>
            </w:r>
          </w:p>
        </w:tc>
        <w:tc>
          <w:tcPr>
            <w:tcW w:w="2483"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36" w:name="when-it-will-not-clear-or-notify"/>
      <w:bookmarkEnd w:id="36"/>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2926" w:type="dxa"/>
        <w:jc w:val="left"/>
        <w:tblInd w:w="28" w:type="dxa"/>
        <w:tblLayout w:type="fixed"/>
        <w:tblCellMar>
          <w:top w:w="28" w:type="dxa"/>
          <w:left w:w="28" w:type="dxa"/>
          <w:bottom w:w="28" w:type="dxa"/>
          <w:right w:w="28" w:type="dxa"/>
        </w:tblCellMar>
      </w:tblPr>
      <w:tblGrid>
        <w:gridCol w:w="5613"/>
        <w:gridCol w:w="7313"/>
      </w:tblGrid>
      <w:tr>
        <w:trPr>
          <w:tblHeader w:val="true"/>
        </w:trPr>
        <w:tc>
          <w:tcPr>
            <w:tcW w:w="5613" w:type="dxa"/>
            <w:tcBorders/>
            <w:vAlign w:val="center"/>
          </w:tcPr>
          <w:p>
            <w:pPr>
              <w:pStyle w:val="TableHeading"/>
              <w:suppressLineNumbers/>
              <w:shd w:fill="434C5E" w:val="clear"/>
              <w:bidi w:val="0"/>
              <w:spacing w:before="120" w:after="120"/>
              <w:jc w:val="left"/>
              <w:rPr/>
            </w:pPr>
            <w:r>
              <w:rPr/>
              <w:t>Log says</w:t>
            </w:r>
          </w:p>
        </w:tc>
        <w:tc>
          <w:tcPr>
            <w:tcW w:w="7313" w:type="dxa"/>
            <w:tcBorders/>
            <w:vAlign w:val="center"/>
          </w:tcPr>
          <w:p>
            <w:pPr>
              <w:pStyle w:val="TableHeading"/>
              <w:suppressLineNumbers/>
              <w:shd w:fill="434C5E" w:val="clear"/>
              <w:bidi w:val="0"/>
              <w:spacing w:before="120" w:after="120"/>
              <w:jc w:val="left"/>
              <w:rPr/>
            </w:pPr>
            <w:r>
              <w:rPr/>
              <w:t>Meaning</w:t>
            </w:r>
          </w:p>
        </w:tc>
      </w:tr>
      <w:tr>
        <w:trPr/>
        <w:tc>
          <w:tcPr>
            <w:tcW w:w="5613"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313"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613" w:type="dxa"/>
            <w:tcBorders/>
            <w:vAlign w:val="center"/>
          </w:tcPr>
          <w:p>
            <w:pPr>
              <w:pStyle w:val="TableContents"/>
              <w:shd w:fill="2E3440" w:val="clear"/>
              <w:bidi w:val="0"/>
              <w:spacing w:before="120" w:after="120"/>
              <w:jc w:val="left"/>
              <w:rPr/>
            </w:pPr>
            <w:r>
              <w:rPr>
                <w:rStyle w:val="SourceText"/>
              </w:rPr>
              <w:t>not trustworthy (unknown-window)</w:t>
            </w:r>
          </w:p>
        </w:tc>
        <w:tc>
          <w:tcPr>
            <w:tcW w:w="7313"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613"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313" w:type="dxa"/>
            <w:tcBorders/>
            <w:vAlign w:val="center"/>
          </w:tcPr>
          <w:p>
            <w:pPr>
              <w:pStyle w:val="TableContents"/>
              <w:shd w:fill="2E3440" w:val="clear"/>
              <w:bidi w:val="0"/>
              <w:spacing w:before="120" w:after="120"/>
              <w:jc w:val="left"/>
              <w:rPr/>
            </w:pPr>
            <w:r>
              <w:rPr/>
              <w:t>the last reading came from before a compaction</w:t>
            </w:r>
          </w:p>
        </w:tc>
      </w:tr>
      <w:tr>
        <w:trPr/>
        <w:tc>
          <w:tcPr>
            <w:tcW w:w="5613" w:type="dxa"/>
            <w:tcBorders/>
            <w:vAlign w:val="center"/>
          </w:tcPr>
          <w:p>
            <w:pPr>
              <w:pStyle w:val="TableContents"/>
              <w:shd w:fill="2E3440" w:val="clear"/>
              <w:bidi w:val="0"/>
              <w:spacing w:before="120" w:after="120"/>
              <w:jc w:val="left"/>
              <w:rPr/>
            </w:pPr>
            <w:r>
              <w:rPr>
                <w:rStyle w:val="SourceText"/>
              </w:rPr>
              <w:t>the wrap-up marker is empty or not JSON</w:t>
            </w:r>
          </w:p>
        </w:tc>
        <w:tc>
          <w:tcPr>
            <w:tcW w:w="7313"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613" w:type="dxa"/>
            <w:tcBorders/>
            <w:vAlign w:val="center"/>
          </w:tcPr>
          <w:p>
            <w:pPr>
              <w:pStyle w:val="TableContents"/>
              <w:shd w:fill="2E3440" w:val="clear"/>
              <w:bidi w:val="0"/>
              <w:spacing w:before="120" w:after="120"/>
              <w:jc w:val="left"/>
              <w:rPr/>
            </w:pPr>
            <w:r>
              <w:rPr>
                <w:rStyle w:val="SourceText"/>
              </w:rPr>
              <w:t>predates this session's wrap-up request</w:t>
            </w:r>
          </w:p>
        </w:tc>
        <w:tc>
          <w:tcPr>
            <w:tcW w:w="7313"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613" w:type="dxa"/>
            <w:tcBorders/>
            <w:vAlign w:val="center"/>
          </w:tcPr>
          <w:p>
            <w:pPr>
              <w:pStyle w:val="TableContents"/>
              <w:shd w:fill="2E3440" w:val="clear"/>
              <w:bidi w:val="0"/>
              <w:spacing w:before="120" w:after="120"/>
              <w:jc w:val="left"/>
              <w:rPr/>
            </w:pPr>
            <w:r>
              <w:rPr>
                <w:rStyle w:val="SourceText"/>
              </w:rPr>
              <w:t>automatic PreCompact skeleton</w:t>
            </w:r>
          </w:p>
        </w:tc>
        <w:tc>
          <w:tcPr>
            <w:tcW w:w="7313"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613"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313"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313"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313"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613"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313"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313"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313"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613"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313"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613"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313"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613"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313"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613" w:type="dxa"/>
            <w:tcBorders/>
            <w:vAlign w:val="center"/>
          </w:tcPr>
          <w:p>
            <w:pPr>
              <w:pStyle w:val="TableContents"/>
              <w:shd w:fill="2E3440" w:val="clear"/>
              <w:bidi w:val="0"/>
              <w:spacing w:before="120" w:after="120"/>
              <w:jc w:val="left"/>
              <w:rPr/>
            </w:pPr>
            <w:r>
              <w:rPr>
                <w:rStyle w:val="SourceText"/>
              </w:rPr>
              <w:t>tmux pane %N could not be confirmed</w:t>
            </w:r>
          </w:p>
        </w:tc>
        <w:tc>
          <w:tcPr>
            <w:tcW w:w="7313"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613" w:type="dxa"/>
            <w:tcBorders/>
            <w:vAlign w:val="center"/>
          </w:tcPr>
          <w:p>
            <w:pPr>
              <w:pStyle w:val="TableContents"/>
              <w:shd w:fill="2E3440" w:val="clear"/>
              <w:bidi w:val="0"/>
              <w:spacing w:before="120" w:after="120"/>
              <w:jc w:val="left"/>
              <w:rPr/>
            </w:pPr>
            <w:r>
              <w:rPr>
                <w:rStyle w:val="SourceText"/>
              </w:rPr>
              <w:t>method wtype ... is refused</w:t>
            </w:r>
          </w:p>
        </w:tc>
        <w:tc>
          <w:tcPr>
            <w:tcW w:w="7313"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613" w:type="dxa"/>
            <w:tcBorders/>
            <w:vAlign w:val="center"/>
          </w:tcPr>
          <w:p>
            <w:pPr>
              <w:pStyle w:val="TableContents"/>
              <w:shd w:fill="2E3440" w:val="clear"/>
              <w:bidi w:val="0"/>
              <w:spacing w:before="120" w:after="120"/>
              <w:jc w:val="left"/>
              <w:rPr/>
            </w:pPr>
            <w:r>
              <w:rPr>
                <w:rStyle w:val="SourceText"/>
              </w:rPr>
              <w:t>sent - method notify</w:t>
            </w:r>
          </w:p>
        </w:tc>
        <w:tc>
          <w:tcPr>
            <w:tcW w:w="7313"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7313"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613"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7313"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37" w:name="which-window-gets-the-keystroke"/>
      <w:bookmarkEnd w:id="37"/>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43"/>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3"/>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43"/>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