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runs, and the config key that turns its behaviour up or down. </w:t>
      </w:r>
      <w:r>
        <w:rPr>
          <w:rStyle w:val="SourceText"/>
        </w:rPr>
        <w:t>plugin/crew/hooks/hooks.json</w:t>
      </w:r>
      <w:r>
        <w:rPr/>
        <w:t xml:space="preserve"> registers one launcher per event per shell (</w:t>
      </w:r>
      <w:r>
        <w:rPr>
          <w:rStyle w:val="SourceText"/>
        </w:rPr>
        <w:t>crew-hook.sh</w:t>
      </w:r>
      <w:r>
        <w:rPr/>
        <w:t xml:space="preserve">, and </w:t>
      </w:r>
      <w:r>
        <w:rPr>
          <w:rStyle w:val="SourceText"/>
        </w:rPr>
        <w:t>crew-hook.ps1</w:t>
      </w:r>
      <w:r>
        <w:rPr/>
        <w:t xml:space="preserve"> with </w:t>
      </w:r>
      <w:r>
        <w:rPr>
          <w:rStyle w:val="SourceText"/>
        </w:rPr>
        <w:t>shell: "powershell"</w:t>
      </w:r>
      <w:r>
        <w:rPr/>
        <w:t xml:space="preserve">); the launcher starts one dispatcher, </w:t>
      </w:r>
      <w:r>
        <w:rPr>
          <w:rStyle w:val="SourceText"/>
        </w:rPr>
        <w:t>crew_hook.py &lt;Event&gt;</w:t>
      </w:r>
      <w:r>
        <w:rPr/>
        <w:t xml:space="preserve">, which runs that event's scripts below at once and combines what they print. On Windows only the PowerShell launcher runs, so no event fires twice. When the launcher or dispatcher itself fails in a repo crew governs, </w:t>
      </w:r>
      <w:r>
        <w:rPr>
          <w:rStyle w:val="SourceText"/>
        </w:rPr>
        <w:t>PreToolUse</w:t>
      </w:r>
      <w:r>
        <w:rPr/>
        <w:t xml:space="preserve">, </w:t>
      </w:r>
      <w:r>
        <w:rPr>
          <w:rStyle w:val="SourceText"/>
        </w:rPr>
        <w:t>UserPromptSubmit</w:t>
      </w:r>
      <w:r>
        <w:rPr/>
        <w:t xml:space="preserve"> and </w:t>
      </w:r>
      <w:r>
        <w:rPr>
          <w:rStyle w:val="SourceText"/>
        </w:rPr>
        <w:t>Stop</w:t>
      </w:r>
      <w:r>
        <w:rPr/>
        <w:t xml:space="preserve"> refuse with </w:t>
      </w:r>
      <w:r>
        <w:rPr>
          <w:rStyle w:val="SourceText"/>
        </w:rPr>
        <w:t>crew-hook: ... failing closed (armed repo)</w:t>
      </w:r>
      <w:r>
        <w:rPr/>
        <w:t xml:space="preserve"> and the cause, rather than let the call through unjudged.</w:t>
      </w:r>
    </w:p>
    <w:tbl>
      <w:tblPr>
        <w:tblW w:w="14050" w:type="dxa"/>
        <w:jc w:val="left"/>
        <w:tblInd w:w="28" w:type="dxa"/>
        <w:tblLayout w:type="fixed"/>
        <w:tblCellMar>
          <w:top w:w="28" w:type="dxa"/>
          <w:left w:w="28" w:type="dxa"/>
          <w:bottom w:w="28" w:type="dxa"/>
          <w:right w:w="28" w:type="dxa"/>
        </w:tblCellMar>
      </w:tblPr>
      <w:tblGrid>
        <w:gridCol w:w="2119"/>
        <w:gridCol w:w="2456"/>
        <w:gridCol w:w="3932"/>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3932"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393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if the context hook did not inject it</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393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3932"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injection itself has no separate switch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393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393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guards.profile</w:t>
            </w:r>
            <w:r>
              <w:rPr/>
              <w:t xml:space="preserve">, or </w:t>
            </w:r>
            <w:r>
              <w:rPr>
                <w:rStyle w:val="SourceText"/>
              </w:rPr>
              <w:t>guards.overrides.&lt;guard&gt;</w:t>
            </w:r>
            <w:r>
              <w:rPr/>
              <w:t xml:space="preserve"> for </w:t>
            </w:r>
            <w:r>
              <w:rPr>
                <w:rStyle w:val="SourceText"/>
              </w:rPr>
              <w:t>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xml:space="preserve">, </w:t>
            </w:r>
            <w:r>
              <w:rPr>
                <w:rStyle w:val="SourceText"/>
              </w:rPr>
              <w:t>prodDatabase</w:t>
            </w:r>
            <w:r>
              <w:rPr/>
              <w:t xml:space="preserve">, </w:t>
            </w:r>
            <w:r>
              <w:rPr>
                <w:rStyle w:val="SourceText"/>
              </w:rPr>
              <w:t>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3932"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guards.overrides.roleWrites</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393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guards.overrides.deployWorkflow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guards.overrides.cloudGuard</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3932"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guards.overrides.envGuard</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3932"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3932"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3932"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t xml:space="preserve">— </w:t>
            </w:r>
            <w:r>
              <w:rPr/>
              <w:t xml:space="preserve">(always on; the handoff path is fixed at </w:t>
            </w:r>
            <w:r>
              <w:rPr>
                <w:rStyle w:val="SourceText"/>
              </w:rPr>
              <w:t>.work/HANDOFF.md</w:t>
            </w:r>
            <w:r>
              <w:rPr/>
              <w:t>)</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3932"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393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3932"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0.4</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3932"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guards.profile: off</w:t>
      </w:r>
      <w:r>
        <w:rPr/>
        <w:t xml:space="preserve"> (which leaves the role-write, cloud and environment guards off)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{"context": {"enabled": false}}</w:t>
      </w:r>
      <w:r>
        <w:rPr/>
        <w:t xml:space="preserve"> stops the context hook and the Stop nag with it. There is no separate switch for injection since 1.0.0 (the </w:t>
      </w:r>
      <w:r>
        <w:rPr>
          <w:rStyle w:val="SourceText"/>
        </w:rPr>
        <w:t>memory.inject</w:t>
      </w:r>
      <w:r>
        <w:rPr/>
        <w:t xml:space="preserve"> setting was removed).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--check-receipt</w:t>
      </w:r>
      <w:r>
        <w:rPr>
          <w:rStyle w:val="Strong"/>
        </w:rPr>
        <w:t xml:space="preserve"> says </w:t>
      </w:r>
      <w:r>
        <w:rPr>
          <w:rStyle w:val="SourceText"/>
        </w:rPr>
        <w:t>no accepted review receipt ... (ledger absent); could not tell whether head &lt;sha&gt; was reviewed</w:t>
      </w:r>
      <w:r>
        <w:rPr>
          <w:rStyle w:val="Strong"/>
        </w:rPr>
        <w:t>, or another host merged a PR whose review you cannot see.</w:t>
      </w:r>
      <w:r>
        <w:rPr/>
        <w:t xml:space="preserve"> </w:t>
      </w:r>
      <w:r>
        <w:rPr>
          <w:rStyle w:val="Strong"/>
        </w:rPr>
        <w:t>Cause:</w:t>
      </w:r>
      <w:r>
        <w:rPr/>
        <w:t xml:space="preserve"> the review ledger and receipt are host-local (</w:t>
      </w:r>
      <w:r>
        <w:rPr>
          <w:rStyle w:val="SourceText"/>
        </w:rPr>
        <w:t>&lt;git-common-dir&gt;/crew/review/</w:t>
      </w:r>
      <w:r>
        <w:rPr/>
        <w:t xml:space="preserve">, </w:t>
      </w:r>
      <w:r>
        <w:rPr>
          <w:rStyle w:val="SourceText"/>
        </w:rPr>
        <w:t>.work/</w:t>
      </w:r>
      <w:r>
        <w:rPr/>
        <w:t xml:space="preserve">), so a session on a host that did not run the review has none. That is could-not-tell, not "nothing to gate" (L-0780; PR #599 merged with 4 open BLOCKs on that misreading). </w:t>
      </w:r>
      <w:r>
        <w:rPr>
          <w:rStyle w:val="Strong"/>
        </w:rPr>
        <w:t>Check:</w:t>
      </w:r>
    </w:p>
    <w:p>
      <w:pPr>
        <w:pStyle w:val="PreformattedText"/>
        <w:bidi w:val="0"/>
        <w:jc w:val="left"/>
        <w:rPr/>
      </w:pPr>
      <w:r>
        <w:rPr>
          <w:rStyle w:val="SourceText"/>
        </w:rPr>
        <w:t>python3 "&lt;crew&gt;/hooks/scripts/review_status.py" check --pr &lt;PR&gt;</w:t>
      </w:r>
    </w:p>
    <w:p>
      <w:pPr>
        <w:pStyle w:val="BodyText"/>
        <w:bidi w:val="0"/>
        <w:jc w:val="left"/>
        <w:rPr/>
      </w:pPr>
      <w:r>
        <w:rPr>
          <w:rStyle w:val="SourceText"/>
        </w:rPr>
        <w:t>REVIEW_GATE ALLOW</w:t>
      </w:r>
      <w:r>
        <w:rPr/>
        <w:t xml:space="preserve"> (exit 0) means GitHub holds exactly one </w:t>
      </w:r>
      <w:r>
        <w:rPr>
          <w:rStyle w:val="SourceText"/>
        </w:rPr>
        <w:t>crew/review</w:t>
      </w:r>
      <w:r>
        <w:rPr/>
        <w:t xml:space="preserve"> success with </w:t>
      </w:r>
      <w:r>
        <w:rPr>
          <w:rStyle w:val="SourceText"/>
        </w:rPr>
        <w:t>blocks=0</w:t>
      </w:r>
      <w:r>
        <w:rPr/>
        <w:t xml:space="preserve"> for that exact head; </w:t>
      </w:r>
      <w:r>
        <w:rPr>
          <w:rStyle w:val="SourceText"/>
        </w:rPr>
        <w:t>BLOCK</w:t>
      </w:r>
      <w:r>
        <w:rPr/>
        <w:t xml:space="preserve"> (1) and </w:t>
      </w:r>
      <w:r>
        <w:rPr>
          <w:rStyle w:val="SourceText"/>
        </w:rPr>
        <w:t>COULD_NOT_TELL</w:t>
      </w:r>
      <w:r>
        <w:rPr/>
        <w:t xml:space="preserve"> (2) both refuse. The command reads only GitHub: no local ledger, no working tree. Nothing publishes the status yet (L-0821), so today it reads </w:t>
      </w:r>
      <w:r>
        <w:rPr>
          <w:rStyle w:val="SourceText"/>
        </w:rPr>
        <w:t>COULD_NOT_TELL</w:t>
      </w:r>
      <w:r>
        <w:rPr/>
        <w:t xml:space="preserve">, which is safe. A status attests, it does not prove, and </w:t>
      </w:r>
      <w:r>
        <w:rPr>
          <w:rStyle w:val="SourceText"/>
        </w:rPr>
        <w:t>gh pr merge --admin</w:t>
      </w:r>
      <w:r>
        <w:rPr/>
        <w:t xml:space="preserve"> bypasses a required check.</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8"/>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9"/>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9"/>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10"/>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1"/>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3"/>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5"/>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5"/>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the cloud-guard no-python fallback and </w:t>
      </w:r>
      <w:r>
        <w:rPr>
          <w:rStyle w:val="SourceText"/>
        </w:rPr>
        <w:t>auto-clear.sh</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5"/>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6"/>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6"/>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7"/>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7"/>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7"/>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7"/>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8"/>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8"/>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(since crew 1.2.39 the quiet Stop path counts these in the verdict line's </w:t>
      </w:r>
      <w:r>
        <w:rPr>
          <w:rStyle w:val="SourceText"/>
        </w:rPr>
        <w:t>over-budget</w:t>
      </w:r>
      <w:r>
        <w:rPr/>
        <w:t xml:space="preserve"> and </w:t>
      </w:r>
      <w:r>
        <w:rPr>
          <w:rStyle w:val="SourceText"/>
        </w:rPr>
        <w:t>deferred</w:t>
      </w:r>
      <w:r>
        <w:rPr/>
        <w:t xml:space="preserve"> figures and writes the per-rule text to </w:t>
      </w:r>
      <w:r>
        <w:rPr>
          <w:rStyle w:val="SourceText"/>
        </w:rPr>
        <w:t>.crew/.verify-gate.log</w:t>
      </w:r>
      <w:r>
        <w:rPr/>
        <w:t xml:space="preserve">; </w:t>
      </w:r>
      <w:r>
        <w:rPr>
          <w:rStyle w:val="SourceText"/>
        </w:rPr>
        <w:t>--verbose</w:t>
      </w:r>
      <w:r>
        <w:rPr/>
        <w:t xml:space="preserve"> prints it):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says-untrusted-changed-remot"/>
      <w:bookmarkEnd w:id="6"/>
      <w:r>
        <w:rPr/>
        <w:t>Verify Gate Says UNTRUSTED, CHANGED, REMOTE CHANGED or UNKNOWN, Not Run</w:t>
      </w:r>
    </w:p>
    <w:p>
      <w:pPr>
        <w:pStyle w:val="BodyText"/>
        <w:bidi w:val="0"/>
        <w:jc w:val="left"/>
        <w:rPr/>
      </w:pPr>
      <w:r>
        <w:rPr>
          <w:rStyle w:val="SourceText"/>
        </w:rPr>
        <w:t>verify-gate.sh</w:t>
      </w:r>
      <w:r>
        <w:rPr/>
        <w:t xml:space="preserve"> (L-0888, crew 1.2.85). </w:t>
      </w:r>
      <w:r>
        <w:rPr>
          <w:rStyle w:val="SourceText"/>
        </w:rPr>
        <w:t>.crew/verify.json</w:t>
      </w:r>
      <w:r>
        <w:rPr/>
        <w:t xml:space="preserve"> is text the repo's authors wrote and its </w:t>
      </w:r>
      <w:r>
        <w:rPr>
          <w:rStyle w:val="SourceText"/>
        </w:rPr>
        <w:t>run</w:t>
      </w:r>
      <w:r>
        <w:rPr/>
        <w:t xml:space="preserve"> strings reach </w:t>
      </w:r>
      <w:r>
        <w:rPr>
          <w:rStyle w:val="SourceText"/>
        </w:rPr>
        <w:t>eval</w:t>
      </w:r>
      <w:r>
        <w:rPr/>
        <w:t xml:space="preserve">; the Stop gate (and </w:t>
      </w:r>
      <w:r>
        <w:rPr>
          <w:rStyle w:val="SourceText"/>
        </w:rPr>
        <w:t>--all</w:t>
      </w:r>
      <w:r>
        <w:rPr/>
        <w:t xml:space="preserve"> and </w:t>
      </w:r>
      <w:r>
        <w:rPr>
          <w:rStyle w:val="SourceText"/>
        </w:rPr>
        <w:t>--price</w:t>
      </w:r>
      <w:r>
        <w:rPr/>
        <w:t>) therefore runs it only for a repo this machine trusts. Otherwise it prints one line, runs nothing, writes no pass record and exits 0 (</w:t>
      </w:r>
      <w:r>
        <w:rPr>
          <w:rStyle w:val="SourceText"/>
        </w:rPr>
        <w:t>--price</w:t>
      </w:r>
      <w:r>
        <w:rPr/>
        <w:t xml:space="preserve"> exits 1, since nothing was priced):</w:t>
      </w:r>
    </w:p>
    <w:p>
      <w:pPr>
        <w:pStyle w:val="BodyText"/>
        <w:numPr>
          <w:ilvl w:val="0"/>
          <w:numId w:val="19"/>
        </w:numPr>
        <w:tabs>
          <w:tab w:val="clear" w:pos="1134"/>
          <w:tab w:val="left" w:pos="829" w:leader="none"/>
        </w:tabs>
        <w:bidi w:val="0"/>
        <w:spacing w:before="120" w:after="0"/>
        <w:ind w:hanging="283" w:left="829"/>
        <w:jc w:val="left"/>
        <w:rPr/>
      </w:pPr>
      <w:r>
        <w:rPr>
          <w:rStyle w:val="SourceText"/>
        </w:rPr>
        <w:t>UNTRUSTED, not run</w:t>
      </w:r>
      <w:r>
        <w:rPr/>
        <w:t xml:space="preserve">: nothing on this machine approves this repo. Read </w:t>
      </w:r>
      <w:r>
        <w:rPr>
          <w:rStyle w:val="SourceText"/>
        </w:rPr>
        <w:t>.crew/verify.json</w:t>
      </w:r>
      <w:r>
        <w:rPr/>
        <w:t xml:space="preserve"> (or the smoke script the line names), then in your own terminal: </w:t>
      </w:r>
      <w:r>
        <w:rPr>
          <w:rStyle w:val="SourceText"/>
        </w:rPr>
        <w:t>python3 &lt;plugin&gt;/hooks/scripts/verify_trust.py approve --root &lt;repo&gt;</w:t>
      </w:r>
      <w:r>
        <w:rPr/>
        <w:t xml:space="preserve">. It shows the repo, the sha256, the remotes and the rule count, and asks for </w:t>
      </w:r>
      <w:r>
        <w:rPr>
          <w:rStyle w:val="SourceText"/>
        </w:rPr>
        <w:t>yes</w:t>
      </w:r>
      <w:r>
        <w:rPr/>
        <w:t xml:space="preserve">. </w:t>
      </w:r>
    </w:p>
    <w:p>
      <w:pPr>
        <w:pStyle w:val="BodyText"/>
        <w:numPr>
          <w:ilvl w:val="0"/>
          <w:numId w:val="19"/>
        </w:numPr>
        <w:tabs>
          <w:tab w:val="clear" w:pos="1134"/>
          <w:tab w:val="left" w:pos="829" w:leader="none"/>
        </w:tabs>
        <w:bidi w:val="0"/>
        <w:spacing w:before="120" w:after="0"/>
        <w:ind w:hanging="283" w:left="829"/>
        <w:jc w:val="left"/>
        <w:rPr/>
      </w:pPr>
      <w:r>
        <w:rPr>
          <w:rStyle w:val="SourceText"/>
        </w:rPr>
        <w:t>CHANGED, not run</w:t>
      </w:r>
      <w:r>
        <w:rPr/>
        <w:t xml:space="preserve">: the bytes differ from every version you approved. Read the diff, then approve again. </w:t>
      </w:r>
    </w:p>
    <w:p>
      <w:pPr>
        <w:pStyle w:val="BodyText"/>
        <w:numPr>
          <w:ilvl w:val="0"/>
          <w:numId w:val="19"/>
        </w:numPr>
        <w:tabs>
          <w:tab w:val="clear" w:pos="1134"/>
          <w:tab w:val="left" w:pos="829" w:leader="none"/>
        </w:tabs>
        <w:bidi w:val="0"/>
        <w:spacing w:before="120" w:after="0"/>
        <w:ind w:hanging="283" w:left="829"/>
        <w:jc w:val="left"/>
        <w:rPr/>
      </w:pPr>
      <w:r>
        <w:rPr>
          <w:rStyle w:val="SourceText"/>
        </w:rPr>
        <w:t>REMOTE CHANGED, not run</w:t>
      </w:r>
      <w:r>
        <w:rPr/>
        <w:t xml:space="preserve">: the repo is trusted by remote owner and its remotes differ from the set pinned on first sight. Check </w:t>
      </w:r>
      <w:r>
        <w:rPr>
          <w:rStyle w:val="SourceText"/>
        </w:rPr>
        <w:t>git remote -v</w:t>
      </w:r>
      <w:r>
        <w:rPr/>
        <w:t xml:space="preserve">, then </w:t>
      </w:r>
      <w:r>
        <w:rPr>
          <w:rStyle w:val="SourceText"/>
        </w:rPr>
        <w:t>approve</w:t>
      </w:r>
      <w:r>
        <w:rPr/>
        <w:t xml:space="preserve"> to re-pin. </w:t>
      </w:r>
    </w:p>
    <w:p>
      <w:pPr>
        <w:pStyle w:val="BodyText"/>
        <w:numPr>
          <w:ilvl w:val="0"/>
          <w:numId w:val="19"/>
        </w:numPr>
        <w:tabs>
          <w:tab w:val="clear" w:pos="1134"/>
          <w:tab w:val="left" w:pos="829" w:leader="none"/>
        </w:tabs>
        <w:bidi w:val="0"/>
        <w:ind w:hanging="283" w:left="829"/>
        <w:jc w:val="left"/>
        <w:rPr/>
      </w:pPr>
      <w:r>
        <w:rPr>
          <w:rStyle w:val="SourceText"/>
        </w:rPr>
        <w:t>UNKNOWN, not run</w:t>
      </w:r>
      <w:r>
        <w:rPr/>
        <w:t xml:space="preserve">: the trust store could not be read (corrupt, unreadable or locked). Fix or delete </w:t>
      </w:r>
      <w:r>
        <w:rPr>
          <w:rStyle w:val="SourceText"/>
        </w:rPr>
        <w:t>${CLAUDE_CONFIG_DIR:-~/.claude}/crew/verify-trust.json</w:t>
      </w:r>
      <w:r>
        <w:rPr/>
        <w:t xml:space="preserve">; an unknown is never read as trusted. </w:t>
      </w:r>
    </w:p>
    <w:p>
      <w:pPr>
        <w:pStyle w:val="BodyText"/>
        <w:bidi w:val="0"/>
        <w:jc w:val="left"/>
        <w:rPr/>
      </w:pPr>
      <w:r>
        <w:rPr/>
        <w:t xml:space="preserve">To trust every repo of one owner: </w:t>
      </w:r>
      <w:r>
        <w:rPr>
          <w:rStyle w:val="SourceText"/>
        </w:rPr>
        <w:t>verify_trust.py allow-owner github.com/&lt;owner&gt; --under &lt;dir&gt;</w:t>
      </w:r>
      <w:r>
        <w:rPr/>
        <w:t xml:space="preserve"> (the </w:t>
      </w:r>
      <w:r>
        <w:rPr>
          <w:rStyle w:val="SourceText"/>
        </w:rPr>
        <w:t>--under</w:t>
      </w:r>
      <w:r>
        <w:rPr/>
        <w:t xml:space="preserve"> limit is optional and recommended: without it a fresh directory whose </w:t>
      </w:r>
      <w:r>
        <w:rPr>
          <w:rStyle w:val="SourceText"/>
        </w:rPr>
        <w:t>.git/config</w:t>
      </w:r>
      <w:r>
        <w:rPr/>
        <w:t xml:space="preserve"> merely names that owner is trusted on first sight). </w:t>
      </w:r>
      <w:r>
        <w:rPr>
          <w:rStyle w:val="SourceText"/>
        </w:rPr>
        <w:t>status</w:t>
      </w:r>
      <w:r>
        <w:rPr/>
        <w:t xml:space="preserve"> shows the verdict, </w:t>
      </w:r>
      <w:r>
        <w:rPr>
          <w:rStyle w:val="SourceText"/>
        </w:rPr>
        <w:t>revoke</w:t>
      </w:r>
      <w:r>
        <w:rPr/>
        <w:t xml:space="preserve"> removes a repo, </w:t>
      </w:r>
      <w:r>
        <w:rPr>
          <w:rStyle w:val="SourceText"/>
        </w:rPr>
        <w:t>disallow-owner</w:t>
      </w:r>
      <w:r>
        <w:rPr/>
        <w:t xml:space="preserve"> removes an owner. A model-run </w:t>
      </w:r>
      <w:r>
        <w:rPr>
          <w:rStyle w:val="SourceText"/>
        </w:rPr>
        <w:t>approve</w:t>
      </w:r>
      <w:r>
        <w:rPr/>
        <w:t xml:space="preserve">, </w:t>
      </w:r>
      <w:r>
        <w:rPr>
          <w:rStyle w:val="SourceText"/>
        </w:rPr>
        <w:t>allow-owner</w:t>
      </w:r>
      <w:r>
        <w:rPr/>
        <w:t xml:space="preserve">, </w:t>
      </w:r>
      <w:r>
        <w:rPr>
          <w:rStyle w:val="SourceText"/>
        </w:rPr>
        <w:t>disallow-owner</w:t>
      </w:r>
      <w:r>
        <w:rPr/>
        <w:t xml:space="preserve"> or </w:t>
      </w:r>
      <w:r>
        <w:rPr>
          <w:rStyle w:val="SourceText"/>
        </w:rPr>
        <w:t>revoke</w:t>
      </w:r>
      <w:r>
        <w:rPr/>
        <w:t xml:space="preserve"> is refused by the scope guard: only a person at a terminal trusts a repo. The hash binds the verify map, not the scripts its rules call. </w:t>
      </w:r>
      <w:r>
        <w:rPr>
          <w:rStyle w:val="SourceText"/>
        </w:rPr>
        <w:t>--ci</w:t>
      </w:r>
      <w:r>
        <w:rPr/>
        <w:t xml:space="preserve"> is exempt.</w:t>
      </w:r>
    </w:p>
    <w:p>
      <w:pPr>
        <w:pStyle w:val="Heading2"/>
        <w:bidi w:val="0"/>
        <w:ind w:hanging="0" w:left="0" w:right="0"/>
        <w:jc w:val="left"/>
        <w:rPr/>
      </w:pPr>
      <w:bookmarkStart w:id="7" w:name="verify-gate-prints-one-line-or-says-unch"/>
      <w:bookmarkEnd w:id="7"/>
      <w:r>
        <w:rPr/>
        <w:t>Verify Gate Prints One Line, or Says "Unchanged Since Last Stop"</w:t>
      </w:r>
    </w:p>
    <w:p>
      <w:pPr>
        <w:pStyle w:val="BodyText"/>
        <w:bidi w:val="0"/>
        <w:jc w:val="left"/>
        <w:rPr/>
      </w:pPr>
      <w:r>
        <w:rPr/>
        <w:t xml:space="preserve">Since crew 1.2.39 (L-0796) the Stop gate is quiet. It prints one verdict line, then each failure exactly as before, and keeps the rest in </w:t>
      </w:r>
      <w:r>
        <w:rPr>
          <w:rStyle w:val="SourceText"/>
        </w:rPr>
        <w:t>.crew/.verify-gate.log</w:t>
      </w:r>
      <w:r>
        <w:rPr/>
        <w:t>:</w:t>
      </w:r>
    </w:p>
    <w:p>
      <w:pPr>
        <w:pStyle w:val="PreformattedText"/>
        <w:bidi w:val="0"/>
        <w:jc w:val="left"/>
        <w:rPr/>
      </w:pPr>
      <w:r>
        <w:rPr>
          <w:rStyle w:val="SourceText"/>
        </w:rPr>
        <w:t>verify-gate: FAILED 1 cmd | PASSED 14 cmd | NOT VERIFIED 5 item(s) (reach 2, over-budget 1, dirty tree 0, deferred 1, skipped 1, other 0) | credited 3 | budget 41s/60s | detail: .crew/.verify-gate.log</w:t>
      </w:r>
    </w:p>
    <w:p>
      <w:pPr>
        <w:pStyle w:val="BodyText"/>
        <w:numPr>
          <w:ilvl w:val="0"/>
          <w:numId w:val="20"/>
        </w:numPr>
        <w:tabs>
          <w:tab w:val="clear" w:pos="1134"/>
          <w:tab w:val="left" w:pos="829" w:leader="none"/>
        </w:tabs>
        <w:bidi w:val="0"/>
        <w:spacing w:before="120" w:after="0"/>
        <w:ind w:hanging="283" w:left="829"/>
        <w:jc w:val="left"/>
        <w:rPr/>
      </w:pPr>
      <w:r>
        <w:rPr>
          <w:rStyle w:val="Strong"/>
        </w:rPr>
        <w:t xml:space="preserve">Where did the pricing, </w:t>
      </w:r>
      <w:r>
        <w:rPr>
          <w:rStyle w:val="SourceText"/>
        </w:rPr>
        <w:t>env pinned</w:t>
      </w:r>
      <w:r>
        <w:rPr>
          <w:rStyle w:val="Strong"/>
        </w:rPr>
        <w:t xml:space="preserve">, </w:t>
      </w:r>
      <w:r>
        <w:rPr>
          <w:rStyle w:val="SourceText"/>
        </w:rPr>
        <w:t>PASSED on this exact tree</w:t>
      </w:r>
      <w:r>
        <w:rPr>
          <w:rStyle w:val="Strong"/>
        </w:rPr>
        <w:t xml:space="preserve"> and per-rule seconds lines go?</w:t>
      </w:r>
      <w:r>
        <w:rPr/>
        <w:t xml:space="preserve"> Into the log, which holds the complete text of the last run. Run the gate with </w:t>
      </w:r>
      <w:r>
        <w:rPr>
          <w:rStyle w:val="SourceText"/>
        </w:rPr>
        <w:t>--verbose</w:t>
      </w:r>
      <w:r>
        <w:rPr/>
        <w:t xml:space="preserve"> (</w:t>
      </w:r>
      <w:r>
        <w:rPr>
          <w:rStyle w:val="SourceText"/>
        </w:rPr>
        <w:t>-Verbose</w:t>
      </w:r>
      <w:r>
        <w:rPr/>
        <w:t xml:space="preserve"> in the PowerShell flavour) or set </w:t>
      </w:r>
      <w:r>
        <w:rPr>
          <w:rStyle w:val="SourceText"/>
        </w:rPr>
        <w:t>CREW_VERIFY_VERBOSE=1</w:t>
      </w:r>
      <w:r>
        <w:rPr/>
        <w:t xml:space="preserve"> to get them on screen. </w:t>
      </w:r>
      <w:r>
        <w:rPr>
          <w:rStyle w:val="SourceText"/>
        </w:rPr>
        <w:t>--ci</w:t>
      </w:r>
      <w:r>
        <w:rPr/>
        <w:t xml:space="preserve">, </w:t>
      </w:r>
      <w:r>
        <w:rPr>
          <w:rStyle w:val="SourceText"/>
        </w:rPr>
        <w:t>--all</w:t>
      </w:r>
      <w:r>
        <w:rPr/>
        <w:t xml:space="preserve"> and </w:t>
      </w:r>
      <w:r>
        <w:rPr>
          <w:rStyle w:val="SourceText"/>
        </w:rPr>
        <w:t>--price</w:t>
      </w:r>
      <w:r>
        <w:rPr/>
        <w:t xml:space="preserve"> always print everything, so CI logs and </w:t>
      </w:r>
      <w:r>
        <w:rPr>
          <w:rStyle w:val="SourceText"/>
        </w:rPr>
        <w:t>/crew:verify</w:t>
      </w:r>
      <w:r>
        <w:rPr/>
        <w:t xml:space="preserve"> look as they did. </w:t>
      </w:r>
    </w:p>
    <w:p>
      <w:pPr>
        <w:pStyle w:val="BodyText"/>
        <w:numPr>
          <w:ilvl w:val="0"/>
          <w:numId w:val="20"/>
        </w:numPr>
        <w:tabs>
          <w:tab w:val="clear" w:pos="1134"/>
          <w:tab w:val="left" w:pos="829" w:leader="none"/>
        </w:tabs>
        <w:bidi w:val="0"/>
        <w:spacing w:before="120" w:after="0"/>
        <w:ind w:hanging="283" w:left="829"/>
        <w:jc w:val="left"/>
        <w:rPr/>
      </w:pPr>
      <w:r>
        <w:rPr>
          <w:rStyle w:val="Strong"/>
        </w:rPr>
        <w:t>Units.</w:t>
      </w:r>
      <w:r>
        <w:rPr/>
        <w:t xml:space="preserve"> FAILED, PASSED and credited count commands; NOT VERIFIED counts items: a rule for reach, over-budget, dirty tree and deferred, but a command for skipped (exit 77) and for credits withdrawn because the tree moved (under other). Do not add the two units together. </w:t>
      </w:r>
    </w:p>
    <w:p>
      <w:pPr>
        <w:pStyle w:val="BodyText"/>
        <w:numPr>
          <w:ilvl w:val="0"/>
          <w:numId w:val="20"/>
        </w:numPr>
        <w:tabs>
          <w:tab w:val="clear" w:pos="1134"/>
          <w:tab w:val="left" w:pos="829" w:leader="none"/>
        </w:tabs>
        <w:bidi w:val="0"/>
        <w:spacing w:before="120" w:after="0"/>
        <w:ind w:hanging="283" w:left="829"/>
        <w:jc w:val="left"/>
        <w:rPr/>
      </w:pPr>
      <w:r>
        <w:rPr>
          <w:rStyle w:val="SourceText"/>
        </w:rPr>
        <w:t>NOT VERIFIED</w:t>
      </w:r>
      <w:r>
        <w:rPr>
          <w:rStyle w:val="Strong"/>
        </w:rPr>
        <w:t xml:space="preserve"> is not </w:t>
      </w:r>
      <w:r>
        <w:rPr>
          <w:rStyle w:val="SourceText"/>
        </w:rPr>
        <w:t>PASSED</w:t>
      </w:r>
      <w:r>
        <w:rPr>
          <w:rStyle w:val="Strong"/>
        </w:rPr>
        <w:t>.</w:t>
      </w:r>
      <w:r>
        <w:rPr/>
        <w:t xml:space="preserve"> A deferred, skipped, reach-excluded, over-budget or dirty-tree rule is counted under NOT VERIFIED; </w:t>
      </w:r>
      <w:r>
        <w:rPr>
          <w:rStyle w:val="SourceText"/>
        </w:rPr>
        <w:t>other</w:t>
      </w:r>
      <w:r>
        <w:rPr/>
        <w:t xml:space="preserve"> is a rule the gate could not classify. Run </w:t>
      </w:r>
      <w:r>
        <w:rPr>
          <w:rStyle w:val="SourceText"/>
        </w:rPr>
        <w:t>/crew:verify --all</w:t>
      </w:r>
      <w:r>
        <w:rPr/>
        <w:t xml:space="preserve"> to run them. </w:t>
      </w:r>
    </w:p>
    <w:p>
      <w:pPr>
        <w:pStyle w:val="BodyText"/>
        <w:numPr>
          <w:ilvl w:val="0"/>
          <w:numId w:val="20"/>
        </w:numPr>
        <w:tabs>
          <w:tab w:val="clear" w:pos="1134"/>
          <w:tab w:val="left" w:pos="829" w:leader="none"/>
        </w:tabs>
        <w:bidi w:val="0"/>
        <w:spacing w:before="120" w:after="0"/>
        <w:ind w:hanging="283" w:left="829"/>
        <w:jc w:val="left"/>
        <w:rPr/>
      </w:pPr>
      <w:r>
        <w:rPr>
          <w:rStyle w:val="SourceText"/>
        </w:rPr>
        <w:t>verify-gate: unchanged since last Stop (N failing, M NOT VERIFIED): &lt;command&gt; | detail: &lt;log&gt; | ...</w:t>
      </w:r>
      <w:r>
        <w:rPr/>
        <w:t xml:space="preserve">: the same session is failing the same way it reported on the last Stop, so the full block is not repeated. The line names </w:t>
      </w:r>
      <w:r>
        <w:rPr>
          <w:rStyle w:val="SourceText"/>
        </w:rPr>
        <w:t>.crew/.verify-gate.log</w:t>
      </w:r>
      <w:r>
        <w:rPr/>
        <w:t xml:space="preserve">, which holds this run's full output. If that log cannot be written the gate never prints this line: it prints the full block instead. The turn is still blocked (exit 2). A new session, a changed failure, or deleting </w:t>
      </w:r>
      <w:r>
        <w:rPr>
          <w:rStyle w:val="SourceText"/>
        </w:rPr>
        <w:t>.crew/.verify-gate.last-stop</w:t>
      </w:r>
      <w:r>
        <w:rPr/>
        <w:t xml:space="preserve"> prints the full block again. </w:t>
      </w:r>
    </w:p>
    <w:p>
      <w:pPr>
        <w:pStyle w:val="BodyText"/>
        <w:numPr>
          <w:ilvl w:val="0"/>
          <w:numId w:val="20"/>
        </w:numPr>
        <w:tabs>
          <w:tab w:val="clear" w:pos="1134"/>
          <w:tab w:val="left" w:pos="829" w:leader="none"/>
        </w:tabs>
        <w:bidi w:val="0"/>
        <w:ind w:hanging="283" w:left="829"/>
        <w:jc w:val="left"/>
        <w:rPr/>
      </w:pPr>
      <w:r>
        <w:rPr>
          <w:rStyle w:val="SourceText"/>
        </w:rPr>
        <w:t>detail: unavailable</w:t>
      </w:r>
      <w:r>
        <w:rPr/>
        <w:t xml:space="preserve">: </w:t>
      </w:r>
      <w:r>
        <w:rPr>
          <w:rStyle w:val="SourceText"/>
        </w:rPr>
        <w:t>.crew/.verify-gate.log</w:t>
      </w:r>
      <w:r>
        <w:rPr/>
        <w:t xml:space="preserve"> could not be written (a directory in its place, a read-only </w:t>
      </w:r>
      <w:r>
        <w:rPr>
          <w:rStyle w:val="SourceText"/>
        </w:rPr>
        <w:t>.crew</w:t>
      </w:r>
      <w:r>
        <w:rPr/>
        <w:t xml:space="preserve">). The full text is printed instead of a pointer to it. </w:t>
      </w:r>
    </w:p>
    <w:p>
      <w:pPr>
        <w:pStyle w:val="Heading2"/>
        <w:bidi w:val="0"/>
        <w:ind w:hanging="0" w:left="0" w:right="0"/>
        <w:jc w:val="left"/>
        <w:rPr/>
      </w:pPr>
      <w:bookmarkStart w:id="8" w:name="verify-gate-says-could-not-tell"/>
      <w:bookmarkEnd w:id="8"/>
      <w:r>
        <w:rPr/>
        <w:t>Verify Gate Says COULD NOT TELL</w:t>
      </w:r>
    </w:p>
    <w:p>
      <w:pPr>
        <w:pStyle w:val="BodyText"/>
        <w:bidi w:val="0"/>
        <w:jc w:val="left"/>
        <w:rPr/>
      </w:pPr>
      <w:r>
        <w:rPr>
          <w:rStyle w:val="SourceText"/>
        </w:rPr>
        <w:t>verify-gate.sh</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21"/>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21"/>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21"/>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21"/>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21"/>
        </w:numPr>
        <w:tabs>
          <w:tab w:val="clear" w:pos="1134"/>
          <w:tab w:val="left" w:pos="829" w:leader="none"/>
        </w:tabs>
        <w:bidi w:val="0"/>
        <w:spacing w:before="120" w:after="0"/>
        <w:ind w:hanging="283" w:left="829"/>
        <w:jc w:val="left"/>
        <w:rPr/>
      </w:pPr>
      <w:r>
        <w:rPr>
          <w:rStyle w:val="Strong"/>
        </w:rPr>
        <w:t>"the rule's shell could not be started"</w:t>
      </w:r>
      <w:r>
        <w:rPr/>
        <w:t xml:space="preserve"> (the PowerShell gate, deleted in L-0869, only; no current message): the resolved bash vanished or would not launch for this rule. Before T-0082 this rule silently inherited the previous rule's pass. </w:t>
      </w:r>
    </w:p>
    <w:p>
      <w:pPr>
        <w:pStyle w:val="BodyText"/>
        <w:numPr>
          <w:ilvl w:val="0"/>
          <w:numId w:val="21"/>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21"/>
        </w:numPr>
        <w:tabs>
          <w:tab w:val="clear" w:pos="1134"/>
          <w:tab w:val="left" w:pos="829" w:leader="none"/>
        </w:tabs>
        <w:bidi w:val="0"/>
        <w:ind w:hanging="283" w:left="829"/>
        <w:jc w:val="left"/>
        <w:rPr/>
      </w:pPr>
      <w:r>
        <w:rPr>
          <w:rStyle w:val="Strong"/>
        </w:rPr>
        <w:t>"the gate received TERM while this command was running"</w:t>
      </w:r>
      <w:r>
        <w:rPr/>
        <w:t xml:space="preserve"> the gate itself was signalled mid-rule; it still exits 128+N.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9" w:name="a-diagram-check-fails-in-ci-with-no-reas"/>
      <w:bookmarkEnd w:id="9"/>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22"/>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22"/>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10" w:name="autopilot-in-a-worktree-and-the-refresh-"/>
      <w:bookmarkEnd w:id="10"/>
      <w:r>
        <w:rPr/>
        <w:t>Autopilot in a Worktree, and the Refresh Check</w:t>
      </w:r>
    </w:p>
    <w:p>
      <w:pPr>
        <w:pStyle w:val="BodyText"/>
        <w:numPr>
          <w:ilvl w:val="0"/>
          <w:numId w:val="23"/>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4"/>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11" w:name="wave-refuses-a-cross-session-dependency"/>
      <w:bookmarkEnd w:id="11"/>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4050" w:type="dxa"/>
        <w:jc w:val="left"/>
        <w:tblInd w:w="28" w:type="dxa"/>
        <w:tblLayout w:type="fixed"/>
        <w:tblCellMar>
          <w:top w:w="28" w:type="dxa"/>
          <w:left w:w="28" w:type="dxa"/>
          <w:bottom w:w="28" w:type="dxa"/>
          <w:right w:w="28" w:type="dxa"/>
        </w:tblCellMar>
      </w:tblPr>
      <w:tblGrid>
        <w:gridCol w:w="5413"/>
        <w:gridCol w:w="4323"/>
        <w:gridCol w:w="4314"/>
      </w:tblGrid>
      <w:tr>
        <w:trPr>
          <w:tblHeader w:val="true"/>
        </w:trPr>
        <w:tc>
          <w:tcPr>
            <w:tcW w:w="5413"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323" w:type="dxa"/>
            <w:tcBorders/>
            <w:vAlign w:val="center"/>
          </w:tcPr>
          <w:p>
            <w:pPr>
              <w:pStyle w:val="TableHeading"/>
              <w:suppressLineNumbers/>
              <w:shd w:fill="434C5E" w:val="clear"/>
              <w:bidi w:val="0"/>
              <w:spacing w:before="120" w:after="120"/>
              <w:jc w:val="left"/>
              <w:rPr/>
            </w:pPr>
            <w:r>
              <w:rPr/>
              <w:t>Means</w:t>
            </w:r>
          </w:p>
        </w:tc>
        <w:tc>
          <w:tcPr>
            <w:tcW w:w="4314" w:type="dxa"/>
            <w:tcBorders/>
            <w:vAlign w:val="center"/>
          </w:tcPr>
          <w:p>
            <w:pPr>
              <w:pStyle w:val="TableHeading"/>
              <w:suppressLineNumbers/>
              <w:shd w:fill="434C5E" w:val="clear"/>
              <w:bidi w:val="0"/>
              <w:spacing w:before="120" w:after="120"/>
              <w:jc w:val="left"/>
              <w:rPr/>
            </w:pPr>
            <w:r>
              <w:rPr/>
              <w:t>Do</w:t>
            </w:r>
          </w:p>
        </w:tc>
      </w:tr>
      <w:tr>
        <w:trPr/>
        <w:tc>
          <w:tcPr>
            <w:tcW w:w="5413"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4323"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4314"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5413" w:type="dxa"/>
            <w:tcBorders/>
            <w:vAlign w:val="center"/>
          </w:tcPr>
          <w:p>
            <w:pPr>
              <w:pStyle w:val="TableContents"/>
              <w:shd w:fill="2E3440" w:val="clear"/>
              <w:bidi w:val="0"/>
              <w:spacing w:before="120" w:after="120"/>
              <w:jc w:val="left"/>
              <w:rPr/>
            </w:pPr>
            <w:r>
              <w:rPr>
                <w:rStyle w:val="SourceText"/>
              </w:rPr>
              <w:t>... reads released (...); only done closes it</w:t>
            </w:r>
          </w:p>
        </w:tc>
        <w:tc>
          <w:tcPr>
            <w:tcW w:w="4323" w:type="dxa"/>
            <w:tcBorders/>
            <w:vAlign w:val="center"/>
          </w:tcPr>
          <w:p>
            <w:pPr>
              <w:pStyle w:val="TableContents"/>
              <w:shd w:fill="2E3440" w:val="clear"/>
              <w:bidi w:val="0"/>
              <w:spacing w:before="120" w:after="120"/>
              <w:jc w:val="left"/>
              <w:rPr/>
            </w:pPr>
            <w:r>
              <w:rPr/>
              <w:t>the peer gave the ticket back unfinished</w:t>
            </w:r>
          </w:p>
        </w:tc>
        <w:tc>
          <w:tcPr>
            <w:tcW w:w="4314"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5413"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4323" w:type="dxa"/>
            <w:tcBorders/>
            <w:vAlign w:val="center"/>
          </w:tcPr>
          <w:p>
            <w:pPr>
              <w:pStyle w:val="TableContents"/>
              <w:shd w:fill="2E3440" w:val="clear"/>
              <w:bidi w:val="0"/>
              <w:spacing w:before="120" w:after="120"/>
              <w:jc w:val="left"/>
              <w:rPr/>
            </w:pPr>
            <w:r>
              <w:rPr/>
              <w:t>nobody on the channel has claimed that id</w:t>
            </w:r>
          </w:p>
        </w:tc>
        <w:tc>
          <w:tcPr>
            <w:tcW w:w="4314"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5413"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4323" w:type="dxa"/>
            <w:tcBorders/>
            <w:vAlign w:val="center"/>
          </w:tcPr>
          <w:p>
            <w:pPr>
              <w:pStyle w:val="TableContents"/>
              <w:shd w:fill="2E3440" w:val="clear"/>
              <w:bidi w:val="0"/>
              <w:spacing w:before="120" w:after="120"/>
              <w:jc w:val="left"/>
              <w:rPr/>
            </w:pPr>
            <w:r>
              <w:rPr/>
              <w:t>the short form is ambiguous</w:t>
            </w:r>
          </w:p>
        </w:tc>
        <w:tc>
          <w:tcPr>
            <w:tcW w:w="4314"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5413" w:type="dxa"/>
            <w:tcBorders/>
            <w:vAlign w:val="center"/>
          </w:tcPr>
          <w:p>
            <w:pPr>
              <w:pStyle w:val="TableContents"/>
              <w:shd w:fill="2E3440" w:val="clear"/>
              <w:bidi w:val="0"/>
              <w:spacing w:before="120" w:after="120"/>
              <w:jc w:val="left"/>
              <w:rPr/>
            </w:pPr>
            <w:r>
              <w:rPr>
                <w:rStyle w:val="SourceText"/>
              </w:rPr>
              <w:t>... unknown: its claim ... is corrupt (...)</w:t>
            </w:r>
          </w:p>
        </w:tc>
        <w:tc>
          <w:tcPr>
            <w:tcW w:w="4323" w:type="dxa"/>
            <w:tcBorders/>
            <w:vAlign w:val="center"/>
          </w:tcPr>
          <w:p>
            <w:pPr>
              <w:pStyle w:val="TableContents"/>
              <w:shd w:fill="2E3440" w:val="clear"/>
              <w:bidi w:val="0"/>
              <w:spacing w:before="120" w:after="120"/>
              <w:jc w:val="left"/>
              <w:rPr/>
            </w:pPr>
            <w:r>
              <w:rPr/>
              <w:t>the claim file does not parse</w:t>
            </w:r>
          </w:p>
        </w:tc>
        <w:tc>
          <w:tcPr>
            <w:tcW w:w="4314"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5413"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4323" w:type="dxa"/>
            <w:tcBorders/>
            <w:vAlign w:val="center"/>
          </w:tcPr>
          <w:p>
            <w:pPr>
              <w:pStyle w:val="TableContents"/>
              <w:shd w:fill="2E3440" w:val="clear"/>
              <w:bidi w:val="0"/>
              <w:spacing w:before="120" w:after="120"/>
              <w:jc w:val="left"/>
              <w:rPr/>
            </w:pPr>
            <w:r>
              <w:rPr/>
              <w:t>the channel is absent, or the remote cannot be reached</w:t>
            </w:r>
          </w:p>
        </w:tc>
        <w:tc>
          <w:tcPr>
            <w:tcW w:w="4314"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5413"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4323"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4314"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5413" w:type="dxa"/>
            <w:tcBorders/>
            <w:vAlign w:val="center"/>
          </w:tcPr>
          <w:p>
            <w:pPr>
              <w:pStyle w:val="TableContents"/>
              <w:shd w:fill="2E3440" w:val="clear"/>
              <w:bidi w:val="0"/>
              <w:spacing w:before="120" w:after="120"/>
              <w:jc w:val="left"/>
              <w:rPr/>
            </w:pPr>
            <w:r>
              <w:rPr>
                <w:rStyle w:val="SourceText"/>
              </w:rPr>
              <w:t>dependencies unknown: ...</w:t>
            </w:r>
          </w:p>
        </w:tc>
        <w:tc>
          <w:tcPr>
            <w:tcW w:w="4323"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4314"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2" w:name="wave-refuses-a-tickets-contract"/>
      <w:bookmarkEnd w:id="12"/>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4050" w:type="dxa"/>
        <w:jc w:val="left"/>
        <w:tblInd w:w="28" w:type="dxa"/>
        <w:tblLayout w:type="fixed"/>
        <w:tblCellMar>
          <w:top w:w="28" w:type="dxa"/>
          <w:left w:w="28" w:type="dxa"/>
          <w:bottom w:w="28" w:type="dxa"/>
          <w:right w:w="28" w:type="dxa"/>
        </w:tblCellMar>
      </w:tblPr>
      <w:tblGrid>
        <w:gridCol w:w="2601"/>
        <w:gridCol w:w="4320"/>
        <w:gridCol w:w="7129"/>
      </w:tblGrid>
      <w:tr>
        <w:trPr>
          <w:tblHeader w:val="true"/>
        </w:trPr>
        <w:tc>
          <w:tcPr>
            <w:tcW w:w="2601"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320" w:type="dxa"/>
            <w:tcBorders/>
            <w:vAlign w:val="center"/>
          </w:tcPr>
          <w:p>
            <w:pPr>
              <w:pStyle w:val="TableHeading"/>
              <w:suppressLineNumbers/>
              <w:shd w:fill="434C5E" w:val="clear"/>
              <w:bidi w:val="0"/>
              <w:spacing w:before="120" w:after="120"/>
              <w:jc w:val="left"/>
              <w:rPr/>
            </w:pPr>
            <w:r>
              <w:rPr/>
              <w:t>Means</w:t>
            </w:r>
          </w:p>
        </w:tc>
        <w:tc>
          <w:tcPr>
            <w:tcW w:w="7129" w:type="dxa"/>
            <w:tcBorders/>
            <w:vAlign w:val="center"/>
          </w:tcPr>
          <w:p>
            <w:pPr>
              <w:pStyle w:val="TableHeading"/>
              <w:suppressLineNumbers/>
              <w:shd w:fill="434C5E" w:val="clear"/>
              <w:bidi w:val="0"/>
              <w:spacing w:before="120" w:after="120"/>
              <w:jc w:val="left"/>
              <w:rPr/>
            </w:pPr>
            <w:r>
              <w:rPr/>
              <w:t>Do</w:t>
            </w:r>
          </w:p>
        </w:tc>
      </w:tr>
      <w:tr>
        <w:trPr/>
        <w:tc>
          <w:tcPr>
            <w:tcW w:w="2601"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320"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7129"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601" w:type="dxa"/>
            <w:tcBorders/>
            <w:vAlign w:val="center"/>
          </w:tcPr>
          <w:p>
            <w:pPr>
              <w:pStyle w:val="TableContents"/>
              <w:shd w:fill="2E3440" w:val="clear"/>
              <w:bidi w:val="0"/>
              <w:spacing w:before="120" w:after="120"/>
              <w:jc w:val="left"/>
              <w:rPr/>
            </w:pPr>
            <w:r>
              <w:rPr>
                <w:rStyle w:val="SourceText"/>
              </w:rPr>
              <w:t>contract &lt;n&gt; v&lt;N&gt; unknown (...)</w:t>
            </w:r>
          </w:p>
        </w:tc>
        <w:tc>
          <w:tcPr>
            <w:tcW w:w="4320"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7129"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601" w:type="dxa"/>
            <w:tcBorders/>
            <w:vAlign w:val="center"/>
          </w:tcPr>
          <w:p>
            <w:pPr>
              <w:pStyle w:val="TableContents"/>
              <w:shd w:fill="2E3440" w:val="clear"/>
              <w:bidi w:val="0"/>
              <w:spacing w:before="120" w:after="120"/>
              <w:jc w:val="left"/>
              <w:rPr/>
            </w:pPr>
            <w:r>
              <w:rPr>
                <w:rStyle w:val="SourceText"/>
              </w:rPr>
              <w:t>contract bindings unknown (...)</w:t>
            </w:r>
          </w:p>
        </w:tc>
        <w:tc>
          <w:tcPr>
            <w:tcW w:w="4320"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7129"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3" w:name="promote-gate-blocks-a-worktree-deploy"/>
      <w:bookmarkEnd w:id="13"/>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5"/>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5"/>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5"/>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5"/>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5"/>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5"/>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4" w:name="the-run-could-not-be-identified"/>
      <w:bookmarkEnd w:id="14"/>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6"/>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6"/>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6"/>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6"/>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6"/>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5" w:name="environment-guard-refusals"/>
      <w:bookmarkEnd w:id="15"/>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guards.profile: off</w:t>
      </w:r>
      <w:r>
        <w:rPr/>
        <w:t xml:space="preserve">); turn it on with </w:t>
      </w:r>
      <w:r>
        <w:rPr>
          <w:rStyle w:val="SourceText"/>
        </w:rPr>
        <w:t>{"guards": {"overrides":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7"/>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7"/>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7"/>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7"/>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6" w:name="cloud-guard-false-positives"/>
      <w:bookmarkEnd w:id="1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guards.profile: off</w:t>
      </w:r>
      <w:r>
        <w:rPr/>
        <w:t xml:space="preserve">); turn it on with </w:t>
      </w:r>
      <w:r>
        <w:rPr>
          <w:rStyle w:val="SourceText"/>
        </w:rPr>
        <w:t>{"guards": {"overrides":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8"/>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8"/>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8"/>
        </w:numPr>
        <w:tabs>
          <w:tab w:val="clear" w:pos="1134"/>
          <w:tab w:val="left" w:pos="829" w:leader="none"/>
        </w:tabs>
        <w:bidi w:val="0"/>
        <w:ind w:hanging="283" w:left="829"/>
        <w:jc w:val="left"/>
        <w:rPr/>
      </w:pPr>
      <w:r>
        <w:rPr>
          <w:rStyle w:val="Strong"/>
        </w:rPr>
        <w:t xml:space="preserve">A </w:t>
      </w:r>
      <w:r>
        <w:rPr>
          <w:rStyle w:val="SourceText"/>
        </w:rPr>
        <w:t>python3</w:t>
      </w:r>
      <w:r>
        <w:rPr>
          <w:rStyle w:val="Strong"/>
        </w:rPr>
        <w:t>/</w:t>
      </w:r>
      <w:r>
        <w:rPr>
          <w:rStyle w:val="SourceText"/>
        </w:rPr>
        <w:t>node</w:t>
      </w:r>
      <w:r>
        <w:rPr>
          <w:rStyle w:val="Strong"/>
        </w:rPr>
        <w:t xml:space="preserve"> line is refused as "a terraform-family line with python code that ...".</w:t>
      </w:r>
      <w:r>
        <w:rPr/>
        <w:t xml:space="preserve"> (L-0871, crew 1.2.63; before it the denial quoted an unrelated word such as </w:t>
      </w:r>
      <w:r>
        <w:rPr>
          <w:rStyle w:val="SourceText"/>
        </w:rPr>
        <w:t>'^JIRA_'</w:t>
      </w:r>
      <w:r>
        <w:rPr/>
        <w:t xml:space="preserve"> or </w:t>
      </w:r>
      <w:r>
        <w:rPr>
          <w:rStyle w:val="SourceText"/>
        </w:rPr>
        <w:t>'&lt;&lt;'</w:t>
      </w:r>
      <w:r>
        <w:rPr/>
        <w:t xml:space="preserve">.) With </w:t>
      </w:r>
      <w:r>
        <w:rPr>
          <w:rStyle w:val="SourceText"/>
        </w:rPr>
        <w:t>guards.overrides.terraformApply</w:t>
      </w:r>
      <w:r>
        <w:rPr/>
        <w:t xml:space="preserve"> armed, interpreter code is refused only when it names terraform, terragrunt or tofu (in the code or anywhere on the line), or reaches a process and builds the name: the denial says which, for example </w:t>
      </w:r>
      <w:r>
        <w:rPr>
          <w:rStyle w:val="SourceText"/>
        </w:rPr>
        <w:t>python code that spells 'terraform' out of fragments</w:t>
      </w:r>
      <w:r>
        <w:rPr/>
        <w:t xml:space="preserve"> or </w:t>
      </w:r>
      <w:r>
        <w:rPr>
          <w:rStyle w:val="SourceText"/>
        </w:rPr>
        <w:t>builds a name at run time ('chr(')</w:t>
      </w:r>
      <w:r>
        <w:rPr/>
        <w:t xml:space="preserve">. </w:t>
      </w:r>
      <w:r>
        <w:rPr>
          <w:rStyle w:val="SourceText"/>
        </w:rPr>
        <w:t>import os</w:t>
      </w:r>
      <w:r>
        <w:rPr/>
        <w:t xml:space="preserve">, </w:t>
      </w:r>
      <w:r>
        <w:rPr>
          <w:rStyle w:val="SourceText"/>
        </w:rPr>
        <w:t>import requests</w:t>
      </w:r>
      <w:r>
        <w:rPr/>
        <w:t xml:space="preserve">, </w:t>
      </w:r>
      <w:r>
        <w:rPr>
          <w:rStyle w:val="SourceText"/>
        </w:rPr>
        <w:t>os.environ.get(...)</w:t>
      </w:r>
      <w:r>
        <w:rPr/>
        <w:t xml:space="preserve"> and </w:t>
      </w:r>
      <w:r>
        <w:rPr>
          <w:rStyle w:val="SourceText"/>
        </w:rPr>
        <w:t>node -e "console.log(process.env.X)"</w:t>
      </w:r>
      <w:r>
        <w:rPr/>
        <w:t xml:space="preserve"> alone are allowed. </w:t>
      </w:r>
      <w:r>
        <w:rPr>
          <w:rStyle w:val="Strong"/>
        </w:rPr>
        <w:t>Fix:</w:t>
      </w:r>
      <w:r>
        <w:rPr/>
        <w:t xml:space="preserve"> write the command plainly (</w:t>
      </w:r>
      <w:r>
        <w:rPr>
          <w:rStyle w:val="SourceText"/>
        </w:rPr>
        <w:t>terraform apply</w:t>
      </w:r>
      <w:r>
        <w:rPr/>
        <w:t xml:space="preserve"> as its own command, where it is judged), or keep the name out of code that starts a process. Code that reads its command from the environment or a file and never names the tool is not caught (the credentials boundary is the control).</w:t>
      </w:r>
    </w:p>
    <w:p>
      <w:pPr>
        <w:pStyle w:val="BodyText"/>
        <w:numPr>
          <w:ilvl w:val="0"/>
          <w:numId w:val="28"/>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8"/>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7" w:name="unattended-launch-refuses"/>
      <w:bookmarkEnd w:id="17"/>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9"/>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9"/>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9"/>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9"/>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9"/>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9"/>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9"/>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9"/>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9"/>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9"/>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9"/>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9"/>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8" w:name="obsidian"/>
      <w:bookmarkEnd w:id="18"/>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30"/>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30"/>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context.enabled</w:t>
      </w:r>
      <w:r>
        <w:rPr/>
        <w:t xml:space="preserve"> is not </w:t>
      </w:r>
      <w:r>
        <w:rPr>
          <w:rStyle w:val="SourceText"/>
        </w:rPr>
        <w:t>false</w:t>
      </w:r>
      <w:r>
        <w:rPr/>
        <w:t xml:space="preserve"> — recall and code-map injection are always on since 1.0.0 while the context hook runs, so "no recall ever appears" with the hook switched off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31"/>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31"/>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31"/>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31"/>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31"/>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31"/>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31"/>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31"/>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9" w:name="auto-wrap-up-clear-and-resume"/>
      <w:bookmarkEnd w:id="19"/>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20" w:name="auto-clear-did-nothing-on-windows"/>
      <w:bookmarkEnd w:id="20"/>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32"/>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owner decision: crew does not type into a window it found itself on Windows.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32"/>
        </w:numPr>
        <w:tabs>
          <w:tab w:val="clear" w:pos="1134"/>
          <w:tab w:val="left" w:pos="829" w:leader="none"/>
        </w:tabs>
        <w:bidi w:val="0"/>
        <w:spacing w:before="120" w:after="0"/>
        <w:ind w:hanging="283" w:left="829"/>
        <w:jc w:val="left"/>
        <w:rPr/>
      </w:pPr>
      <w:r>
        <w:rPr>
          <w:rStyle w:val="SourceText"/>
        </w:rPr>
        <w:t>sendkeys</w:t>
      </w:r>
      <w:r>
        <w:rPr>
          <w:rStyle w:val="Strong"/>
        </w:rPr>
        <w:t xml:space="preserve"> is gone.</w:t>
      </w:r>
      <w:r>
        <w:rPr/>
        <w:t xml:space="preserve"> The Windows keystroke method was removed in crew 1.2.61 (L-0727): a config that names it is refused with "sendkeys was removed in crew 1.2.61 (L-0727); use notify or tmux", and </w:t>
      </w:r>
      <w:r>
        <w:rPr>
          <w:rStyle w:val="SourceText"/>
        </w:rPr>
        <w:t>crew_autoclear_setup.py apply-method sendkeys</w:t>
      </w:r>
      <w:r>
        <w:rPr/>
        <w:t xml:space="preserve"> refuses by name. </w:t>
      </w:r>
    </w:p>
    <w:p>
      <w:pPr>
        <w:pStyle w:val="BodyText"/>
        <w:numPr>
          <w:ilvl w:val="0"/>
          <w:numId w:val="32"/>
        </w:numPr>
        <w:tabs>
          <w:tab w:val="clear" w:pos="1134"/>
          <w:tab w:val="left" w:pos="829" w:leader="none"/>
        </w:tabs>
        <w:bidi w:val="0"/>
        <w:ind w:hanging="283" w:left="829"/>
        <w:jc w:val="left"/>
        <w:rPr/>
      </w:pPr>
      <w:r>
        <w:rPr>
          <w:rStyle w:val="Strong"/>
        </w:rPr>
        <w:t>Fix:</w:t>
      </w:r>
      <w:r>
        <w:rPr/>
        <w:t xml:space="preserve"> treat the </w:t>
      </w:r>
      <w:r>
        <w:rPr>
          <w:rStyle w:val="SourceText"/>
        </w:rPr>
        <w:t>notify</w:t>
      </w:r>
      <w:r>
        <w:rPr/>
        <w:t xml:space="preserve"> message as the intended behaviour, or run the session inside tmux (Git Bash or WSL), where </w:t>
      </w:r>
      <w:r>
        <w:rPr>
          <w:rStyle w:val="SourceText"/>
        </w:rPr>
        <w:t>auto</w:t>
      </w:r>
      <w:r>
        <w:rPr/>
        <w:t xml:space="preserve"> picks </w:t>
      </w:r>
      <w:r>
        <w:rPr>
          <w:rStyle w:val="SourceText"/>
        </w:rPr>
        <w:t>tmux</w:t>
      </w:r>
      <w:r>
        <w:rPr/>
        <w:t xml:space="preserve">. See `plugin/crew/docs/crew/config-rationale.md. </w:t>
      </w:r>
    </w:p>
    <w:p>
      <w:pPr>
        <w:pStyle w:val="Heading3"/>
        <w:bidi w:val="0"/>
        <w:ind w:hanging="0" w:left="0" w:right="0"/>
        <w:jc w:val="left"/>
        <w:rPr/>
      </w:pPr>
      <w:bookmarkStart w:id="21" w:name="bare-crewautopilot-stopped-on-a-goal"/>
      <w:bookmarkEnd w:id="21"/>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3"/>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3"/>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3"/>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2" w:name="claude-code-compacted-by-itself"/>
      <w:bookmarkEnd w:id="22"/>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3" w:name="autopilot-refused-a-successor-plan-after"/>
      <w:bookmarkEnd w:id="23"/>
      <w:r>
        <w:rPr/>
        <w:t>Autopilot Refused a Successor Plan After an Automatic Reject</w:t>
      </w:r>
    </w:p>
    <w:p>
      <w:pPr>
        <w:pStyle w:val="BodyText"/>
        <w:numPr>
          <w:ilvl w:val="0"/>
          <w:numId w:val="34"/>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4"/>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4"/>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4"/>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4" w:name="verify-gate-says-rules-declare-no-reach"/>
      <w:bookmarkEnd w:id="24"/>
      <w:r>
        <w:rPr/>
        <w:t xml:space="preserve">Verify Gate Says Rules Declare No </w:t>
      </w:r>
      <w:r>
        <w:rPr>
          <w:rStyle w:val="SourceText"/>
        </w:rPr>
        <w:t>Reach</w:t>
      </w:r>
    </w:p>
    <w:p>
      <w:pPr>
        <w:pStyle w:val="BodyText"/>
        <w:numPr>
          <w:ilvl w:val="0"/>
          <w:numId w:val="35"/>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5"/>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5"/>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5"/>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5" w:name="a-stop-that-should-have-blocked-said-the"/>
      <w:bookmarkEnd w:id="25"/>
      <w:r>
        <w:rPr/>
        <w:t>A Stop That Should Have Blocked Said the Hook Script Was Missing</w:t>
      </w:r>
    </w:p>
    <w:p>
      <w:pPr>
        <w:pStyle w:val="BodyText"/>
        <w:numPr>
          <w:ilvl w:val="0"/>
          <w:numId w:val="36"/>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6"/>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6"/>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6" w:name="an-agent-named-in-verifyjson-is-not-inst"/>
      <w:bookmarkEnd w:id="26"/>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7"/>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7" w:name="the-temp-directory-fills-with-crew-files"/>
      <w:bookmarkEnd w:id="27"/>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8"/>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8" w:name="a-setting-seems-to-do-nothing"/>
      <w:bookmarkEnd w:id="28"/>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9"/>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9"/>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9" w:name="graph-refresh-refused-secrets-denylisted"/>
      <w:bookmarkEnd w:id="29"/>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40"/>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41"/>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41"/>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30" w:name="a-message-from-another-session-asks-for-"/>
      <w:bookmarkEnd w:id="30"/>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42"/>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31" w:name="turning-things-off"/>
      <w:bookmarkEnd w:id="3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4050" w:type="dxa"/>
        <w:jc w:val="left"/>
        <w:tblInd w:w="28" w:type="dxa"/>
        <w:tblLayout w:type="fixed"/>
        <w:tblCellMar>
          <w:top w:w="28" w:type="dxa"/>
          <w:left w:w="28" w:type="dxa"/>
          <w:bottom w:w="28" w:type="dxa"/>
          <w:right w:w="28" w:type="dxa"/>
        </w:tblCellMar>
      </w:tblPr>
      <w:tblGrid>
        <w:gridCol w:w="4610"/>
        <w:gridCol w:w="1565"/>
        <w:gridCol w:w="2781"/>
        <w:gridCol w:w="5094"/>
      </w:tblGrid>
      <w:tr>
        <w:trPr>
          <w:tblHeader w:val="true"/>
        </w:trPr>
        <w:tc>
          <w:tcPr>
            <w:tcW w:w="4610" w:type="dxa"/>
            <w:tcBorders/>
            <w:vAlign w:val="center"/>
          </w:tcPr>
          <w:p>
            <w:pPr>
              <w:pStyle w:val="TableHeading"/>
              <w:suppressLineNumbers/>
              <w:shd w:fill="434C5E" w:val="clear"/>
              <w:bidi w:val="0"/>
              <w:spacing w:before="120" w:after="120"/>
              <w:jc w:val="left"/>
              <w:rPr/>
            </w:pPr>
            <w:r>
              <w:rPr/>
              <w:t>Key</w:t>
            </w:r>
          </w:p>
        </w:tc>
        <w:tc>
          <w:tcPr>
            <w:tcW w:w="1565" w:type="dxa"/>
            <w:tcBorders/>
            <w:vAlign w:val="center"/>
          </w:tcPr>
          <w:p>
            <w:pPr>
              <w:pStyle w:val="TableHeading"/>
              <w:suppressLineNumbers/>
              <w:shd w:fill="434C5E" w:val="clear"/>
              <w:bidi w:val="0"/>
              <w:spacing w:before="120" w:after="120"/>
              <w:jc w:val="left"/>
              <w:rPr/>
            </w:pPr>
            <w:r>
              <w:rPr/>
              <w:t>Lives in</w:t>
            </w:r>
          </w:p>
        </w:tc>
        <w:tc>
          <w:tcPr>
            <w:tcW w:w="2781" w:type="dxa"/>
            <w:tcBorders/>
            <w:vAlign w:val="center"/>
          </w:tcPr>
          <w:p>
            <w:pPr>
              <w:pStyle w:val="TableHeading"/>
              <w:suppressLineNumbers/>
              <w:shd w:fill="434C5E" w:val="clear"/>
              <w:bidi w:val="0"/>
              <w:spacing w:before="120" w:after="120"/>
              <w:jc w:val="left"/>
              <w:rPr/>
            </w:pPr>
            <w:r>
              <w:rPr/>
              <w:t>Values</w:t>
            </w:r>
          </w:p>
        </w:tc>
        <w:tc>
          <w:tcPr>
            <w:tcW w:w="5094" w:type="dxa"/>
            <w:tcBorders/>
            <w:vAlign w:val="center"/>
          </w:tcPr>
          <w:p>
            <w:pPr>
              <w:pStyle w:val="TableHeading"/>
              <w:suppressLineNumbers/>
              <w:shd w:fill="434C5E" w:val="clear"/>
              <w:bidi w:val="0"/>
              <w:spacing w:before="120" w:after="120"/>
              <w:jc w:val="left"/>
              <w:rPr/>
            </w:pPr>
            <w:r>
              <w:rPr/>
              <w:t>What "off"/floor means</w:t>
            </w:r>
          </w:p>
        </w:tc>
      </w:tr>
      <w:tr>
        <w:trPr/>
        <w:tc>
          <w:tcPr>
            <w:tcW w:w="4610" w:type="dxa"/>
            <w:tcBorders/>
            <w:vAlign w:val="center"/>
          </w:tcPr>
          <w:p>
            <w:pPr>
              <w:pStyle w:val="TableContents"/>
              <w:shd w:fill="2E3440" w:val="clear"/>
              <w:bidi w:val="0"/>
              <w:spacing w:before="120" w:after="120"/>
              <w:jc w:val="left"/>
              <w:rPr/>
            </w:pPr>
            <w:r>
              <w:rPr>
                <w:rStyle w:val="SourceText"/>
              </w:rPr>
              <w:t>autopilot.mode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094"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610" w:type="dxa"/>
            <w:tcBorders/>
            <w:vAlign w:val="center"/>
          </w:tcPr>
          <w:p>
            <w:pPr>
              <w:pStyle w:val="TableContents"/>
              <w:shd w:fill="2E3440" w:val="clear"/>
              <w:bidi w:val="0"/>
              <w:spacing w:before="120" w:after="120"/>
              <w:jc w:val="left"/>
              <w:rPr/>
            </w:pPr>
            <w:r>
              <w:rPr>
                <w:rStyle w:val="SourceText"/>
              </w:rPr>
              <w:t>guards.profile</w:t>
            </w:r>
          </w:p>
        </w:tc>
        <w:tc>
          <w:tcPr>
            <w:tcW w:w="1565" w:type="dxa"/>
            <w:tcBorders/>
            <w:vAlign w:val="center"/>
          </w:tcPr>
          <w:p>
            <w:pPr>
              <w:pStyle w:val="TableContents"/>
              <w:shd w:fill="2E3440" w:val="clear"/>
              <w:bidi w:val="0"/>
              <w:spacing w:before="120" w:after="120"/>
              <w:jc w:val="left"/>
              <w:rPr/>
            </w:pPr>
            <w:r>
              <w:rPr/>
              <w:t>both layers (expands per layer)</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standard</w:t>
            </w:r>
            <w:r>
              <w:rPr/>
              <w:t>/</w:t>
            </w:r>
            <w:r>
              <w:rPr>
                <w:rStyle w:val="SourceText"/>
              </w:rPr>
              <w:t>strict</w:t>
            </w:r>
          </w:p>
        </w:tc>
        <w:tc>
          <w:tcPr>
            <w:tcW w:w="5094" w:type="dxa"/>
            <w:tcBorders/>
            <w:vAlign w:val="center"/>
          </w:tcPr>
          <w:p>
            <w:pPr>
              <w:pStyle w:val="TableContents"/>
              <w:shd w:fill="2E3440" w:val="clear"/>
              <w:bidi w:val="0"/>
              <w:spacing w:before="120" w:after="120"/>
              <w:jc w:val="left"/>
              <w:rPr/>
            </w:pPr>
            <w:r>
              <w:rPr>
                <w:rStyle w:val="SourceText"/>
              </w:rPr>
              <w:t>off</w:t>
            </w:r>
            <w:r>
              <w:rPr/>
              <w:t xml:space="preserve"> (the default): the cloud, environment and role-write guards are off and the others sit at their narrowest tier. Set one guard away from the profile with </w:t>
            </w:r>
            <w:r>
              <w:rPr>
                <w:rStyle w:val="SourceText"/>
              </w:rPr>
              <w:t>guards.overrides.&lt;guard&gt;</w:t>
            </w:r>
            <w:r>
              <w:rPr/>
              <w:t>; the narrower layer wins per guard</w:t>
            </w:r>
          </w:p>
        </w:tc>
      </w:tr>
      <w:tr>
        <w:trPr/>
        <w:tc>
          <w:tcPr>
            <w:tcW w:w="4610" w:type="dxa"/>
            <w:tcBorders/>
            <w:vAlign w:val="center"/>
          </w:tcPr>
          <w:p>
            <w:pPr>
              <w:pStyle w:val="TableContents"/>
              <w:shd w:fill="2E3440" w:val="clear"/>
              <w:bidi w:val="0"/>
              <w:spacing w:before="120" w:after="120"/>
              <w:jc w:val="left"/>
              <w:rPr/>
            </w:pPr>
            <w:r>
              <w:rPr>
                <w:rStyle w:val="SourceText"/>
              </w:rPr>
              <w:t>guards.overrides.cloudGuard</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10" w:type="dxa"/>
            <w:tcBorders/>
            <w:vAlign w:val="center"/>
          </w:tcPr>
          <w:p>
            <w:pPr>
              <w:pStyle w:val="TableContents"/>
              <w:shd w:fill="2E3440" w:val="clear"/>
              <w:bidi w:val="0"/>
              <w:spacing w:before="120" w:after="120"/>
              <w:jc w:val="left"/>
              <w:rPr/>
            </w:pPr>
            <w:r>
              <w:rPr>
                <w:rStyle w:val="SourceText"/>
              </w:rPr>
              <w:t>guards.overrides.envGuard</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10" w:type="dxa"/>
            <w:tcBorders/>
            <w:vAlign w:val="center"/>
          </w:tcPr>
          <w:p>
            <w:pPr>
              <w:pStyle w:val="TableContents"/>
              <w:shd w:fill="2E3440" w:val="clear"/>
              <w:bidi w:val="0"/>
              <w:spacing w:before="120" w:after="120"/>
              <w:jc w:val="left"/>
              <w:rPr/>
            </w:pPr>
            <w:r>
              <w:rPr>
                <w:rStyle w:val="SourceText"/>
              </w:rPr>
              <w:t>guards.overrides.roleWrites</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10" w:type="dxa"/>
            <w:tcBorders/>
            <w:vAlign w:val="center"/>
          </w:tcPr>
          <w:p>
            <w:pPr>
              <w:pStyle w:val="TableContents"/>
              <w:shd w:fill="2E3440" w:val="clear"/>
              <w:bidi w:val="0"/>
              <w:spacing w:before="120" w:after="120"/>
              <w:jc w:val="left"/>
              <w:rPr/>
            </w:pPr>
            <w:r>
              <w:rPr>
                <w:rStyle w:val="SourceText"/>
              </w:rPr>
              <w:t>guards.overrides.&lt;guard&gt;</w:t>
            </w:r>
            <w:r>
              <w:rPr/>
              <w:t xml:space="preserve"> for </w:t>
            </w:r>
            <w:r>
              <w:rPr>
                <w:rStyle w:val="SourceText"/>
              </w:rPr>
              <w:t>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094"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10" w:type="dxa"/>
            <w:tcBorders/>
            <w:vAlign w:val="center"/>
          </w:tcPr>
          <w:p>
            <w:pPr>
              <w:pStyle w:val="TableContents"/>
              <w:shd w:fill="2E3440" w:val="clear"/>
              <w:bidi w:val="0"/>
              <w:spacing w:before="120" w:after="120"/>
              <w:jc w:val="left"/>
              <w:rPr/>
            </w:pPr>
            <w:r>
              <w:rPr>
                <w:rStyle w:val="SourceText"/>
              </w:rPr>
              <w:t>guards.overrides.deployWorkflow</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094"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610" w:type="dxa"/>
            <w:tcBorders/>
            <w:vAlign w:val="center"/>
          </w:tcPr>
          <w:p>
            <w:pPr>
              <w:pStyle w:val="TableContents"/>
              <w:shd w:fill="2E3440" w:val="clear"/>
              <w:bidi w:val="0"/>
              <w:spacing w:before="120" w:after="120"/>
              <w:jc w:val="left"/>
              <w:rPr/>
            </w:pPr>
            <w:r>
              <w:rPr>
                <w:rStyle w:val="SourceText"/>
              </w:rPr>
              <w:t>environments.nonProd</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list of globs</w:t>
            </w:r>
          </w:p>
        </w:tc>
        <w:tc>
          <w:tcPr>
            <w:tcW w:w="5094"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610" w:type="dxa"/>
            <w:tcBorders/>
            <w:vAlign w:val="center"/>
          </w:tcPr>
          <w:p>
            <w:pPr>
              <w:pStyle w:val="TableContents"/>
              <w:shd w:fill="2E3440" w:val="clear"/>
              <w:bidi w:val="0"/>
              <w:spacing w:before="120" w:after="120"/>
              <w:jc w:val="left"/>
              <w:rPr/>
            </w:pPr>
            <w:r>
              <w:rPr>
                <w:rStyle w:val="SourceText"/>
              </w:rPr>
              <w:t>environments.prodUnattended</w:t>
            </w:r>
          </w:p>
        </w:tc>
        <w:tc>
          <w:tcPr>
            <w:tcW w:w="1565"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610" w:type="dxa"/>
            <w:tcBorders/>
            <w:vAlign w:val="center"/>
          </w:tcPr>
          <w:p>
            <w:pPr>
              <w:pStyle w:val="TableContents"/>
              <w:shd w:fill="2E3440" w:val="clear"/>
              <w:bidi w:val="0"/>
              <w:spacing w:before="120" w:after="120"/>
              <w:jc w:val="left"/>
              <w:rPr/>
            </w:pPr>
            <w:r>
              <w:rPr>
                <w:rStyle w:val="SourceText"/>
              </w:rPr>
              <w:t>guards.overrides.prodDatabase</w:t>
            </w:r>
            <w:r>
              <w:rPr/>
              <w:t xml:space="preserve">, </w:t>
            </w:r>
            <w:r>
              <w:rPr>
                <w:rStyle w:val="SourceText"/>
              </w:rPr>
              <w:t>guards.overrides.prodServer</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094"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10" w:type="dxa"/>
            <w:tcBorders/>
            <w:vAlign w:val="center"/>
          </w:tcPr>
          <w:p>
            <w:pPr>
              <w:pStyle w:val="TableContents"/>
              <w:shd w:fill="2E3440" w:val="clear"/>
              <w:bidi w:val="0"/>
              <w:spacing w:before="120" w:after="120"/>
              <w:jc w:val="left"/>
              <w:rPr/>
            </w:pPr>
            <w:r>
              <w:rPr>
                <w:rStyle w:val="SourceText"/>
              </w:rPr>
              <w:t>scope.mode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094"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10" w:type="dxa"/>
            <w:tcBorders/>
            <w:vAlign w:val="center"/>
          </w:tcPr>
          <w:p>
            <w:pPr>
              <w:pStyle w:val="TableContents"/>
              <w:shd w:fill="2E3440" w:val="clear"/>
              <w:bidi w:val="0"/>
              <w:spacing w:before="120" w:after="120"/>
              <w:jc w:val="left"/>
              <w:rPr/>
            </w:pPr>
            <w:r>
              <w:rPr>
                <w:rStyle w:val="SourceText"/>
              </w:rPr>
              <w:t>scope.allowCliApproval</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10" w:type="dxa"/>
            <w:tcBorders/>
            <w:vAlign w:val="center"/>
          </w:tcPr>
          <w:p>
            <w:pPr>
              <w:pStyle w:val="TableContents"/>
              <w:shd w:fill="2E3440" w:val="clear"/>
              <w:bidi w:val="0"/>
              <w:spacing w:before="120" w:after="120"/>
              <w:jc w:val="left"/>
              <w:rPr/>
            </w:pPr>
            <w:r>
              <w:rPr>
                <w:rStyle w:val="SourceText"/>
              </w:rPr>
              <w:t>verifyGate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10" w:type="dxa"/>
            <w:tcBorders/>
            <w:vAlign w:val="center"/>
          </w:tcPr>
          <w:p>
            <w:pPr>
              <w:pStyle w:val="TableContents"/>
              <w:shd w:fill="2E3440" w:val="clear"/>
              <w:bidi w:val="0"/>
              <w:spacing w:before="120" w:after="120"/>
              <w:jc w:val="left"/>
              <w:rPr/>
            </w:pPr>
            <w:r>
              <w:rPr>
                <w:rStyle w:val="SourceText"/>
              </w:rPr>
              <w:t>context.enabled</w:t>
            </w:r>
          </w:p>
        </w:tc>
        <w:tc>
          <w:tcPr>
            <w:tcW w:w="1565" w:type="dxa"/>
            <w:tcBorders/>
            <w:vAlign w:val="center"/>
          </w:tcPr>
          <w:p>
            <w:pPr>
              <w:pStyle w:val="TableContents"/>
              <w:shd w:fill="2E3440" w:val="clear"/>
              <w:bidi w:val="0"/>
              <w:spacing w:before="120" w:after="120"/>
              <w:jc w:val="left"/>
              <w:rPr/>
            </w:pPr>
            <w:r>
              <w:rPr/>
              <w:t>both layers</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10" w:type="dxa"/>
            <w:tcBorders/>
            <w:vAlign w:val="center"/>
          </w:tcPr>
          <w:p>
            <w:pPr>
              <w:pStyle w:val="TableContents"/>
              <w:shd w:fill="2E3440" w:val="clear"/>
              <w:bidi w:val="0"/>
              <w:spacing w:before="120" w:after="120"/>
              <w:jc w:val="left"/>
              <w:rPr/>
            </w:pPr>
            <w:r>
              <w:rPr>
                <w:rStyle w:val="SourceText"/>
              </w:rPr>
              <w:t>context.autoClear.enabled</w:t>
            </w:r>
          </w:p>
        </w:tc>
        <w:tc>
          <w:tcPr>
            <w:tcW w:w="1565" w:type="dxa"/>
            <w:tcBorders/>
            <w:vAlign w:val="center"/>
          </w:tcPr>
          <w:p>
            <w:pPr>
              <w:pStyle w:val="TableContents"/>
              <w:shd w:fill="2E3440" w:val="clear"/>
              <w:bidi w:val="0"/>
              <w:spacing w:before="120" w:after="120"/>
              <w:jc w:val="left"/>
              <w:rPr/>
            </w:pPr>
            <w:r>
              <w:rPr/>
              <w:t>both layers</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disables the clear leg of the wrap-up/clear loop (the wrap-up itself is always on)</w:t>
            </w:r>
          </w:p>
        </w:tc>
      </w:tr>
      <w:tr>
        <w:trPr/>
        <w:tc>
          <w:tcPr>
            <w:tcW w:w="4610" w:type="dxa"/>
            <w:tcBorders/>
            <w:vAlign w:val="center"/>
          </w:tcPr>
          <w:p>
            <w:pPr>
              <w:pStyle w:val="TableContents"/>
              <w:shd w:fill="2E3440" w:val="clear"/>
              <w:bidi w:val="0"/>
              <w:spacing w:before="120" w:after="120"/>
              <w:jc w:val="left"/>
              <w:rPr/>
            </w:pPr>
            <w:r>
              <w:rPr>
                <w:rStyle w:val="SourceText"/>
              </w:rPr>
              <w:t>notify.provider</w:t>
            </w:r>
          </w:p>
        </w:tc>
        <w:tc>
          <w:tcPr>
            <w:tcW w:w="1565" w:type="dxa"/>
            <w:tcBorders/>
            <w:vAlign w:val="center"/>
          </w:tcPr>
          <w:p>
            <w:pPr>
              <w:pStyle w:val="TableContents"/>
              <w:shd w:fill="2E3440" w:val="clear"/>
              <w:bidi w:val="0"/>
              <w:spacing w:before="120" w:after="120"/>
              <w:jc w:val="left"/>
              <w:rPr/>
            </w:pPr>
            <w:r>
              <w:rPr/>
              <w:t>both layers (a repo null inherits the global one)</w:t>
            </w:r>
          </w:p>
        </w:tc>
        <w:tc>
          <w:tcPr>
            <w:tcW w:w="2781"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094"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610" w:type="dxa"/>
            <w:tcBorders/>
            <w:vAlign w:val="center"/>
          </w:tcPr>
          <w:p>
            <w:pPr>
              <w:pStyle w:val="TableContents"/>
              <w:shd w:fill="2E3440" w:val="clear"/>
              <w:bidi w:val="0"/>
              <w:spacing w:before="120" w:after="120"/>
              <w:jc w:val="left"/>
              <w:rPr/>
            </w:pPr>
            <w:r>
              <w:rPr>
                <w:rStyle w:val="SourceText"/>
              </w:rPr>
              <w:t>change.requireForProduction</w:t>
            </w:r>
          </w:p>
        </w:tc>
        <w:tc>
          <w:tcPr>
            <w:tcW w:w="1565" w:type="dxa"/>
            <w:tcBorders/>
            <w:vAlign w:val="center"/>
          </w:tcPr>
          <w:p>
            <w:pPr>
              <w:pStyle w:val="TableContents"/>
              <w:shd w:fill="2E3440" w:val="clear"/>
              <w:bidi w:val="0"/>
              <w:spacing w:before="120" w:after="120"/>
              <w:jc w:val="left"/>
              <w:rPr/>
            </w:pPr>
            <w:r>
              <w:rPr/>
              <w:t>both layers, ratchets (may only turn ON)</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10" w:type="dxa"/>
            <w:tcBorders/>
            <w:vAlign w:val="center"/>
          </w:tcPr>
          <w:p>
            <w:pPr>
              <w:pStyle w:val="TableContents"/>
              <w:shd w:fill="2E3440" w:val="clear"/>
              <w:bidi w:val="0"/>
              <w:spacing w:before="120" w:after="120"/>
              <w:jc w:val="left"/>
              <w:rPr/>
            </w:pPr>
            <w:r>
              <w:rPr>
                <w:rStyle w:val="SourceText"/>
              </w:rPr>
              <w:t>install.policy</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t xml:space="preserve">see </w:t>
            </w:r>
            <w:r>
              <w:rPr>
                <w:rStyle w:val="SourceText"/>
              </w:rPr>
              <w:t>docs/crew/config-rationale.md</w:t>
            </w:r>
            <w:r>
              <w:rPr/>
              <w:t>, "install.policy"</w:t>
            </w:r>
          </w:p>
        </w:tc>
        <w:tc>
          <w:tcPr>
            <w:tcW w:w="5094"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guards.overrides.terraformApply: allow</w:t>
      </w:r>
      <w:r>
        <w:rPr/>
        <w:t xml:space="preserve"> and </w:t>
      </w:r>
      <w:r>
        <w:rPr>
          <w:rStyle w:val="SourceText"/>
        </w:rPr>
        <w:t>environments.prodUnattended</w:t>
      </w:r>
      <w:r>
        <w:rPr/>
        <w:t xml:space="preserve"> included. The full decision table is in </w:t>
      </w:r>
      <w:r>
        <w:rPr>
          <w:rStyle w:val="SourceText"/>
        </w:rPr>
        <w:t>docs/crew/config-rationale.md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2" w:name="web-testing"/>
      <w:bookmarkEnd w:id="3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3"/>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3"/>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3"/>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3"/>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3" w:name="windows-notes"/>
      <w:bookmarkEnd w:id="33"/>
      <w:r>
        <w:rPr/>
        <w:t>Windows Notes</w:t>
      </w:r>
    </w:p>
    <w:p>
      <w:pPr>
        <w:pStyle w:val="BodyText"/>
        <w:numPr>
          <w:ilvl w:val="0"/>
          <w:numId w:val="44"/>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4"/>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4"/>
        </w:numPr>
        <w:tabs>
          <w:tab w:val="clear" w:pos="1134"/>
          <w:tab w:val="left" w:pos="829" w:leader="none"/>
        </w:tabs>
        <w:bidi w:val="0"/>
        <w:spacing w:before="120" w:after="0"/>
        <w:ind w:hanging="283" w:left="829"/>
        <w:jc w:val="left"/>
        <w:rPr/>
      </w:pPr>
      <w:r>
        <w:rPr>
          <w:rStyle w:val="SourceText"/>
        </w:rPr>
        <w:t>can't open file 'D:\tmp\...\crew_autocycle.py'</w:t>
      </w:r>
      <w:r>
        <w:rPr>
          <w:rStyle w:val="Strong"/>
        </w:rPr>
        <w:t xml:space="preserve"> (or any </w:t>
      </w:r>
      <w:r>
        <w:rPr>
          <w:rStyle w:val="SourceText"/>
        </w:rPr>
        <w:t>.py</w:t>
      </w:r>
      <w:r>
        <w:rPr>
          <w:rStyle w:val="Strong"/>
        </w:rPr>
        <w:t xml:space="preserve"> under </w:t>
      </w:r>
      <w:r>
        <w:rPr>
          <w:rStyle w:val="SourceText"/>
        </w:rPr>
        <w:t>hooks/scripts</w:t>
      </w:r>
      <w:r>
        <w:rPr>
          <w:rStyle w:val="Strong"/>
        </w:rPr>
        <w:t>).</w:t>
      </w:r>
      <w:r>
        <w:rPr/>
        <w:t xml:space="preserve"> Git Bash rewrites a POSIX-looking script argument (</w:t>
      </w:r>
      <w:r>
        <w:rPr>
          <w:rStyle w:val="SourceText"/>
        </w:rPr>
        <w:t>/tmp/...</w:t>
      </w:r>
      <w:r>
        <w:rPr/>
        <w:t xml:space="preserve">, </w:t>
      </w:r>
      <w:r>
        <w:rPr>
          <w:rStyle w:val="SourceText"/>
        </w:rPr>
        <w:t>/d/...</w:t>
      </w:r>
      <w:r>
        <w:rPr/>
        <w:t xml:space="preserve">) into a Windows path when it starts a native </w:t>
      </w:r>
      <w:r>
        <w:rPr>
          <w:rStyle w:val="SourceText"/>
        </w:rPr>
        <w:t>python.exe</w:t>
      </w:r>
      <w:r>
        <w:rPr/>
        <w:t xml:space="preserve">, but only while </w:t>
      </w:r>
      <w:r>
        <w:rPr>
          <w:rStyle w:val="SourceText"/>
        </w:rPr>
        <w:t>MSYS_NO_PATHCONV</w:t>
      </w:r>
      <w:r>
        <w:rPr/>
        <w:t xml:space="preserve"> is unset. Set, even to an empty string by a shell profile, a CI runner or a parent process, the argument reaches Python as written and Windows resolves it against the current drive. Since L-0868 every </w:t>
      </w:r>
      <w:r>
        <w:rPr>
          <w:rStyle w:val="SourceText"/>
        </w:rPr>
        <w:t>.sh</w:t>
      </w:r>
      <w:r>
        <w:rPr/>
        <w:t xml:space="preserve"> hook except the review-harness ones (and that one record) passes its script path and its path arguments (</w:t>
      </w:r>
      <w:r>
        <w:rPr>
          <w:rStyle w:val="SourceText"/>
        </w:rPr>
        <w:t>--root</w:t>
      </w:r>
      <w:r>
        <w:rPr/>
        <w:t xml:space="preserve"> and config data paths) through </w:t>
      </w:r>
      <w:r>
        <w:rPr>
          <w:rStyle w:val="SourceText"/>
        </w:rPr>
        <w:t>crew_native_path</w:t>
      </w:r>
      <w:r>
        <w:rPr/>
        <w:t xml:space="preserve"> (</w:t>
      </w:r>
      <w:r>
        <w:rPr>
          <w:rStyle w:val="SourceText"/>
        </w:rPr>
        <w:t>cygpath -m</w:t>
      </w:r>
      <w:r>
        <w:rPr/>
        <w:t>, which needs no argument conversion), so the variable no longer matters for them. The harness hooks (</w:t>
      </w:r>
      <w:r>
        <w:rPr>
          <w:rStyle w:val="SourceText"/>
        </w:rPr>
        <w:t>verify-gate.sh</w:t>
      </w:r>
      <w:r>
        <w:rPr/>
        <w:t xml:space="preserve">, </w:t>
      </w:r>
      <w:r>
        <w:rPr>
          <w:rStyle w:val="SourceText"/>
        </w:rPr>
        <w:t>approval-hook.sh</w:t>
      </w:r>
      <w:r>
        <w:rPr/>
        <w:t xml:space="preserve">, </w:t>
      </w:r>
      <w:r>
        <w:rPr>
          <w:rStyle w:val="SourceText"/>
        </w:rPr>
        <w:t>scope-guard.sh</w:t>
      </w:r>
      <w:r>
        <w:rPr/>
        <w:t xml:space="preserve">, </w:t>
      </w:r>
      <w:r>
        <w:rPr>
          <w:rStyle w:val="SourceText"/>
        </w:rPr>
        <w:t>completion-audit.sh</w:t>
      </w:r>
      <w:r>
        <w:rPr/>
        <w:t xml:space="preserve">, </w:t>
      </w:r>
      <w:r>
        <w:rPr>
          <w:rStyle w:val="SourceText"/>
        </w:rPr>
        <w:t>crew-hook.sh</w:t>
      </w:r>
      <w:r>
        <w:rPr/>
        <w:t xml:space="preserve">) the PreCompact </w:t>
      </w:r>
      <w:r>
        <w:rPr>
          <w:rStyle w:val="SourceText"/>
        </w:rPr>
        <w:t>crew_resume.py</w:t>
      </w:r>
      <w:r>
        <w:rPr/>
        <w:t xml:space="preserve"> record in </w:t>
      </w:r>
      <w:r>
        <w:rPr>
          <w:rStyle w:val="SourceText"/>
        </w:rPr>
        <w:t>handoff-write.sh</w:t>
      </w:r>
      <w:r>
        <w:rPr/>
        <w:t xml:space="preserve"> still depend on conversion until a follow-up lands: if one fails this way, unset </w:t>
      </w:r>
      <w:r>
        <w:rPr>
          <w:rStyle w:val="SourceText"/>
        </w:rPr>
        <w:t>MSYS_NO_PATHCONV</w:t>
      </w:r>
      <w:r>
        <w:rPr/>
        <w:t xml:space="preserve"> for the session (</w:t>
      </w:r>
      <w:r>
        <w:rPr>
          <w:rStyle w:val="SourceText"/>
        </w:rPr>
        <w:t>env -u MSYS_NO_PATHCONV claude</w:t>
      </w:r>
      <w:r>
        <w:rPr/>
        <w:t xml:space="preserve">). </w:t>
      </w:r>
    </w:p>
    <w:p>
      <w:pPr>
        <w:pStyle w:val="BodyText"/>
        <w:numPr>
          <w:ilvl w:val="0"/>
          <w:numId w:val="44"/>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4"/>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(chosen automatically; </w:t>
      </w:r>
      <w:r>
        <w:rPr>
          <w:rStyle w:val="SourceText"/>
        </w:rPr>
        <w:t>shellRoute.mode</w:t>
      </w:r>
      <w:r>
        <w:rPr/>
        <w:t xml:space="preserve"> was removed)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4" w:name="auto-wrap-up-auto-clear-and-auto-resume"/>
      <w:bookmarkEnd w:id="3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5" w:name="what-the-cycle-does"/>
      <w:bookmarkEnd w:id="35"/>
      <w:r>
        <w:rPr/>
        <w:t>What the Cycle Does</w:t>
      </w:r>
    </w:p>
    <w:p>
      <w:pPr>
        <w:pStyle w:val="BodyText"/>
        <w:numPr>
          <w:ilvl w:val="0"/>
          <w:numId w:val="45"/>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5"/>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and </w:t>
      </w:r>
      <w:r>
        <w:rPr>
          <w:rStyle w:val="SourceText"/>
        </w:rPr>
        <w:t>xdotool</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the </w:t>
      </w:r>
      <w:r>
        <w:rPr>
          <w:rStyle w:val="SourceText"/>
        </w:rPr>
        <w:t>auto-clear.sh</w:t>
      </w:r>
      <w:r>
        <w:rPr/>
        <w:t xml:space="preserve"> sender in resume mode (under Git Bash on Windows). Consent is </w:t>
      </w:r>
      <w:r>
        <w:rPr>
          <w:rStyle w:val="SourceText"/>
        </w:rPr>
        <w:t>resume.auto</w:t>
      </w:r>
      <w:r>
        <w:rPr/>
        <w:t xml:space="preserve">; </w:t>
      </w:r>
      <w:r>
        <w:rPr>
          <w:rStyle w:val="SourceText"/>
        </w:rPr>
        <w:t>context.autoClear</w:t>
      </w:r>
      <w:r>
        <w:rPr/>
        <w:t xml:space="preserve"> only describes the terminal. In tmux it waits 2 seconds, polls the pane for an idle, empty input line for up to 15 seconds (both fixed), then sends the command and, half a second later, Enter. On native Windows it types nothing (</w:t>
      </w:r>
      <w:r>
        <w:rPr>
          <w:rStyle w:val="SourceText"/>
        </w:rPr>
        <w:t>auto</w:t>
      </w:r>
      <w:r>
        <w:rPr/>
        <w:t xml:space="preserve"> there is </w:t>
      </w:r>
      <w:r>
        <w:rPr>
          <w:rStyle w:val="SourceText"/>
        </w:rPr>
        <w:t>notify</w:t>
      </w:r>
      <w:r>
        <w:rPr/>
        <w:t xml:space="preserve">; the </w:t>
      </w:r>
      <w:r>
        <w:rPr>
          <w:rStyle w:val="SourceText"/>
        </w:rPr>
        <w:t>sendkeys</w:t>
      </w:r>
      <w:r>
        <w:rPr/>
        <w:t xml:space="preserve"> method was removed in crew 1.2.61).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6" w:name="turning-it-on-and-off"/>
      <w:bookmarkEnd w:id="36"/>
      <w:r>
        <w:rPr/>
        <w:t>Turning It on and Off</w:t>
      </w:r>
    </w:p>
    <w:p>
      <w:pPr>
        <w:pStyle w:val="BodyText"/>
        <w:bidi w:val="0"/>
        <w:jc w:val="left"/>
        <w:rPr/>
      </w:pPr>
      <w:r>
        <w:rPr/>
        <w:t xml:space="preserve">Wrap-up and resume are on by default, and fixed that way: </w:t>
      </w:r>
      <w:r>
        <w:rPr>
          <w:rStyle w:val="SourceText"/>
        </w:rPr>
        <w:t>context.autoWrapUp</w:t>
      </w:r>
      <w:r>
        <w:rPr/>
        <w:t xml:space="preserve">, </w:t>
      </w:r>
      <w:r>
        <w:rPr>
          <w:rStyle w:val="SourceText"/>
        </w:rPr>
        <w:t>context.autoResume</w:t>
      </w:r>
      <w:r>
        <w:rPr/>
        <w:t xml:space="preserve"> and </w:t>
      </w:r>
      <w:r>
        <w:rPr>
          <w:rStyle w:val="SourceText"/>
        </w:rPr>
        <w:t>memory.inject</w:t>
      </w:r>
      <w:r>
        <w:rPr/>
        <w:t xml:space="preserve"> were removed, so the wrap-up instruction and the handoff injection cannot be switched off. Auto-clear is </w:t>
      </w:r>
      <w:r>
        <w:rPr>
          <w:rStyle w:val="Strong"/>
        </w:rPr>
        <w:t>off</w:t>
      </w:r>
      <w:r>
        <w:rPr/>
        <w:t xml:space="preserve"> by default. You turn it on per machine, in the machine-global config, because it drives this machine's keyboard:</w:t>
      </w:r>
    </w:p>
    <w:tbl>
      <w:tblPr>
        <w:tblW w:w="14050" w:type="dxa"/>
        <w:jc w:val="left"/>
        <w:tblInd w:w="28" w:type="dxa"/>
        <w:tblLayout w:type="fixed"/>
        <w:tblCellMar>
          <w:top w:w="28" w:type="dxa"/>
          <w:left w:w="28" w:type="dxa"/>
          <w:bottom w:w="28" w:type="dxa"/>
          <w:right w:w="28" w:type="dxa"/>
        </w:tblCellMar>
      </w:tblPr>
      <w:tblGrid>
        <w:gridCol w:w="2816"/>
        <w:gridCol w:w="4100"/>
        <w:gridCol w:w="2881"/>
        <w:gridCol w:w="4253"/>
      </w:tblGrid>
      <w:tr>
        <w:trPr>
          <w:tblHeader w:val="true"/>
        </w:trPr>
        <w:tc>
          <w:tcPr>
            <w:tcW w:w="2816"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881" w:type="dxa"/>
            <w:tcBorders/>
            <w:vAlign w:val="center"/>
          </w:tcPr>
          <w:p>
            <w:pPr>
              <w:pStyle w:val="TableHeading"/>
              <w:suppressLineNumbers/>
              <w:shd w:fill="434C5E" w:val="clear"/>
              <w:bidi w:val="0"/>
              <w:spacing w:before="120" w:after="120"/>
              <w:jc w:val="left"/>
              <w:rPr/>
            </w:pPr>
            <w:r>
              <w:rPr/>
              <w:t>Value</w:t>
            </w:r>
          </w:p>
        </w:tc>
        <w:tc>
          <w:tcPr>
            <w:tcW w:w="4253" w:type="dxa"/>
            <w:tcBorders/>
            <w:vAlign w:val="center"/>
          </w:tcPr>
          <w:p>
            <w:pPr>
              <w:pStyle w:val="TableHeading"/>
              <w:suppressLineNumbers/>
              <w:shd w:fill="434C5E" w:val="clear"/>
              <w:bidi w:val="0"/>
              <w:spacing w:before="120" w:after="120"/>
              <w:jc w:val="left"/>
              <w:rPr/>
            </w:pPr>
            <w:r>
              <w:rPr/>
              <w:t>Effect</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88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"none"</w:t>
            </w:r>
            <w:r>
              <w:rPr/>
              <w:t xml:space="preserve"> (</w:t>
            </w:r>
            <w:r>
              <w:rPr>
                <w:rStyle w:val="SourceText"/>
              </w:rPr>
              <w:t>"sendkeys"</w:t>
            </w:r>
            <w:r>
              <w:rPr/>
              <w:t xml:space="preserve"> was removed in crew 1.2.61 and is refused)</w:t>
            </w:r>
          </w:p>
        </w:tc>
        <w:tc>
          <w:tcPr>
            <w:tcW w:w="42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881" w:type="dxa"/>
            <w:tcBorders/>
            <w:vAlign w:val="center"/>
          </w:tcPr>
          <w:p>
            <w:pPr>
              <w:pStyle w:val="TableContents"/>
              <w:shd w:fill="2E3440" w:val="clear"/>
              <w:bidi w:val="0"/>
              <w:spacing w:before="120" w:after="120"/>
              <w:jc w:val="left"/>
              <w:rPr/>
            </w:pPr>
            <w:r>
              <w:rPr>
                <w:rStyle w:val="SourceText"/>
              </w:rPr>
              <w:t>3</w:t>
            </w:r>
          </w:p>
        </w:tc>
        <w:tc>
          <w:tcPr>
            <w:tcW w:w="4253" w:type="dxa"/>
            <w:tcBorders/>
            <w:vAlign w:val="center"/>
          </w:tcPr>
          <w:p>
            <w:pPr>
              <w:pStyle w:val="TableContents"/>
              <w:shd w:fill="2E3440" w:val="clear"/>
              <w:bidi w:val="0"/>
              <w:spacing w:before="120" w:after="120"/>
              <w:jc w:val="left"/>
              <w:rPr/>
            </w:pPr>
            <w:r>
              <w:rPr/>
              <w:t>wait before typing, so the prompt exists</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881" w:type="dxa"/>
            <w:tcBorders/>
            <w:vAlign w:val="center"/>
          </w:tcPr>
          <w:p>
            <w:pPr>
              <w:pStyle w:val="TableContents"/>
              <w:shd w:fill="2E3440" w:val="clear"/>
              <w:bidi w:val="0"/>
              <w:spacing w:before="120" w:after="120"/>
              <w:jc w:val="left"/>
              <w:rPr/>
            </w:pPr>
            <w:r>
              <w:rPr>
                <w:rStyle w:val="SourceText"/>
              </w:rPr>
              <w:t>5</w:t>
            </w:r>
          </w:p>
        </w:tc>
        <w:tc>
          <w:tcPr>
            <w:tcW w:w="4253" w:type="dxa"/>
            <w:tcBorders/>
            <w:vAlign w:val="center"/>
          </w:tcPr>
          <w:p>
            <w:pPr>
              <w:pStyle w:val="TableContents"/>
              <w:shd w:fill="2E3440" w:val="clear"/>
              <w:bidi w:val="0"/>
              <w:spacing w:before="120" w:after="120"/>
              <w:jc w:val="left"/>
              <w:rPr/>
            </w:pPr>
            <w:r>
              <w:rPr/>
              <w:t>a shorter handoff counts as a stub</w:t>
            </w:r>
          </w:p>
        </w:tc>
      </w:tr>
      <w:tr>
        <w:trPr/>
        <w:tc>
          <w:tcPr>
            <w:tcW w:w="2816"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816"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816"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turns off the whole context watcher, wrap-up included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7" w:name="armed-wrap-up-contextautoclearwrapup"/>
      <w:bookmarkEnd w:id="37"/>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6"/>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6"/>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6"/>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6"/>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8" w:name="arming-one-scratch-repo-while-other-sess"/>
      <w:bookmarkEnd w:id="38"/>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7"/>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7"/>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7"/>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7"/>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7"/>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7"/>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7"/>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9" w:name="which-method-and-what-it-does"/>
      <w:bookmarkEnd w:id="39"/>
      <w:r>
        <w:rPr/>
        <w:t>Which Method, and What It Does</w:t>
      </w:r>
    </w:p>
    <w:tbl>
      <w:tblPr>
        <w:tblW w:w="14050" w:type="dxa"/>
        <w:jc w:val="left"/>
        <w:tblInd w:w="28" w:type="dxa"/>
        <w:tblLayout w:type="fixed"/>
        <w:tblCellMar>
          <w:top w:w="28" w:type="dxa"/>
          <w:left w:w="28" w:type="dxa"/>
          <w:bottom w:w="28" w:type="dxa"/>
          <w:right w:w="28" w:type="dxa"/>
        </w:tblCellMar>
      </w:tblPr>
      <w:tblGrid>
        <w:gridCol w:w="1180"/>
        <w:gridCol w:w="8926"/>
        <w:gridCol w:w="3944"/>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8926" w:type="dxa"/>
            <w:tcBorders/>
            <w:vAlign w:val="center"/>
          </w:tcPr>
          <w:p>
            <w:pPr>
              <w:pStyle w:val="TableHeading"/>
              <w:suppressLineNumbers/>
              <w:shd w:fill="434C5E" w:val="clear"/>
              <w:bidi w:val="0"/>
              <w:spacing w:before="120" w:after="120"/>
              <w:jc w:val="left"/>
              <w:rPr/>
            </w:pPr>
            <w:r>
              <w:rPr/>
              <w:t>What it does</w:t>
            </w:r>
          </w:p>
        </w:tc>
        <w:tc>
          <w:tcPr>
            <w:tcW w:w="3944"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8926"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3944"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8926"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3944"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8926"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3944"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8926" w:type="dxa"/>
            <w:tcBorders/>
            <w:vAlign w:val="center"/>
          </w:tcPr>
          <w:p>
            <w:pPr>
              <w:pStyle w:val="TableContents"/>
              <w:shd w:fill="2E3440" w:val="clear"/>
              <w:bidi w:val="0"/>
              <w:spacing w:before="120" w:after="120"/>
              <w:jc w:val="left"/>
              <w:rPr/>
            </w:pPr>
            <w:r>
              <w:rPr>
                <w:rStyle w:val="Strong"/>
              </w:rPr>
              <w:t>Removed in crew 1.2.61 (L-0727 slice 3).</w:t>
            </w:r>
            <w:r>
              <w:rPr/>
              <w:t xml:space="preserve"> It was the Windows-only </w:t>
            </w:r>
            <w:r>
              <w:rPr>
                <w:rStyle w:val="SourceText"/>
              </w:rPr>
              <w:t>System.Windows.Forms.SendKeys</w:t>
            </w:r>
            <w:r>
              <w:rPr/>
              <w:t xml:space="preserve"> sender in </w:t>
            </w:r>
            <w:r>
              <w:rPr>
                <w:rStyle w:val="SourceText"/>
              </w:rPr>
              <w:t>auto-clear.ps1</w:t>
            </w:r>
            <w:r>
              <w:rPr/>
              <w:t>, which is deleted. A config that names it is refused with "sendkeys was removed in crew 1.2.61 (L-0727); use notify or tmux".</w:t>
            </w:r>
          </w:p>
        </w:tc>
        <w:tc>
          <w:tcPr>
            <w:tcW w:w="3944" w:type="dxa"/>
            <w:tcBorders/>
            <w:vAlign w:val="center"/>
          </w:tcPr>
          <w:p>
            <w:pPr>
              <w:pStyle w:val="TableContents"/>
              <w:shd w:fill="2E3440" w:val="clear"/>
              <w:bidi w:val="0"/>
              <w:spacing w:before="120" w:after="120"/>
              <w:jc w:val="left"/>
              <w:rPr/>
            </w:pPr>
            <w:r>
              <w:rPr/>
              <w:t>nowhere</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8926" w:type="dxa"/>
            <w:tcBorders/>
            <w:vAlign w:val="center"/>
          </w:tcPr>
          <w:p>
            <w:pPr>
              <w:pStyle w:val="TableContents"/>
              <w:shd w:fill="2E3440" w:val="clear"/>
              <w:bidi w:val="0"/>
              <w:spacing w:before="120" w:after="120"/>
              <w:jc w:val="left"/>
              <w:rPr/>
            </w:pPr>
            <w:r>
              <w:rPr/>
              <w:t>Refused outright.</w:t>
            </w:r>
          </w:p>
        </w:tc>
        <w:tc>
          <w:tcPr>
            <w:tcW w:w="3944"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40" w:name="when-it-will-not-clear-or-notify"/>
      <w:bookmarkEnd w:id="40"/>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decline is logged the same way — "declined" rather than "refusing", since the machine has opted in and something still happened (a message, or a fallback), just not a keystroke.</w:t>
      </w:r>
    </w:p>
    <w:tbl>
      <w:tblPr>
        <w:tblW w:w="14050" w:type="dxa"/>
        <w:jc w:val="left"/>
        <w:tblInd w:w="28" w:type="dxa"/>
        <w:tblLayout w:type="fixed"/>
        <w:tblCellMar>
          <w:top w:w="28" w:type="dxa"/>
          <w:left w:w="28" w:type="dxa"/>
          <w:bottom w:w="28" w:type="dxa"/>
          <w:right w:w="28" w:type="dxa"/>
        </w:tblCellMar>
      </w:tblPr>
      <w:tblGrid>
        <w:gridCol w:w="6085"/>
        <w:gridCol w:w="7965"/>
      </w:tblGrid>
      <w:tr>
        <w:trPr>
          <w:tblHeader w:val="true"/>
        </w:trPr>
        <w:tc>
          <w:tcPr>
            <w:tcW w:w="6085" w:type="dxa"/>
            <w:tcBorders/>
            <w:vAlign w:val="center"/>
          </w:tcPr>
          <w:p>
            <w:pPr>
              <w:pStyle w:val="TableHeading"/>
              <w:suppressLineNumbers/>
              <w:shd w:fill="434C5E" w:val="clear"/>
              <w:bidi w:val="0"/>
              <w:spacing w:before="120" w:after="120"/>
              <w:jc w:val="left"/>
              <w:rPr/>
            </w:pPr>
            <w:r>
              <w:rPr/>
              <w:t>Log says</w:t>
            </w:r>
          </w:p>
        </w:tc>
        <w:tc>
          <w:tcPr>
            <w:tcW w:w="7965" w:type="dxa"/>
            <w:tcBorders/>
            <w:vAlign w:val="center"/>
          </w:tcPr>
          <w:p>
            <w:pPr>
              <w:pStyle w:val="TableHeading"/>
              <w:suppressLineNumbers/>
              <w:shd w:fill="434C5E" w:val="clear"/>
              <w:bidi w:val="0"/>
              <w:spacing w:before="120" w:after="120"/>
              <w:jc w:val="left"/>
              <w:rPr/>
            </w:pPr>
            <w:r>
              <w:rPr/>
              <w:t>Meaning</w:t>
            </w:r>
          </w:p>
        </w:tc>
      </w:tr>
      <w:tr>
        <w:trPr/>
        <w:tc>
          <w:tcPr>
            <w:tcW w:w="6085"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965"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6085" w:type="dxa"/>
            <w:tcBorders/>
            <w:vAlign w:val="center"/>
          </w:tcPr>
          <w:p>
            <w:pPr>
              <w:pStyle w:val="TableContents"/>
              <w:shd w:fill="2E3440" w:val="clear"/>
              <w:bidi w:val="0"/>
              <w:spacing w:before="120" w:after="120"/>
              <w:jc w:val="left"/>
              <w:rPr/>
            </w:pPr>
            <w:r>
              <w:rPr>
                <w:rStyle w:val="SourceText"/>
              </w:rPr>
              <w:t>not trustworthy (unknown-window)</w:t>
            </w:r>
          </w:p>
        </w:tc>
        <w:tc>
          <w:tcPr>
            <w:tcW w:w="7965" w:type="dxa"/>
            <w:tcBorders/>
            <w:vAlign w:val="center"/>
          </w:tcPr>
          <w:p>
            <w:pPr>
              <w:pStyle w:val="TableContents"/>
              <w:shd w:fill="2E3440" w:val="clear"/>
              <w:bidi w:val="0"/>
              <w:spacing w:before="120" w:after="120"/>
              <w:jc w:val="left"/>
              <w:rPr/>
            </w:pPr>
            <w:r>
              <w:rPr/>
              <w:t>the model's context window is unknown (there is no budget setting to fall back on)</w:t>
            </w:r>
          </w:p>
        </w:tc>
      </w:tr>
      <w:tr>
        <w:trPr/>
        <w:tc>
          <w:tcPr>
            <w:tcW w:w="6085"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965" w:type="dxa"/>
            <w:tcBorders/>
            <w:vAlign w:val="center"/>
          </w:tcPr>
          <w:p>
            <w:pPr>
              <w:pStyle w:val="TableContents"/>
              <w:shd w:fill="2E3440" w:val="clear"/>
              <w:bidi w:val="0"/>
              <w:spacing w:before="120" w:after="120"/>
              <w:jc w:val="left"/>
              <w:rPr/>
            </w:pPr>
            <w:r>
              <w:rPr/>
              <w:t>the last reading came from before a compaction</w:t>
            </w:r>
          </w:p>
        </w:tc>
      </w:tr>
      <w:tr>
        <w:trPr/>
        <w:tc>
          <w:tcPr>
            <w:tcW w:w="6085" w:type="dxa"/>
            <w:tcBorders/>
            <w:vAlign w:val="center"/>
          </w:tcPr>
          <w:p>
            <w:pPr>
              <w:pStyle w:val="TableContents"/>
              <w:shd w:fill="2E3440" w:val="clear"/>
              <w:bidi w:val="0"/>
              <w:spacing w:before="120" w:after="120"/>
              <w:jc w:val="left"/>
              <w:rPr/>
            </w:pPr>
            <w:r>
              <w:rPr>
                <w:rStyle w:val="SourceText"/>
              </w:rPr>
              <w:t>the wrap-up marker is empty or not JSON</w:t>
            </w:r>
          </w:p>
        </w:tc>
        <w:tc>
          <w:tcPr>
            <w:tcW w:w="7965"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6085" w:type="dxa"/>
            <w:tcBorders/>
            <w:vAlign w:val="center"/>
          </w:tcPr>
          <w:p>
            <w:pPr>
              <w:pStyle w:val="TableContents"/>
              <w:shd w:fill="2E3440" w:val="clear"/>
              <w:bidi w:val="0"/>
              <w:spacing w:before="120" w:after="120"/>
              <w:jc w:val="left"/>
              <w:rPr/>
            </w:pPr>
            <w:r>
              <w:rPr>
                <w:rStyle w:val="SourceText"/>
              </w:rPr>
              <w:t>predates this session's wrap-up request</w:t>
            </w:r>
          </w:p>
        </w:tc>
        <w:tc>
          <w:tcPr>
            <w:tcW w:w="7965"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6085" w:type="dxa"/>
            <w:tcBorders/>
            <w:vAlign w:val="center"/>
          </w:tcPr>
          <w:p>
            <w:pPr>
              <w:pStyle w:val="TableContents"/>
              <w:shd w:fill="2E3440" w:val="clear"/>
              <w:bidi w:val="0"/>
              <w:spacing w:before="120" w:after="120"/>
              <w:jc w:val="left"/>
              <w:rPr/>
            </w:pPr>
            <w:r>
              <w:rPr>
                <w:rStyle w:val="SourceText"/>
              </w:rPr>
              <w:t>automatic PreCompact skeleton</w:t>
            </w:r>
          </w:p>
        </w:tc>
        <w:tc>
          <w:tcPr>
            <w:tcW w:w="7965"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6085"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965" w:type="dxa"/>
            <w:tcBorders/>
            <w:vAlign w:val="center"/>
          </w:tcPr>
          <w:p>
            <w:pPr>
              <w:pStyle w:val="TableContents"/>
              <w:shd w:fill="2E3440" w:val="clear"/>
              <w:bidi w:val="0"/>
              <w:spacing w:before="120" w:after="120"/>
              <w:jc w:val="left"/>
              <w:rPr/>
            </w:pPr>
            <w:r>
              <w:rPr/>
              <w:t>the window is ambiguous, so nothing is typed (</w:t>
            </w:r>
            <w:r>
              <w:rPr>
                <w:rStyle w:val="SourceText"/>
              </w:rPr>
              <w:t>xdotool</w:t>
            </w:r>
            <w:r>
              <w:rPr/>
              <w:t xml:space="preserve"> only)</w:t>
            </w:r>
          </w:p>
        </w:tc>
      </w:tr>
      <w:tr>
        <w:trPr/>
        <w:tc>
          <w:tcPr>
            <w:tcW w:w="6085"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965"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xdotool</w:t>
            </w:r>
            <w:r>
              <w:rPr/>
              <w:t xml:space="preserve"> only)</w:t>
            </w:r>
          </w:p>
        </w:tc>
      </w:tr>
      <w:tr>
        <w:trPr/>
        <w:tc>
          <w:tcPr>
            <w:tcW w:w="6085"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965"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6085"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965"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6085"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965"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6085"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965"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6085"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965"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6085"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965"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6085"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965"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6085" w:type="dxa"/>
            <w:tcBorders/>
            <w:vAlign w:val="center"/>
          </w:tcPr>
          <w:p>
            <w:pPr>
              <w:pStyle w:val="TableContents"/>
              <w:shd w:fill="2E3440" w:val="clear"/>
              <w:bidi w:val="0"/>
              <w:spacing w:before="120" w:after="120"/>
              <w:jc w:val="left"/>
              <w:rPr/>
            </w:pPr>
            <w:r>
              <w:rPr>
                <w:rStyle w:val="SourceText"/>
              </w:rPr>
              <w:t>tmux pane %N could not be confirmed</w:t>
            </w:r>
          </w:p>
        </w:tc>
        <w:tc>
          <w:tcPr>
            <w:tcW w:w="7965"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6085" w:type="dxa"/>
            <w:tcBorders/>
            <w:vAlign w:val="center"/>
          </w:tcPr>
          <w:p>
            <w:pPr>
              <w:pStyle w:val="TableContents"/>
              <w:shd w:fill="2E3440" w:val="clear"/>
              <w:bidi w:val="0"/>
              <w:spacing w:before="120" w:after="120"/>
              <w:jc w:val="left"/>
              <w:rPr/>
            </w:pPr>
            <w:r>
              <w:rPr>
                <w:rStyle w:val="SourceText"/>
              </w:rPr>
              <w:t>method wtype ... is refused</w:t>
            </w:r>
          </w:p>
        </w:tc>
        <w:tc>
          <w:tcPr>
            <w:tcW w:w="7965"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6085" w:type="dxa"/>
            <w:tcBorders/>
            <w:vAlign w:val="center"/>
          </w:tcPr>
          <w:p>
            <w:pPr>
              <w:pStyle w:val="TableContents"/>
              <w:shd w:fill="2E3440" w:val="clear"/>
              <w:bidi w:val="0"/>
              <w:spacing w:before="120" w:after="120"/>
              <w:jc w:val="left"/>
              <w:rPr/>
            </w:pPr>
            <w:r>
              <w:rPr>
                <w:rStyle w:val="SourceText"/>
              </w:rPr>
              <w:t>sent - method notify</w:t>
            </w:r>
          </w:p>
        </w:tc>
        <w:tc>
          <w:tcPr>
            <w:tcW w:w="7965"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41" w:name="which-window-gets-the-keystroke"/>
      <w:bookmarkEnd w:id="41"/>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docs/crew/config-rationale.md has the full rules and their limits (Windows' entrypoint is unmeasured; macOS cannot check the start time).</w:t>
      </w:r>
    </w:p>
    <w:p>
      <w:pPr>
        <w:pStyle w:val="BodyText"/>
        <w:numPr>
          <w:ilvl w:val="0"/>
          <w:numId w:val="48"/>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8"/>
        </w:numPr>
        <w:tabs>
          <w:tab w:val="clear" w:pos="1134"/>
          <w:tab w:val="left" w:pos="829" w:leader="none"/>
        </w:tabs>
        <w:bidi w:val="0"/>
        <w:spacing w:before="120" w:after="12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