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810" w:type="dxa"/>
        <w:jc w:val="left"/>
        <w:tblInd w:w="0" w:type="dxa"/>
        <w:tblLayout w:type="fixed"/>
        <w:tblCellMar>
          <w:top w:w="28" w:type="dxa"/>
          <w:left w:w="28" w:type="dxa"/>
          <w:bottom w:w="28" w:type="dxa"/>
          <w:right w:w="28" w:type="dxa"/>
        </w:tblCellMar>
      </w:tblPr>
      <w:tblGrid>
        <w:gridCol w:w="2116"/>
        <w:gridCol w:w="2446"/>
        <w:gridCol w:w="2131"/>
        <w:gridCol w:w="2986"/>
        <w:gridCol w:w="2131"/>
      </w:tblGrid>
      <w:tr>
        <w:trPr>
          <w:tblHeader w:val="true"/>
        </w:trPr>
        <w:tc>
          <w:tcPr>
            <w:tcW w:w="2116" w:type="dxa"/>
            <w:tcBorders/>
            <w:vAlign w:val="center"/>
          </w:tcPr>
          <w:p>
            <w:pPr>
              <w:pStyle w:val="TableHeading"/>
              <w:suppressLineNumbers/>
              <w:shd w:fill="434C5E" w:val="clear"/>
              <w:bidi w:val="0"/>
              <w:spacing w:before="120" w:after="120"/>
              <w:jc w:val="left"/>
              <w:rPr/>
            </w:pPr>
            <w:r>
              <w:rPr/>
              <w:t>Event</w:t>
            </w:r>
          </w:p>
        </w:tc>
        <w:tc>
          <w:tcPr>
            <w:tcW w:w="2446" w:type="dxa"/>
            <w:tcBorders/>
            <w:vAlign w:val="center"/>
          </w:tcPr>
          <w:p>
            <w:pPr>
              <w:pStyle w:val="TableHeading"/>
              <w:suppressLineNumbers/>
              <w:shd w:fill="434C5E" w:val="clear"/>
              <w:bidi w:val="0"/>
              <w:spacing w:before="120" w:after="120"/>
              <w:jc w:val="left"/>
              <w:rPr/>
            </w:pPr>
            <w:r>
              <w:rPr/>
              <w:t>Script</w:t>
            </w:r>
          </w:p>
        </w:tc>
        <w:tc>
          <w:tcPr>
            <w:tcW w:w="2131"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31" w:type="dxa"/>
            <w:tcBorders/>
            <w:vAlign w:val="center"/>
          </w:tcPr>
          <w:p>
            <w:pPr>
              <w:pStyle w:val="TableHeading"/>
              <w:suppressLineNumbers/>
              <w:shd w:fill="434C5E" w:val="clear"/>
              <w:bidi w:val="0"/>
              <w:spacing w:before="120" w:after="120"/>
              <w:jc w:val="left"/>
              <w:rPr/>
            </w:pPr>
            <w:r>
              <w:rPr/>
              <w:t>Default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handoff-read.sh</w:t>
            </w:r>
          </w:p>
        </w:tc>
        <w:tc>
          <w:tcPr>
            <w:tcW w:w="2131"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platform-sync.sh</w:t>
            </w:r>
          </w:p>
        </w:tc>
        <w:tc>
          <w:tcPr>
            <w:tcW w:w="2131"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46" w:type="dxa"/>
            <w:tcBorders/>
            <w:vAlign w:val="center"/>
          </w:tcPr>
          <w:p>
            <w:pPr>
              <w:pStyle w:val="TableContents"/>
              <w:shd w:fill="2E3440" w:val="clear"/>
              <w:bidi w:val="0"/>
              <w:spacing w:before="120" w:after="120"/>
              <w:jc w:val="left"/>
              <w:rPr/>
            </w:pPr>
            <w:r>
              <w:rPr>
                <w:rStyle w:val="SourceText"/>
              </w:rPr>
              <w:t>crew-context.sh</w:t>
            </w:r>
          </w:p>
        </w:tc>
        <w:tc>
          <w:tcPr>
            <w:tcW w:w="2131"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31"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2446" w:type="dxa"/>
            <w:tcBorders/>
            <w:vAlign w:val="center"/>
          </w:tcPr>
          <w:p>
            <w:pPr>
              <w:pStyle w:val="TableContents"/>
              <w:shd w:fill="2E3440" w:val="clear"/>
              <w:bidi w:val="0"/>
              <w:spacing w:before="120" w:after="120"/>
              <w:jc w:val="left"/>
              <w:rPr/>
            </w:pPr>
            <w:r>
              <w:rPr>
                <w:rStyle w:val="SourceText"/>
              </w:rPr>
              <w:t>approval-hook.sh</w:t>
            </w:r>
          </w:p>
        </w:tc>
        <w:tc>
          <w:tcPr>
            <w:tcW w:w="2131"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31" w:type="dxa"/>
            <w:tcBorders/>
            <w:vAlign w:val="center"/>
          </w:tcPr>
          <w:p>
            <w:pPr>
              <w:pStyle w:val="TableContents"/>
              <w:shd w:fill="2E3440" w:val="clear"/>
              <w:bidi w:val="0"/>
              <w:spacing w:before="120" w:after="120"/>
              <w:jc w:val="left"/>
              <w:rPr/>
            </w:pPr>
            <w:r>
              <w:rPr/>
              <w:t>n/a</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promote-gate.sh</w:t>
            </w:r>
          </w:p>
        </w:tc>
        <w:tc>
          <w:tcPr>
            <w:tcW w:w="2131"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31"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46" w:type="dxa"/>
            <w:tcBorders/>
            <w:vAlign w:val="center"/>
          </w:tcPr>
          <w:p>
            <w:pPr>
              <w:pStyle w:val="TableContents"/>
              <w:shd w:fill="2E3440" w:val="clear"/>
              <w:bidi w:val="0"/>
              <w:spacing w:before="120" w:after="120"/>
              <w:jc w:val="left"/>
              <w:rPr/>
            </w:pPr>
            <w:r>
              <w:rPr>
                <w:rStyle w:val="SourceText"/>
              </w:rPr>
              <w:t>role-write-guard.sh</w:t>
            </w:r>
          </w:p>
        </w:tc>
        <w:tc>
          <w:tcPr>
            <w:tcW w:w="2131"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cloud-guard.sh</w:t>
            </w:r>
          </w:p>
        </w:tc>
        <w:tc>
          <w:tcPr>
            <w:tcW w:w="2131"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scope-guard.sh</w:t>
            </w:r>
          </w:p>
        </w:tc>
        <w:tc>
          <w:tcPr>
            <w:tcW w:w="2131"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31"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6" w:type="dxa"/>
            <w:tcBorders/>
            <w:vAlign w:val="center"/>
          </w:tcPr>
          <w:p>
            <w:pPr>
              <w:pStyle w:val="TableContents"/>
              <w:shd w:fill="2E3440" w:val="clear"/>
              <w:bidi w:val="0"/>
              <w:spacing w:before="120" w:after="120"/>
              <w:jc w:val="left"/>
              <w:rPr/>
            </w:pPr>
            <w:r>
              <w:rPr>
                <w:rStyle w:val="SourceText"/>
              </w:rPr>
              <w:t>PreCompact</w:t>
            </w:r>
          </w:p>
        </w:tc>
        <w:tc>
          <w:tcPr>
            <w:tcW w:w="2446" w:type="dxa"/>
            <w:tcBorders/>
            <w:vAlign w:val="center"/>
          </w:tcPr>
          <w:p>
            <w:pPr>
              <w:pStyle w:val="TableContents"/>
              <w:shd w:fill="2E3440" w:val="clear"/>
              <w:bidi w:val="0"/>
              <w:spacing w:before="120" w:after="120"/>
              <w:jc w:val="left"/>
              <w:rPr/>
            </w:pPr>
            <w:r>
              <w:rPr>
                <w:rStyle w:val="SourceText"/>
              </w:rPr>
              <w:t>handoff-write.sh</w:t>
            </w:r>
          </w:p>
        </w:tc>
        <w:tc>
          <w:tcPr>
            <w:tcW w:w="2131"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Notification</w:t>
            </w:r>
          </w:p>
        </w:tc>
        <w:tc>
          <w:tcPr>
            <w:tcW w:w="2446" w:type="dxa"/>
            <w:tcBorders/>
            <w:vAlign w:val="center"/>
          </w:tcPr>
          <w:p>
            <w:pPr>
              <w:pStyle w:val="TableContents"/>
              <w:shd w:fill="2E3440" w:val="clear"/>
              <w:bidi w:val="0"/>
              <w:spacing w:before="120" w:after="120"/>
              <w:jc w:val="left"/>
              <w:rPr/>
            </w:pPr>
            <w:r>
              <w:rPr>
                <w:rStyle w:val="SourceText"/>
              </w:rPr>
              <w:t>notify.sh</w:t>
            </w:r>
          </w:p>
        </w:tc>
        <w:tc>
          <w:tcPr>
            <w:tcW w:w="2131" w:type="dxa"/>
            <w:tcBorders/>
            <w:vAlign w:val="center"/>
          </w:tcPr>
          <w:p>
            <w:pPr>
              <w:pStyle w:val="TableContents"/>
              <w:shd w:fill="2E3440" w:val="clear"/>
              <w:bidi w:val="0"/>
              <w:spacing w:before="120" w:after="120"/>
              <w:jc w:val="left"/>
              <w:rPr/>
            </w:pPr>
            <w:r>
              <w:rPr/>
              <w:t>pings an external channel</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disables it), </w:t>
            </w:r>
            <w:r>
              <w:rPr>
                <w:rStyle w:val="SourceText"/>
              </w:rPr>
              <w:t>notify.events</w:t>
            </w:r>
          </w:p>
        </w:tc>
        <w:tc>
          <w:tcPr>
            <w:tcW w:w="2131" w:type="dxa"/>
            <w:tcBorders/>
            <w:vAlign w:val="center"/>
          </w:tcPr>
          <w:p>
            <w:pPr>
              <w:pStyle w:val="TableContents"/>
              <w:shd w:fill="2E3440" w:val="clear"/>
              <w:bidi w:val="0"/>
              <w:spacing w:before="120" w:after="120"/>
              <w:jc w:val="left"/>
              <w:rPr/>
            </w:pPr>
            <w:r>
              <w:rPr>
                <w:rStyle w:val="SourceText"/>
              </w:rPr>
              <w:t>none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verify-gate.sh</w:t>
            </w:r>
          </w:p>
        </w:tc>
        <w:tc>
          <w:tcPr>
            <w:tcW w:w="2131"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31" w:type="dxa"/>
            <w:tcBorders/>
            <w:vAlign w:val="center"/>
          </w:tcPr>
          <w:p>
            <w:pPr>
              <w:pStyle w:val="TableContents"/>
              <w:shd w:fill="2E3440" w:val="clear"/>
              <w:bidi w:val="0"/>
              <w:spacing w:before="120" w:after="120"/>
              <w:jc w:val="left"/>
              <w:rPr/>
            </w:pPr>
            <w:r>
              <w:rPr>
                <w:rStyle w:val="SourceText"/>
              </w:rPr>
              <w:t>true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context-watch.sh</w:t>
            </w:r>
          </w:p>
        </w:tc>
        <w:tc>
          <w:tcPr>
            <w:tcW w:w="2131"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31"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completion-audit.sh</w:t>
            </w:r>
          </w:p>
        </w:tc>
        <w:tc>
          <w:tcPr>
            <w:tcW w:w="2131"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31"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w:t>
      </w:r>
      <w:r>
        <w:rPr>
          <w:rStyle w:val="Strong"/>
        </w:rPr>
        <w:t>Fix:</w:t>
      </w:r>
      <w:r>
        <w:rPr/>
        <w:t xml:space="preserve"> own the FINDINGS with </w:t>
      </w:r>
      <w:r>
        <w:rPr>
          <w:rStyle w:val="SourceText"/>
        </w:rPr>
        <w:t>--accept --by &lt;who&gt;</w:t>
      </w:r>
      <w:r>
        <w:rPr/>
        <w:t xml:space="preserve"> (only the most recent completed round, only once, never once </w:t>
      </w:r>
      <w:r>
        <w:rPr>
          <w:rStyle w:val="SourceText"/>
        </w:rPr>
        <w:t>NEEDS_REPLAN</w:t>
      </w:r>
      <w:r>
        <w:rPr/>
        <w:t xml:space="preserve">),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 </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9"/>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1.0.61+,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1.0.61 almost always has one, a default that crew's SessionStart heal wrote there. </w:t>
      </w:r>
      <w:r>
        <w:rPr>
          <w:rStyle w:val="SourceText"/>
        </w:rPr>
        <w:t>(unknown)</w:t>
      </w:r>
      <w:r>
        <w:rPr/>
        <w:t xml:space="preserve"> means git could not name the main checkout; then no default is written either. The shell and PowerShell readers (</w:t>
      </w:r>
      <w:r>
        <w:rPr>
          <w:rStyle w:val="SourceText"/>
        </w:rPr>
        <w:t>verify-gate.sh</w:t>
      </w:r>
      <w:r>
        <w:rPr/>
        <w:t xml:space="preserve">, </w:t>
      </w:r>
      <w:r>
        <w:rPr>
          <w:rStyle w:val="SourceText"/>
        </w:rPr>
        <w:t>_common.sh</w:t>
      </w:r>
      <w:r>
        <w:rPr/>
        <w:t xml:space="preserve">, </w:t>
      </w:r>
      <w:r>
        <w:rPr>
          <w:rStyle w:val="SourceText"/>
        </w:rPr>
        <w:t>notify.sh</w:t>
      </w:r>
      <w:r>
        <w:rPr/>
        <w:t xml:space="preserve">, the handoff scripts, </w:t>
      </w:r>
      <w:r>
        <w:rPr>
          <w:rStyle w:val="SourceText"/>
        </w:rPr>
        <w:t>promote-gate.ps1</w:t>
      </w:r>
      <w:r>
        <w:rPr/>
        <w:t xml:space="preserve">, </w:t>
      </w:r>
      <w:r>
        <w:rPr>
          <w:rStyle w:val="SourceText"/>
        </w:rPr>
        <w:t>scope-guard.ps1</w:t>
      </w:r>
      <w:r>
        <w:rPr/>
        <w:t xml:space="preserve">, </w:t>
      </w:r>
      <w:r>
        <w:rPr>
          <w:rStyle w:val="SourceText"/>
        </w:rPr>
        <w:t>cloud-guard.ps1</w:t>
      </w:r>
      <w:r>
        <w:rPr/>
        <w:t xml:space="preserve">, </w:t>
      </w:r>
      <w:r>
        <w:rPr>
          <w:rStyle w:val="SourceText"/>
        </w:rPr>
        <w:t>auto-clear.ps1</w:t>
      </w:r>
      <w:r>
        <w:rPr/>
        <w:t xml:space="preserve">) do not inherit yet. </w:t>
      </w:r>
    </w:p>
    <w:p>
      <w:pPr>
        <w:pStyle w:val="BodyText"/>
        <w:numPr>
          <w:ilvl w:val="0"/>
          <w:numId w:val="9"/>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0"/>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0"/>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1"/>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1"/>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cloud-guard-false-positives"/>
      <w:bookmarkEnd w:id="5"/>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12"/>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12"/>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12"/>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6" w:name="obsidian"/>
      <w:bookmarkEnd w:id="6"/>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13"/>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13"/>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w:t>
      </w:r>
    </w:p>
    <w:p>
      <w:pPr>
        <w:pStyle w:val="BodyText"/>
        <w:numPr>
          <w:ilvl w:val="0"/>
          <w:numId w:val="14"/>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14"/>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14"/>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14"/>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14"/>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14"/>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14"/>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7" w:name="auto-wrap-up-clear-and-resume"/>
      <w:bookmarkEnd w:id="7"/>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8" w:name="auto-clear-did-nothing-on-windows"/>
      <w:bookmarkEnd w:id="8"/>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15"/>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15"/>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15"/>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9" w:name="claude-code-compacted-by-itself"/>
      <w:bookmarkEnd w:id="9"/>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0" w:name="turning-things-off"/>
      <w:bookmarkEnd w:id="10"/>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810" w:type="dxa"/>
        <w:jc w:val="left"/>
        <w:tblInd w:w="0" w:type="dxa"/>
        <w:tblLayout w:type="fixed"/>
        <w:tblCellMar>
          <w:top w:w="28" w:type="dxa"/>
          <w:left w:w="28" w:type="dxa"/>
          <w:bottom w:w="28" w:type="dxa"/>
          <w:right w:w="28" w:type="dxa"/>
        </w:tblCellMar>
      </w:tblPr>
      <w:tblGrid>
        <w:gridCol w:w="4730"/>
        <w:gridCol w:w="1699"/>
        <w:gridCol w:w="1841"/>
        <w:gridCol w:w="3540"/>
      </w:tblGrid>
      <w:tr>
        <w:trPr>
          <w:tblHeader w:val="true"/>
        </w:trPr>
        <w:tc>
          <w:tcPr>
            <w:tcW w:w="4730" w:type="dxa"/>
            <w:tcBorders/>
            <w:vAlign w:val="center"/>
          </w:tcPr>
          <w:p>
            <w:pPr>
              <w:pStyle w:val="TableHeading"/>
              <w:suppressLineNumbers/>
              <w:shd w:fill="434C5E" w:val="clear"/>
              <w:bidi w:val="0"/>
              <w:spacing w:before="120" w:after="120"/>
              <w:jc w:val="left"/>
              <w:rPr/>
            </w:pPr>
            <w:r>
              <w:rPr/>
              <w:t>Key</w:t>
            </w:r>
          </w:p>
        </w:tc>
        <w:tc>
          <w:tcPr>
            <w:tcW w:w="1699" w:type="dxa"/>
            <w:tcBorders/>
            <w:vAlign w:val="center"/>
          </w:tcPr>
          <w:p>
            <w:pPr>
              <w:pStyle w:val="TableHeading"/>
              <w:suppressLineNumbers/>
              <w:shd w:fill="434C5E" w:val="clear"/>
              <w:bidi w:val="0"/>
              <w:spacing w:before="120" w:after="120"/>
              <w:jc w:val="left"/>
              <w:rPr/>
            </w:pPr>
            <w:r>
              <w:rPr/>
              <w:t>Lives in</w:t>
            </w:r>
          </w:p>
        </w:tc>
        <w:tc>
          <w:tcPr>
            <w:tcW w:w="1841" w:type="dxa"/>
            <w:tcBorders/>
            <w:vAlign w:val="center"/>
          </w:tcPr>
          <w:p>
            <w:pPr>
              <w:pStyle w:val="TableHeading"/>
              <w:suppressLineNumbers/>
              <w:shd w:fill="434C5E" w:val="clear"/>
              <w:bidi w:val="0"/>
              <w:spacing w:before="120" w:after="120"/>
              <w:jc w:val="left"/>
              <w:rPr/>
            </w:pPr>
            <w:r>
              <w:rPr/>
              <w:t>Values</w:t>
            </w:r>
          </w:p>
        </w:tc>
        <w:tc>
          <w:tcPr>
            <w:tcW w:w="3540" w:type="dxa"/>
            <w:tcBorders/>
            <w:vAlign w:val="center"/>
          </w:tcPr>
          <w:p>
            <w:pPr>
              <w:pStyle w:val="TableHeading"/>
              <w:suppressLineNumbers/>
              <w:shd w:fill="434C5E" w:val="clear"/>
              <w:bidi w:val="0"/>
              <w:spacing w:before="120" w:after="120"/>
              <w:jc w:val="left"/>
              <w:rPr/>
            </w:pPr>
            <w:r>
              <w:rPr/>
              <w:t>What "off"/floor means</w:t>
            </w:r>
          </w:p>
        </w:tc>
      </w:tr>
      <w:tr>
        <w:trPr/>
        <w:tc>
          <w:tcPr>
            <w:tcW w:w="4730" w:type="dxa"/>
            <w:tcBorders/>
            <w:vAlign w:val="center"/>
          </w:tcPr>
          <w:p>
            <w:pPr>
              <w:pStyle w:val="TableContents"/>
              <w:shd w:fill="2E3440" w:val="clear"/>
              <w:bidi w:val="0"/>
              <w:spacing w:before="120" w:after="120"/>
              <w:jc w:val="left"/>
              <w:rPr/>
            </w:pPr>
            <w:r>
              <w:rPr>
                <w:rStyle w:val="SourceText"/>
              </w:rPr>
              <w:t>memory.inject</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730" w:type="dxa"/>
            <w:tcBorders/>
            <w:vAlign w:val="center"/>
          </w:tcPr>
          <w:p>
            <w:pPr>
              <w:pStyle w:val="TableContents"/>
              <w:shd w:fill="2E3440" w:val="clear"/>
              <w:bidi w:val="0"/>
              <w:spacing w:before="120" w:after="120"/>
              <w:jc w:val="left"/>
              <w:rPr/>
            </w:pPr>
            <w:r>
              <w:rPr>
                <w:rStyle w:val="SourceText"/>
              </w:rPr>
              <w:t>guards.cloudGuard</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40"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730" w:type="dxa"/>
            <w:tcBorders/>
            <w:vAlign w:val="center"/>
          </w:tcPr>
          <w:p>
            <w:pPr>
              <w:pStyle w:val="TableContents"/>
              <w:shd w:fill="2E3440" w:val="clear"/>
              <w:bidi w:val="0"/>
              <w:spacing w:before="120" w:after="120"/>
              <w:jc w:val="left"/>
              <w:rPr/>
            </w:pPr>
            <w:r>
              <w:rPr>
                <w:rStyle w:val="SourceText"/>
              </w:rPr>
              <w:t>guards.roleWrites</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40"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730"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3540"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730"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3540"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730" w:type="dxa"/>
            <w:tcBorders/>
            <w:vAlign w:val="center"/>
          </w:tcPr>
          <w:p>
            <w:pPr>
              <w:pStyle w:val="TableContents"/>
              <w:shd w:fill="2E3440" w:val="clear"/>
              <w:bidi w:val="0"/>
              <w:spacing w:before="120" w:after="120"/>
              <w:jc w:val="left"/>
              <w:rPr/>
            </w:pPr>
            <w:r>
              <w:rPr>
                <w:rStyle w:val="SourceText"/>
              </w:rPr>
              <w:t>scope.mode</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3540"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730" w:type="dxa"/>
            <w:tcBorders/>
            <w:vAlign w:val="center"/>
          </w:tcPr>
          <w:p>
            <w:pPr>
              <w:pStyle w:val="TableContents"/>
              <w:shd w:fill="2E3440" w:val="clear"/>
              <w:bidi w:val="0"/>
              <w:spacing w:before="120" w:after="120"/>
              <w:jc w:val="left"/>
              <w:rPr/>
            </w:pPr>
            <w:r>
              <w:rPr>
                <w:rStyle w:val="SourceText"/>
              </w:rPr>
              <w:t>scope.allowCliApproval</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730" w:type="dxa"/>
            <w:tcBorders/>
            <w:vAlign w:val="center"/>
          </w:tcPr>
          <w:p>
            <w:pPr>
              <w:pStyle w:val="TableContents"/>
              <w:shd w:fill="2E3440" w:val="clear"/>
              <w:bidi w:val="0"/>
              <w:spacing w:before="120" w:after="120"/>
              <w:jc w:val="left"/>
              <w:rPr/>
            </w:pPr>
            <w:r>
              <w:rPr>
                <w:rStyle w:val="SourceText"/>
              </w:rPr>
              <w:t>verifyGate</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730" w:type="dxa"/>
            <w:tcBorders/>
            <w:vAlign w:val="center"/>
          </w:tcPr>
          <w:p>
            <w:pPr>
              <w:pStyle w:val="TableContents"/>
              <w:shd w:fill="2E3440" w:val="clear"/>
              <w:bidi w:val="0"/>
              <w:spacing w:before="120" w:after="120"/>
              <w:jc w:val="left"/>
              <w:rPr/>
            </w:pPr>
            <w:r>
              <w:rPr>
                <w:rStyle w:val="SourceText"/>
              </w:rPr>
              <w:t>context.enabled</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730"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730" w:type="dxa"/>
            <w:tcBorders/>
            <w:vAlign w:val="center"/>
          </w:tcPr>
          <w:p>
            <w:pPr>
              <w:pStyle w:val="TableContents"/>
              <w:shd w:fill="2E3440" w:val="clear"/>
              <w:bidi w:val="0"/>
              <w:spacing w:before="120" w:after="120"/>
              <w:jc w:val="left"/>
              <w:rPr/>
            </w:pPr>
            <w:r>
              <w:rPr>
                <w:rStyle w:val="SourceText"/>
              </w:rPr>
              <w:t>notify.provider</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 xml:space="preserve">provider name / </w:t>
            </w:r>
            <w:r>
              <w:rPr>
                <w:rStyle w:val="SourceText"/>
              </w:rPr>
              <w:t>none</w:t>
            </w:r>
          </w:p>
        </w:tc>
        <w:tc>
          <w:tcPr>
            <w:tcW w:w="3540" w:type="dxa"/>
            <w:tcBorders/>
            <w:vAlign w:val="center"/>
          </w:tcPr>
          <w:p>
            <w:pPr>
              <w:pStyle w:val="TableContents"/>
              <w:shd w:fill="2E3440" w:val="clear"/>
              <w:bidi w:val="0"/>
              <w:spacing w:before="120" w:after="120"/>
              <w:jc w:val="left"/>
              <w:rPr/>
            </w:pPr>
            <w:r>
              <w:rPr>
                <w:rStyle w:val="SourceText"/>
              </w:rPr>
              <w:t>none</w:t>
            </w:r>
            <w:r>
              <w:rPr/>
              <w:t xml:space="preserve">: the </w:t>
            </w:r>
            <w:r>
              <w:rPr>
                <w:rStyle w:val="SourceText"/>
              </w:rPr>
              <w:t>Notification</w:t>
            </w:r>
            <w:r>
              <w:rPr/>
              <w:t xml:space="preserve"> hook sends nothing</w:t>
            </w:r>
          </w:p>
        </w:tc>
      </w:tr>
      <w:tr>
        <w:trPr/>
        <w:tc>
          <w:tcPr>
            <w:tcW w:w="4730" w:type="dxa"/>
            <w:tcBorders/>
            <w:vAlign w:val="center"/>
          </w:tcPr>
          <w:p>
            <w:pPr>
              <w:pStyle w:val="TableContents"/>
              <w:shd w:fill="2E3440" w:val="clear"/>
              <w:bidi w:val="0"/>
              <w:spacing w:before="120" w:after="120"/>
              <w:jc w:val="left"/>
              <w:rPr/>
            </w:pPr>
            <w:r>
              <w:rPr>
                <w:rStyle w:val="SourceText"/>
              </w:rPr>
              <w:t>change.requireForProduction</w:t>
            </w:r>
          </w:p>
        </w:tc>
        <w:tc>
          <w:tcPr>
            <w:tcW w:w="1699" w:type="dxa"/>
            <w:tcBorders/>
            <w:vAlign w:val="center"/>
          </w:tcPr>
          <w:p>
            <w:pPr>
              <w:pStyle w:val="TableContents"/>
              <w:shd w:fill="2E3440" w:val="clear"/>
              <w:bidi w:val="0"/>
              <w:spacing w:before="120" w:after="120"/>
              <w:jc w:val="left"/>
              <w:rPr/>
            </w:pPr>
            <w:r>
              <w:rPr/>
              <w:t>both layers, ratchets (may only turn ON)</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730" w:type="dxa"/>
            <w:tcBorders/>
            <w:vAlign w:val="center"/>
          </w:tcPr>
          <w:p>
            <w:pPr>
              <w:pStyle w:val="TableContents"/>
              <w:shd w:fill="2E3440" w:val="clear"/>
              <w:bidi w:val="0"/>
              <w:spacing w:before="120" w:after="120"/>
              <w:jc w:val="left"/>
              <w:rPr/>
            </w:pPr>
            <w:r>
              <w:rPr>
                <w:rStyle w:val="SourceText"/>
              </w:rPr>
              <w:t>install.policy</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3540"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1" w:name="web-testing"/>
      <w:bookmarkEnd w:id="11"/>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16"/>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16"/>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16"/>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16"/>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2" w:name="windows-notes"/>
      <w:bookmarkEnd w:id="12"/>
      <w:r>
        <w:rPr/>
        <w:t>Windows Notes</w:t>
      </w:r>
    </w:p>
    <w:p>
      <w:pPr>
        <w:pStyle w:val="BodyText"/>
        <w:numPr>
          <w:ilvl w:val="0"/>
          <w:numId w:val="17"/>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17"/>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17"/>
        </w:numPr>
        <w:tabs>
          <w:tab w:val="clear" w:pos="1134"/>
          <w:tab w:val="left" w:pos="829" w:leader="none"/>
        </w:tabs>
        <w:bidi w:val="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Heading2"/>
        <w:bidi w:val="0"/>
        <w:ind w:hanging="0" w:left="0" w:right="0"/>
        <w:jc w:val="left"/>
        <w:rPr/>
      </w:pPr>
      <w:bookmarkStart w:id="13" w:name="auto-wrap-up-auto-clear-and-auto-resume"/>
      <w:bookmarkEnd w:id="13"/>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4" w:name="what-the-cycle-does"/>
      <w:bookmarkEnd w:id="14"/>
      <w:r>
        <w:rPr/>
        <w:t>What the Cycle Does</w:t>
      </w:r>
    </w:p>
    <w:p>
      <w:pPr>
        <w:pStyle w:val="BodyText"/>
        <w:numPr>
          <w:ilvl w:val="0"/>
          <w:numId w:val="18"/>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t>
      </w:r>
    </w:p>
    <w:p>
      <w:pPr>
        <w:pStyle w:val="BodyText"/>
        <w:numPr>
          <w:ilvl w:val="0"/>
          <w:numId w:val="18"/>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four of these hold: - this machine opted in; - the handoff was written by this session after the wrap-up request, is longer than a stub, and is not the automatic PreCompact skeleton; - the context reading that caused the wrap-up was a real measurement (see "When it will not clear");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still does not start on its own: you press Enter or type it, until T-0013 types it where the terminal can be identified.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15" w:name="turning-it-on-and-off"/>
      <w:bookmarkEnd w:id="15"/>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810" w:type="dxa"/>
        <w:jc w:val="left"/>
        <w:tblInd w:w="0" w:type="dxa"/>
        <w:tblLayout w:type="fixed"/>
        <w:tblCellMar>
          <w:top w:w="28" w:type="dxa"/>
          <w:left w:w="28" w:type="dxa"/>
          <w:bottom w:w="28" w:type="dxa"/>
          <w:right w:w="28" w:type="dxa"/>
        </w:tblCellMar>
      </w:tblPr>
      <w:tblGrid>
        <w:gridCol w:w="2554"/>
        <w:gridCol w:w="4096"/>
        <w:gridCol w:w="1859"/>
        <w:gridCol w:w="3301"/>
      </w:tblGrid>
      <w:tr>
        <w:trPr>
          <w:tblHeader w:val="true"/>
        </w:trPr>
        <w:tc>
          <w:tcPr>
            <w:tcW w:w="2554" w:type="dxa"/>
            <w:tcBorders/>
            <w:vAlign w:val="center"/>
          </w:tcPr>
          <w:p>
            <w:pPr>
              <w:pStyle w:val="TableHeading"/>
              <w:suppressLineNumbers/>
              <w:shd w:fill="434C5E" w:val="clear"/>
              <w:bidi w:val="0"/>
              <w:spacing w:before="120" w:after="120"/>
              <w:jc w:val="left"/>
              <w:rPr/>
            </w:pPr>
            <w:r>
              <w:rPr/>
              <w:t>Where</w:t>
            </w:r>
          </w:p>
        </w:tc>
        <w:tc>
          <w:tcPr>
            <w:tcW w:w="4096" w:type="dxa"/>
            <w:tcBorders/>
            <w:vAlign w:val="center"/>
          </w:tcPr>
          <w:p>
            <w:pPr>
              <w:pStyle w:val="TableHeading"/>
              <w:suppressLineNumbers/>
              <w:shd w:fill="434C5E" w:val="clear"/>
              <w:bidi w:val="0"/>
              <w:spacing w:before="120" w:after="120"/>
              <w:jc w:val="left"/>
              <w:rPr/>
            </w:pPr>
            <w:r>
              <w:rPr/>
              <w:t>Key</w:t>
            </w:r>
          </w:p>
        </w:tc>
        <w:tc>
          <w:tcPr>
            <w:tcW w:w="1859" w:type="dxa"/>
            <w:tcBorders/>
            <w:vAlign w:val="center"/>
          </w:tcPr>
          <w:p>
            <w:pPr>
              <w:pStyle w:val="TableHeading"/>
              <w:suppressLineNumbers/>
              <w:shd w:fill="434C5E" w:val="clear"/>
              <w:bidi w:val="0"/>
              <w:spacing w:before="120" w:after="120"/>
              <w:jc w:val="left"/>
              <w:rPr/>
            </w:pPr>
            <w:r>
              <w:rPr/>
              <w:t>Value</w:t>
            </w:r>
          </w:p>
        </w:tc>
        <w:tc>
          <w:tcPr>
            <w:tcW w:w="3301" w:type="dxa"/>
            <w:tcBorders/>
            <w:vAlign w:val="center"/>
          </w:tcPr>
          <w:p>
            <w:pPr>
              <w:pStyle w:val="TableHeading"/>
              <w:suppressLineNumbers/>
              <w:shd w:fill="434C5E" w:val="clear"/>
              <w:bidi w:val="0"/>
              <w:spacing w:before="120" w:after="120"/>
              <w:jc w:val="left"/>
              <w:rPr/>
            </w:pPr>
            <w:r>
              <w:rPr/>
              <w:t>Effect</w:t>
            </w:r>
          </w:p>
        </w:tc>
      </w:tr>
      <w:tr>
        <w:trPr/>
        <w:tc>
          <w:tcPr>
            <w:tcW w:w="2554"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859" w:type="dxa"/>
            <w:tcBorders/>
            <w:vAlign w:val="center"/>
          </w:tcPr>
          <w:p>
            <w:pPr>
              <w:pStyle w:val="TableContents"/>
              <w:shd w:fill="2E3440" w:val="clear"/>
              <w:bidi w:val="0"/>
              <w:spacing w:before="120" w:after="120"/>
              <w:jc w:val="left"/>
              <w:rPr/>
            </w:pPr>
            <w:r>
              <w:rPr>
                <w:rStyle w:val="SourceText"/>
              </w:rPr>
              <w:t>true</w:t>
            </w:r>
          </w:p>
        </w:tc>
        <w:tc>
          <w:tcPr>
            <w:tcW w:w="3301"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context.autoClear.method</w:t>
            </w:r>
          </w:p>
        </w:tc>
        <w:tc>
          <w:tcPr>
            <w:tcW w:w="1859"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301"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context.autoClear.windowTitle</w:t>
            </w:r>
          </w:p>
        </w:tc>
        <w:tc>
          <w:tcPr>
            <w:tcW w:w="1859" w:type="dxa"/>
            <w:tcBorders/>
            <w:vAlign w:val="center"/>
          </w:tcPr>
          <w:p>
            <w:pPr>
              <w:pStyle w:val="TableContents"/>
              <w:shd w:fill="2E3440" w:val="clear"/>
              <w:bidi w:val="0"/>
              <w:spacing w:before="120" w:after="120"/>
              <w:jc w:val="left"/>
              <w:rPr/>
            </w:pPr>
            <w:r>
              <w:rPr/>
              <w:t>a substring of the terminal's title</w:t>
            </w:r>
          </w:p>
        </w:tc>
        <w:tc>
          <w:tcPr>
            <w:tcW w:w="3301"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context.autoClear.delaySeconds</w:t>
            </w:r>
          </w:p>
        </w:tc>
        <w:tc>
          <w:tcPr>
            <w:tcW w:w="1859" w:type="dxa"/>
            <w:tcBorders/>
            <w:vAlign w:val="center"/>
          </w:tcPr>
          <w:p>
            <w:pPr>
              <w:pStyle w:val="TableContents"/>
              <w:shd w:fill="2E3440" w:val="clear"/>
              <w:bidi w:val="0"/>
              <w:spacing w:before="120" w:after="120"/>
              <w:jc w:val="left"/>
              <w:rPr/>
            </w:pPr>
            <w:r>
              <w:rPr>
                <w:rStyle w:val="SourceText"/>
              </w:rPr>
              <w:t>3</w:t>
            </w:r>
          </w:p>
        </w:tc>
        <w:tc>
          <w:tcPr>
            <w:tcW w:w="3301" w:type="dxa"/>
            <w:tcBorders/>
            <w:vAlign w:val="center"/>
          </w:tcPr>
          <w:p>
            <w:pPr>
              <w:pStyle w:val="TableContents"/>
              <w:shd w:fill="2E3440" w:val="clear"/>
              <w:bidi w:val="0"/>
              <w:spacing w:before="120" w:after="120"/>
              <w:jc w:val="left"/>
              <w:rPr/>
            </w:pPr>
            <w:r>
              <w:rPr/>
              <w:t>wait before typing, so the prompt exists</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context.autoClear.minHandoffLines</w:t>
            </w:r>
          </w:p>
        </w:tc>
        <w:tc>
          <w:tcPr>
            <w:tcW w:w="1859" w:type="dxa"/>
            <w:tcBorders/>
            <w:vAlign w:val="center"/>
          </w:tcPr>
          <w:p>
            <w:pPr>
              <w:pStyle w:val="TableContents"/>
              <w:shd w:fill="2E3440" w:val="clear"/>
              <w:bidi w:val="0"/>
              <w:spacing w:before="120" w:after="120"/>
              <w:jc w:val="left"/>
              <w:rPr/>
            </w:pPr>
            <w:r>
              <w:rPr>
                <w:rStyle w:val="SourceText"/>
              </w:rPr>
              <w:t>5</w:t>
            </w:r>
          </w:p>
        </w:tc>
        <w:tc>
          <w:tcPr>
            <w:tcW w:w="3301" w:type="dxa"/>
            <w:tcBorders/>
            <w:vAlign w:val="center"/>
          </w:tcPr>
          <w:p>
            <w:pPr>
              <w:pStyle w:val="TableContents"/>
              <w:shd w:fill="2E3440" w:val="clear"/>
              <w:bidi w:val="0"/>
              <w:spacing w:before="120" w:after="120"/>
              <w:jc w:val="left"/>
              <w:rPr/>
            </w:pPr>
            <w:r>
              <w:rPr/>
              <w:t>a shorter handoff counts as a stub</w:t>
            </w:r>
          </w:p>
        </w:tc>
      </w:tr>
      <w:tr>
        <w:trPr/>
        <w:tc>
          <w:tcPr>
            <w:tcW w:w="2554"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554"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859" w:type="dxa"/>
            <w:tcBorders/>
            <w:vAlign w:val="center"/>
          </w:tcPr>
          <w:p>
            <w:pPr>
              <w:pStyle w:val="TableContents"/>
              <w:shd w:fill="2E3440" w:val="clear"/>
              <w:bidi w:val="0"/>
              <w:spacing w:before="120" w:after="120"/>
              <w:jc w:val="left"/>
              <w:rPr/>
            </w:pPr>
            <w:r>
              <w:rPr>
                <w:rStyle w:val="SourceText"/>
              </w:rPr>
              <w:t>true</w:t>
            </w:r>
          </w:p>
        </w:tc>
        <w:tc>
          <w:tcPr>
            <w:tcW w:w="3301"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554"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context.autoWrapUp</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replaces the wrap-up instruction with a plain handoff request. It still blocks once.</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context.enabled</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turns off the whole context watcher, wrap-up included</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memory.inject</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16" w:name="arming-one-scratch-repo-while-other-sess"/>
      <w:bookmarkEnd w:id="16"/>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1253" w:type="dxa"/>
        <w:jc w:val="left"/>
        <w:tblInd w:w="0" w:type="dxa"/>
        <w:tblLayout w:type="fixed"/>
        <w:tblCellMar>
          <w:top w:w="28" w:type="dxa"/>
          <w:left w:w="28" w:type="dxa"/>
          <w:bottom w:w="28" w:type="dxa"/>
          <w:right w:w="28" w:type="dxa"/>
        </w:tblCellMar>
      </w:tblPr>
      <w:tblGrid>
        <w:gridCol w:w="3751"/>
        <w:gridCol w:w="3091"/>
        <w:gridCol w:w="4411"/>
      </w:tblGrid>
      <w:tr>
        <w:trPr>
          <w:tblHeader w:val="true"/>
        </w:trPr>
        <w:tc>
          <w:tcPr>
            <w:tcW w:w="3751" w:type="dxa"/>
            <w:tcBorders/>
            <w:vAlign w:val="center"/>
          </w:tcPr>
          <w:p>
            <w:pPr>
              <w:pStyle w:val="TableHeading"/>
              <w:suppressLineNumbers/>
              <w:shd w:fill="434C5E" w:val="clear"/>
              <w:bidi w:val="0"/>
              <w:spacing w:before="120" w:after="120"/>
              <w:jc w:val="left"/>
              <w:rPr/>
            </w:pPr>
            <w:r>
              <w:rPr/>
              <w:t>Key</w:t>
            </w:r>
          </w:p>
        </w:tc>
        <w:tc>
          <w:tcPr>
            <w:tcW w:w="3091" w:type="dxa"/>
            <w:tcBorders/>
            <w:vAlign w:val="center"/>
          </w:tcPr>
          <w:p>
            <w:pPr>
              <w:pStyle w:val="TableHeading"/>
              <w:suppressLineNumbers/>
              <w:shd w:fill="434C5E" w:val="clear"/>
              <w:bidi w:val="0"/>
              <w:spacing w:before="120" w:after="120"/>
              <w:jc w:val="left"/>
              <w:rPr/>
            </w:pPr>
            <w:r>
              <w:rPr/>
              <w:t>Value</w:t>
            </w:r>
          </w:p>
        </w:tc>
        <w:tc>
          <w:tcPr>
            <w:tcW w:w="4411" w:type="dxa"/>
            <w:tcBorders/>
            <w:vAlign w:val="center"/>
          </w:tcPr>
          <w:p>
            <w:pPr>
              <w:pStyle w:val="TableHeading"/>
              <w:suppressLineNumbers/>
              <w:shd w:fill="434C5E" w:val="clear"/>
              <w:bidi w:val="0"/>
              <w:spacing w:before="120" w:after="120"/>
              <w:jc w:val="left"/>
              <w:rPr/>
            </w:pPr>
            <w:r>
              <w:rPr/>
              <w:t>Effect</w:t>
            </w:r>
          </w:p>
        </w:tc>
      </w:tr>
      <w:tr>
        <w:trPr/>
        <w:tc>
          <w:tcPr>
            <w:tcW w:w="3751" w:type="dxa"/>
            <w:tcBorders/>
            <w:vAlign w:val="center"/>
          </w:tcPr>
          <w:p>
            <w:pPr>
              <w:pStyle w:val="TableContents"/>
              <w:shd w:fill="2E3440" w:val="clear"/>
              <w:bidi w:val="0"/>
              <w:spacing w:before="120" w:after="120"/>
              <w:jc w:val="left"/>
              <w:rPr/>
            </w:pPr>
            <w:r>
              <w:rPr>
                <w:rStyle w:val="SourceText"/>
              </w:rPr>
              <w:t>context.autoClear.onlyRepos</w:t>
            </w:r>
          </w:p>
        </w:tc>
        <w:tc>
          <w:tcPr>
            <w:tcW w:w="3091" w:type="dxa"/>
            <w:tcBorders/>
            <w:vAlign w:val="center"/>
          </w:tcPr>
          <w:p>
            <w:pPr>
              <w:pStyle w:val="TableContents"/>
              <w:shd w:fill="2E3440" w:val="clear"/>
              <w:bidi w:val="0"/>
              <w:spacing w:before="120" w:after="120"/>
              <w:jc w:val="left"/>
              <w:rPr/>
            </w:pPr>
            <w:r>
              <w:rPr/>
              <w:t>list of absolute repo paths</w:t>
            </w:r>
          </w:p>
        </w:tc>
        <w:tc>
          <w:tcPr>
            <w:tcW w:w="4411" w:type="dxa"/>
            <w:tcBorders/>
            <w:vAlign w:val="center"/>
          </w:tcPr>
          <w:p>
            <w:pPr>
              <w:pStyle w:val="TableContents"/>
              <w:shd w:fill="2E3440" w:val="clear"/>
              <w:bidi w:val="0"/>
              <w:spacing w:before="120" w:after="120"/>
              <w:jc w:val="left"/>
              <w:rPr/>
            </w:pPr>
            <w:r>
              <w:rPr/>
              <w:t>auto-clear runs only in these repos</w:t>
            </w:r>
          </w:p>
        </w:tc>
      </w:tr>
      <w:tr>
        <w:trPr/>
        <w:tc>
          <w:tcPr>
            <w:tcW w:w="3751" w:type="dxa"/>
            <w:tcBorders/>
            <w:vAlign w:val="center"/>
          </w:tcPr>
          <w:p>
            <w:pPr>
              <w:pStyle w:val="TableContents"/>
              <w:shd w:fill="2E3440" w:val="clear"/>
              <w:bidi w:val="0"/>
              <w:spacing w:before="120" w:after="120"/>
              <w:jc w:val="left"/>
              <w:rPr/>
            </w:pPr>
            <w:r>
              <w:rPr>
                <w:rStyle w:val="SourceText"/>
              </w:rPr>
              <w:t>context.autoClear.onlySessions</w:t>
            </w:r>
          </w:p>
        </w:tc>
        <w:tc>
          <w:tcPr>
            <w:tcW w:w="3091" w:type="dxa"/>
            <w:tcBorders/>
            <w:vAlign w:val="center"/>
          </w:tcPr>
          <w:p>
            <w:pPr>
              <w:pStyle w:val="TableContents"/>
              <w:shd w:fill="2E3440" w:val="clear"/>
              <w:bidi w:val="0"/>
              <w:spacing w:before="120" w:after="120"/>
              <w:jc w:val="left"/>
              <w:rPr/>
            </w:pPr>
            <w:r>
              <w:rPr/>
              <w:t>list of session ids</w:t>
            </w:r>
          </w:p>
        </w:tc>
        <w:tc>
          <w:tcPr>
            <w:tcW w:w="4411"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19"/>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19"/>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19"/>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19"/>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19"/>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19"/>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17" w:name="which-method-and-what-it-does"/>
      <w:bookmarkEnd w:id="17"/>
      <w:r>
        <w:rPr/>
        <w:t>Which Method, and What It Does</w:t>
      </w:r>
    </w:p>
    <w:tbl>
      <w:tblPr>
        <w:tblW w:w="11810" w:type="dxa"/>
        <w:jc w:val="left"/>
        <w:tblInd w:w="0" w:type="dxa"/>
        <w:tblLayout w:type="fixed"/>
        <w:tblCellMar>
          <w:top w:w="28" w:type="dxa"/>
          <w:left w:w="28" w:type="dxa"/>
          <w:bottom w:w="28" w:type="dxa"/>
          <w:right w:w="28" w:type="dxa"/>
        </w:tblCellMar>
      </w:tblPr>
      <w:tblGrid>
        <w:gridCol w:w="1186"/>
        <w:gridCol w:w="8225"/>
        <w:gridCol w:w="2399"/>
      </w:tblGrid>
      <w:tr>
        <w:trPr>
          <w:tblHeader w:val="true"/>
        </w:trPr>
        <w:tc>
          <w:tcPr>
            <w:tcW w:w="1186" w:type="dxa"/>
            <w:tcBorders/>
            <w:vAlign w:val="center"/>
          </w:tcPr>
          <w:p>
            <w:pPr>
              <w:pStyle w:val="TableHeading"/>
              <w:suppressLineNumbers/>
              <w:shd w:fill="434C5E" w:val="clear"/>
              <w:bidi w:val="0"/>
              <w:spacing w:before="120" w:after="120"/>
              <w:jc w:val="left"/>
              <w:rPr/>
            </w:pPr>
            <w:r>
              <w:rPr/>
              <w:t>Method</w:t>
            </w:r>
          </w:p>
        </w:tc>
        <w:tc>
          <w:tcPr>
            <w:tcW w:w="8225" w:type="dxa"/>
            <w:tcBorders/>
            <w:vAlign w:val="center"/>
          </w:tcPr>
          <w:p>
            <w:pPr>
              <w:pStyle w:val="TableHeading"/>
              <w:suppressLineNumbers/>
              <w:shd w:fill="434C5E" w:val="clear"/>
              <w:bidi w:val="0"/>
              <w:spacing w:before="120" w:after="120"/>
              <w:jc w:val="left"/>
              <w:rPr/>
            </w:pPr>
            <w:r>
              <w:rPr/>
              <w:t>What it does</w:t>
            </w:r>
          </w:p>
        </w:tc>
        <w:tc>
          <w:tcPr>
            <w:tcW w:w="2399"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6" w:type="dxa"/>
            <w:tcBorders/>
            <w:vAlign w:val="center"/>
          </w:tcPr>
          <w:p>
            <w:pPr>
              <w:pStyle w:val="TableContents"/>
              <w:shd w:fill="2E3440" w:val="clear"/>
              <w:bidi w:val="0"/>
              <w:spacing w:before="120" w:after="120"/>
              <w:jc w:val="left"/>
              <w:rPr/>
            </w:pPr>
            <w:r>
              <w:rPr>
                <w:rStyle w:val="SourceText"/>
              </w:rPr>
              <w:t>tmux</w:t>
            </w:r>
          </w:p>
        </w:tc>
        <w:tc>
          <w:tcPr>
            <w:tcW w:w="8225"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that is an ancestor of the hook. No focus involved — the most reliable method.</w:t>
            </w:r>
          </w:p>
        </w:tc>
        <w:tc>
          <w:tcPr>
            <w:tcW w:w="2399"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6" w:type="dxa"/>
            <w:tcBorders/>
            <w:vAlign w:val="center"/>
          </w:tcPr>
          <w:p>
            <w:pPr>
              <w:pStyle w:val="TableContents"/>
              <w:shd w:fill="2E3440" w:val="clear"/>
              <w:bidi w:val="0"/>
              <w:spacing w:before="120" w:after="120"/>
              <w:jc w:val="left"/>
              <w:rPr/>
            </w:pPr>
            <w:r>
              <w:rPr>
                <w:rStyle w:val="SourceText"/>
              </w:rPr>
              <w:t>xdotool</w:t>
            </w:r>
          </w:p>
        </w:tc>
        <w:tc>
          <w:tcPr>
            <w:tcW w:w="8225" w:type="dxa"/>
            <w:tcBorders/>
            <w:vAlign w:val="center"/>
          </w:tcPr>
          <w:p>
            <w:pPr>
              <w:pStyle w:val="TableContents"/>
              <w:shd w:fill="2E3440" w:val="clear"/>
              <w:bidi w:val="0"/>
              <w:spacing w:before="120" w:after="120"/>
              <w:jc w:val="left"/>
              <w:rPr/>
            </w:pPr>
            <w:r>
              <w:rPr/>
              <w:t xml:space="preserve">Types into the one X11 window owned by the nearest ancestor process (or matching </w:t>
            </w:r>
            <w:r>
              <w:rPr>
                <w:rStyle w:val="SourceText"/>
              </w:rPr>
              <w:t>windowTitle</w:t>
            </w:r>
            <w:r>
              <w:rPr/>
              <w:t>).</w:t>
            </w:r>
          </w:p>
        </w:tc>
        <w:tc>
          <w:tcPr>
            <w:tcW w:w="2399"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6" w:type="dxa"/>
            <w:tcBorders/>
            <w:vAlign w:val="center"/>
          </w:tcPr>
          <w:p>
            <w:pPr>
              <w:pStyle w:val="TableContents"/>
              <w:shd w:fill="2E3440" w:val="clear"/>
              <w:bidi w:val="0"/>
              <w:spacing w:before="120" w:after="120"/>
              <w:jc w:val="left"/>
              <w:rPr/>
            </w:pPr>
            <w:r>
              <w:rPr>
                <w:rStyle w:val="SourceText"/>
              </w:rPr>
              <w:t>notify</w:t>
            </w:r>
          </w:p>
        </w:tc>
        <w:tc>
          <w:tcPr>
            <w:tcW w:w="8225"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399"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6" w:type="dxa"/>
            <w:tcBorders/>
            <w:vAlign w:val="center"/>
          </w:tcPr>
          <w:p>
            <w:pPr>
              <w:pStyle w:val="TableContents"/>
              <w:shd w:fill="2E3440" w:val="clear"/>
              <w:bidi w:val="0"/>
              <w:spacing w:before="120" w:after="120"/>
              <w:jc w:val="left"/>
              <w:rPr/>
            </w:pPr>
            <w:r>
              <w:rPr>
                <w:rStyle w:val="SourceText"/>
              </w:rPr>
              <w:t>sendkeys</w:t>
            </w:r>
          </w:p>
        </w:tc>
        <w:tc>
          <w:tcPr>
            <w:tcW w:w="8225"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399" w:type="dxa"/>
            <w:tcBorders/>
            <w:vAlign w:val="center"/>
          </w:tcPr>
          <w:p>
            <w:pPr>
              <w:pStyle w:val="TableContents"/>
              <w:shd w:fill="2E3440" w:val="clear"/>
              <w:bidi w:val="0"/>
              <w:spacing w:before="120" w:after="120"/>
              <w:jc w:val="left"/>
              <w:rPr/>
            </w:pPr>
            <w:r>
              <w:rPr/>
              <w:t>never (opt-in only)</w:t>
            </w:r>
          </w:p>
        </w:tc>
      </w:tr>
      <w:tr>
        <w:trPr/>
        <w:tc>
          <w:tcPr>
            <w:tcW w:w="1186" w:type="dxa"/>
            <w:tcBorders/>
            <w:vAlign w:val="center"/>
          </w:tcPr>
          <w:p>
            <w:pPr>
              <w:pStyle w:val="TableContents"/>
              <w:shd w:fill="2E3440" w:val="clear"/>
              <w:bidi w:val="0"/>
              <w:spacing w:before="120" w:after="120"/>
              <w:jc w:val="left"/>
              <w:rPr/>
            </w:pPr>
            <w:r>
              <w:rPr>
                <w:rStyle w:val="SourceText"/>
              </w:rPr>
              <w:t>none</w:t>
            </w:r>
          </w:p>
        </w:tc>
        <w:tc>
          <w:tcPr>
            <w:tcW w:w="8225" w:type="dxa"/>
            <w:tcBorders/>
            <w:vAlign w:val="center"/>
          </w:tcPr>
          <w:p>
            <w:pPr>
              <w:pStyle w:val="TableContents"/>
              <w:shd w:fill="2E3440" w:val="clear"/>
              <w:bidi w:val="0"/>
              <w:spacing w:before="120" w:after="120"/>
              <w:jc w:val="left"/>
              <w:rPr/>
            </w:pPr>
            <w:r>
              <w:rPr/>
              <w:t>Refused outright.</w:t>
            </w:r>
          </w:p>
        </w:tc>
        <w:tc>
          <w:tcPr>
            <w:tcW w:w="2399"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18" w:name="when-it-will-not-clear-or-notify"/>
      <w:bookmarkEnd w:id="18"/>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810" w:type="dxa"/>
        <w:jc w:val="left"/>
        <w:tblInd w:w="0" w:type="dxa"/>
        <w:tblLayout w:type="fixed"/>
        <w:tblCellMar>
          <w:top w:w="28" w:type="dxa"/>
          <w:left w:w="28" w:type="dxa"/>
          <w:bottom w:w="28" w:type="dxa"/>
          <w:right w:w="28" w:type="dxa"/>
        </w:tblCellMar>
      </w:tblPr>
      <w:tblGrid>
        <w:gridCol w:w="5490"/>
        <w:gridCol w:w="6320"/>
      </w:tblGrid>
      <w:tr>
        <w:trPr>
          <w:tblHeader w:val="true"/>
        </w:trPr>
        <w:tc>
          <w:tcPr>
            <w:tcW w:w="5490" w:type="dxa"/>
            <w:tcBorders/>
            <w:vAlign w:val="center"/>
          </w:tcPr>
          <w:p>
            <w:pPr>
              <w:pStyle w:val="TableHeading"/>
              <w:suppressLineNumbers/>
              <w:shd w:fill="434C5E" w:val="clear"/>
              <w:bidi w:val="0"/>
              <w:spacing w:before="120" w:after="120"/>
              <w:jc w:val="left"/>
              <w:rPr/>
            </w:pPr>
            <w:r>
              <w:rPr/>
              <w:t>Log says</w:t>
            </w:r>
          </w:p>
        </w:tc>
        <w:tc>
          <w:tcPr>
            <w:tcW w:w="6320" w:type="dxa"/>
            <w:tcBorders/>
            <w:vAlign w:val="center"/>
          </w:tcPr>
          <w:p>
            <w:pPr>
              <w:pStyle w:val="TableHeading"/>
              <w:suppressLineNumbers/>
              <w:shd w:fill="434C5E" w:val="clear"/>
              <w:bidi w:val="0"/>
              <w:spacing w:before="120" w:after="120"/>
              <w:jc w:val="left"/>
              <w:rPr/>
            </w:pPr>
            <w:r>
              <w:rPr/>
              <w:t>Meaning</w:t>
            </w:r>
          </w:p>
        </w:tc>
      </w:tr>
      <w:tr>
        <w:trPr/>
        <w:tc>
          <w:tcPr>
            <w:tcW w:w="5490"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6320"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490" w:type="dxa"/>
            <w:tcBorders/>
            <w:vAlign w:val="center"/>
          </w:tcPr>
          <w:p>
            <w:pPr>
              <w:pStyle w:val="TableContents"/>
              <w:shd w:fill="2E3440" w:val="clear"/>
              <w:bidi w:val="0"/>
              <w:spacing w:before="120" w:after="120"/>
              <w:jc w:val="left"/>
              <w:rPr/>
            </w:pPr>
            <w:r>
              <w:rPr>
                <w:rStyle w:val="SourceText"/>
              </w:rPr>
              <w:t>not trustworthy (unknown-window)</w:t>
            </w:r>
          </w:p>
        </w:tc>
        <w:tc>
          <w:tcPr>
            <w:tcW w:w="6320"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490"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6320" w:type="dxa"/>
            <w:tcBorders/>
            <w:vAlign w:val="center"/>
          </w:tcPr>
          <w:p>
            <w:pPr>
              <w:pStyle w:val="TableContents"/>
              <w:shd w:fill="2E3440" w:val="clear"/>
              <w:bidi w:val="0"/>
              <w:spacing w:before="120" w:after="120"/>
              <w:jc w:val="left"/>
              <w:rPr/>
            </w:pPr>
            <w:r>
              <w:rPr/>
              <w:t>the last reading came from before a compaction</w:t>
            </w:r>
          </w:p>
        </w:tc>
      </w:tr>
      <w:tr>
        <w:trPr/>
        <w:tc>
          <w:tcPr>
            <w:tcW w:w="5490" w:type="dxa"/>
            <w:tcBorders/>
            <w:vAlign w:val="center"/>
          </w:tcPr>
          <w:p>
            <w:pPr>
              <w:pStyle w:val="TableContents"/>
              <w:shd w:fill="2E3440" w:val="clear"/>
              <w:bidi w:val="0"/>
              <w:spacing w:before="120" w:after="120"/>
              <w:jc w:val="left"/>
              <w:rPr/>
            </w:pPr>
            <w:r>
              <w:rPr>
                <w:rStyle w:val="SourceText"/>
              </w:rPr>
              <w:t>the wrap-up marker is empty or not JSON</w:t>
            </w:r>
          </w:p>
        </w:tc>
        <w:tc>
          <w:tcPr>
            <w:tcW w:w="6320"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490" w:type="dxa"/>
            <w:tcBorders/>
            <w:vAlign w:val="center"/>
          </w:tcPr>
          <w:p>
            <w:pPr>
              <w:pStyle w:val="TableContents"/>
              <w:shd w:fill="2E3440" w:val="clear"/>
              <w:bidi w:val="0"/>
              <w:spacing w:before="120" w:after="120"/>
              <w:jc w:val="left"/>
              <w:rPr/>
            </w:pPr>
            <w:r>
              <w:rPr>
                <w:rStyle w:val="SourceText"/>
              </w:rPr>
              <w:t>predates this session's wrap-up request</w:t>
            </w:r>
          </w:p>
        </w:tc>
        <w:tc>
          <w:tcPr>
            <w:tcW w:w="6320"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490" w:type="dxa"/>
            <w:tcBorders/>
            <w:vAlign w:val="center"/>
          </w:tcPr>
          <w:p>
            <w:pPr>
              <w:pStyle w:val="TableContents"/>
              <w:shd w:fill="2E3440" w:val="clear"/>
              <w:bidi w:val="0"/>
              <w:spacing w:before="120" w:after="120"/>
              <w:jc w:val="left"/>
              <w:rPr/>
            </w:pPr>
            <w:r>
              <w:rPr>
                <w:rStyle w:val="SourceText"/>
              </w:rPr>
              <w:t>automatic PreCompact skeleton</w:t>
            </w:r>
          </w:p>
        </w:tc>
        <w:tc>
          <w:tcPr>
            <w:tcW w:w="6320"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490"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6320"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490" w:type="dxa"/>
            <w:tcBorders/>
            <w:vAlign w:val="center"/>
          </w:tcPr>
          <w:p>
            <w:pPr>
              <w:pStyle w:val="TableContents"/>
              <w:shd w:fill="2E3440" w:val="clear"/>
              <w:bidi w:val="0"/>
              <w:spacing w:before="120" w:after="120"/>
              <w:jc w:val="left"/>
              <w:rPr/>
            </w:pPr>
            <w:r>
              <w:rPr>
                <w:rStyle w:val="SourceText"/>
              </w:rPr>
              <w:t>no window belongs to any ancestor of this hook</w:t>
            </w:r>
          </w:p>
        </w:tc>
        <w:tc>
          <w:tcPr>
            <w:tcW w:w="6320"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490" w:type="dxa"/>
            <w:tcBorders/>
            <w:vAlign w:val="center"/>
          </w:tcPr>
          <w:p>
            <w:pPr>
              <w:pStyle w:val="TableContents"/>
              <w:shd w:fill="2E3440" w:val="clear"/>
              <w:bidi w:val="0"/>
              <w:spacing w:before="120" w:after="120"/>
              <w:jc w:val="left"/>
              <w:rPr/>
            </w:pPr>
            <w:r>
              <w:rPr>
                <w:rStyle w:val="SourceText"/>
              </w:rPr>
              <w:t>tmux pane %N could not be confirmed</w:t>
            </w:r>
          </w:p>
        </w:tc>
        <w:tc>
          <w:tcPr>
            <w:tcW w:w="6320"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490" w:type="dxa"/>
            <w:tcBorders/>
            <w:vAlign w:val="center"/>
          </w:tcPr>
          <w:p>
            <w:pPr>
              <w:pStyle w:val="TableContents"/>
              <w:shd w:fill="2E3440" w:val="clear"/>
              <w:bidi w:val="0"/>
              <w:spacing w:before="120" w:after="120"/>
              <w:jc w:val="left"/>
              <w:rPr/>
            </w:pPr>
            <w:r>
              <w:rPr>
                <w:rStyle w:val="SourceText"/>
              </w:rPr>
              <w:t>method wtype ... is refused</w:t>
            </w:r>
          </w:p>
        </w:tc>
        <w:tc>
          <w:tcPr>
            <w:tcW w:w="6320"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490" w:type="dxa"/>
            <w:tcBorders/>
            <w:vAlign w:val="center"/>
          </w:tcPr>
          <w:p>
            <w:pPr>
              <w:pStyle w:val="TableContents"/>
              <w:shd w:fill="2E3440" w:val="clear"/>
              <w:bidi w:val="0"/>
              <w:spacing w:before="120" w:after="120"/>
              <w:jc w:val="left"/>
              <w:rPr/>
            </w:pPr>
            <w:r>
              <w:rPr>
                <w:rStyle w:val="SourceText"/>
              </w:rPr>
              <w:t>sent - method notify</w:t>
            </w:r>
          </w:p>
        </w:tc>
        <w:tc>
          <w:tcPr>
            <w:tcW w:w="6320"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490"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6320"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490"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6320"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19" w:name="which-window-gets-the-keystroke"/>
      <w:bookmarkEnd w:id="19"/>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numPr>
          <w:ilvl w:val="0"/>
          <w:numId w:val="20"/>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an ancestor of the hook. No title is needed. This is the most reliable method. </w:t>
      </w:r>
    </w:p>
    <w:p>
      <w:pPr>
        <w:pStyle w:val="BodyText"/>
        <w:numPr>
          <w:ilvl w:val="0"/>
          <w:numId w:val="20"/>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process of the hook.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The keystroke goes to that window id after it is activated and confirmed active. </w:t>
      </w:r>
    </w:p>
    <w:p>
      <w:pPr>
        <w:pStyle w:val="BodyText"/>
        <w:numPr>
          <w:ilvl w:val="0"/>
          <w:numId w:val="20"/>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