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and also holds </w:t>
      </w:r>
      <w:r>
        <w:rPr>
          <w:rStyle w:val="SourceText"/>
        </w:rPr>
        <w:t>note:</w:t>
      </w:r>
      <w:r>
        <w:rPr/>
        <w:t xml:space="preserve"> or </w:t>
      </w:r>
      <w:r>
        <w:rPr>
          <w:rStyle w:val="SourceText"/>
        </w:rPr>
        <w:t>|</w:t>
      </w:r>
      <w:r>
        <w:rPr/>
        <w:t xml:space="preserve">, is a pointer attempt, and anything less is </w:t>
      </w:r>
      <w:r>
        <w:rPr>
          <w:rStyle w:val="SourceText"/>
        </w:rPr>
        <w:t>malformed</w:t>
      </w:r>
      <w:r>
        <w:rPr/>
        <w:t xml:space="preserve">. Without </w:t>
      </w:r>
      <w:r>
        <w:rPr>
          <w:rStyle w:val="SourceText"/>
        </w:rPr>
        <w:t>note:</w:t>
      </w:r>
      <w:r>
        <w:rPr/>
        <w:t xml:space="preserve"> or </w:t>
      </w:r>
      <w:r>
        <w:rPr>
          <w:rStyle w:val="SourceText"/>
        </w:rPr>
        <w:t>|</w:t>
      </w:r>
      <w:r>
        <w:rPr/>
        <w:t xml:space="preserve"> the line is prose: </w:t>
      </w:r>
      <w:r>
        <w:rPr>
          <w:rStyle w:val="SourceText"/>
        </w:rPr>
        <w:t>Vault: keep client notes in the work vault</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