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4698" w:type="dxa"/>
        <w:jc w:val="left"/>
        <w:tblInd w:w="0" w:type="dxa"/>
        <w:tblLayout w:type="fixed"/>
        <w:tblCellMar>
          <w:top w:w="28" w:type="dxa"/>
          <w:left w:w="28" w:type="dxa"/>
          <w:bottom w:w="28" w:type="dxa"/>
          <w:right w:w="28" w:type="dxa"/>
        </w:tblCellMar>
      </w:tblPr>
      <w:tblGrid>
        <w:gridCol w:w="1621"/>
        <w:gridCol w:w="1411"/>
        <w:gridCol w:w="1666"/>
      </w:tblGrid>
      <w:tr>
        <w:trPr>
          <w:tblHeader w:val="true"/>
        </w:trPr>
        <w:tc>
          <w:tcPr>
            <w:tcW w:w="1621" w:type="dxa"/>
            <w:tcBorders/>
            <w:vAlign w:val="center"/>
          </w:tcPr>
          <w:p>
            <w:pPr>
              <w:pStyle w:val="TableHeading"/>
              <w:suppressLineNumbers/>
              <w:shd w:fill="434C5E" w:val="clear"/>
              <w:bidi w:val="0"/>
              <w:spacing w:before="120" w:after="120"/>
              <w:jc w:val="left"/>
              <w:rPr/>
            </w:pPr>
            <w:r>
              <w:rPr/>
              <w:t>Surface</w:t>
            </w:r>
          </w:p>
        </w:tc>
        <w:tc>
          <w:tcPr>
            <w:tcW w:w="1411" w:type="dxa"/>
            <w:tcBorders/>
            <w:vAlign w:val="center"/>
          </w:tcPr>
          <w:p>
            <w:pPr>
              <w:pStyle w:val="TableHeading"/>
              <w:suppressLineNumbers/>
              <w:shd w:fill="434C5E" w:val="clear"/>
              <w:bidi w:val="0"/>
              <w:spacing w:before="120" w:after="120"/>
              <w:jc w:val="left"/>
              <w:rPr/>
            </w:pPr>
            <w:r>
              <w:rPr/>
              <w:t>Claude Code</w:t>
            </w:r>
          </w:p>
        </w:tc>
        <w:tc>
          <w:tcPr>
            <w:tcW w:w="1666" w:type="dxa"/>
            <w:tcBorders/>
            <w:vAlign w:val="center"/>
          </w:tcPr>
          <w:p>
            <w:pPr>
              <w:pStyle w:val="TableHeading"/>
              <w:suppressLineNumbers/>
              <w:shd w:fill="434C5E" w:val="clear"/>
              <w:bidi w:val="0"/>
              <w:spacing w:before="120" w:after="120"/>
              <w:jc w:val="left"/>
              <w:rPr/>
            </w:pPr>
            <w:r>
              <w:rPr/>
              <w:t>Codex</w:t>
            </w:r>
          </w:p>
        </w:tc>
      </w:tr>
      <w:tr>
        <w:trPr/>
        <w:tc>
          <w:tcPr>
            <w:tcW w:w="1621"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1411"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1666" w:type="dxa"/>
            <w:tcBorders/>
            <w:vAlign w:val="center"/>
          </w:tcPr>
          <w:p>
            <w:pPr>
              <w:pStyle w:val="TableContents"/>
              <w:shd w:fill="2E3440" w:val="clear"/>
              <w:bidi w:val="0"/>
              <w:spacing w:before="120" w:after="120"/>
              <w:jc w:val="left"/>
              <w:rPr/>
            </w:pPr>
            <w:r>
              <w:rPr/>
              <w:t>natively</w:t>
            </w:r>
          </w:p>
        </w:tc>
      </w:tr>
      <w:tr>
        <w:trPr/>
        <w:tc>
          <w:tcPr>
            <w:tcW w:w="1621"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1411" w:type="dxa"/>
            <w:tcBorders/>
            <w:vAlign w:val="center"/>
          </w:tcPr>
          <w:p>
            <w:pPr>
              <w:pStyle w:val="TableContents"/>
              <w:shd w:fill="2E3440" w:val="clear"/>
              <w:bidi w:val="0"/>
              <w:spacing w:before="120" w:after="120"/>
              <w:jc w:val="left"/>
              <w:rPr/>
            </w:pPr>
            <w:r>
              <w:rPr/>
              <w:t>yes, when a matching file is read</w:t>
            </w:r>
          </w:p>
        </w:tc>
        <w:tc>
          <w:tcPr>
            <w:tcW w:w="1666"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1621" w:type="dxa"/>
            <w:tcBorders/>
            <w:vAlign w:val="center"/>
          </w:tcPr>
          <w:p>
            <w:pPr>
              <w:pStyle w:val="TableContents"/>
              <w:shd w:fill="2E3440" w:val="clear"/>
              <w:bidi w:val="0"/>
              <w:spacing w:before="120" w:after="120"/>
              <w:jc w:val="left"/>
              <w:rPr/>
            </w:pPr>
            <w:r>
              <w:rPr/>
              <w:t>crew's context hook</w:t>
            </w:r>
          </w:p>
        </w:tc>
        <w:tc>
          <w:tcPr>
            <w:tcW w:w="1411"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1666"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1621" w:type="dxa"/>
            <w:tcBorders/>
            <w:vAlign w:val="center"/>
          </w:tcPr>
          <w:p>
            <w:pPr>
              <w:pStyle w:val="TableContents"/>
              <w:shd w:fill="2E3440" w:val="clear"/>
              <w:bidi w:val="0"/>
              <w:spacing w:before="120" w:after="120"/>
              <w:jc w:val="left"/>
              <w:rPr/>
            </w:pPr>
            <w:r>
              <w:rPr>
                <w:rStyle w:val="SourceText"/>
              </w:rPr>
              <w:t>CLAUDE.md</w:t>
            </w:r>
          </w:p>
        </w:tc>
        <w:tc>
          <w:tcPr>
            <w:tcW w:w="1411" w:type="dxa"/>
            <w:tcBorders/>
            <w:vAlign w:val="center"/>
          </w:tcPr>
          <w:p>
            <w:pPr>
              <w:pStyle w:val="TableContents"/>
              <w:shd w:fill="2E3440" w:val="clear"/>
              <w:bidi w:val="0"/>
              <w:spacing w:before="120" w:after="120"/>
              <w:jc w:val="left"/>
              <w:rPr/>
            </w:pPr>
            <w:r>
              <w:rPr/>
              <w:t>natively</w:t>
            </w:r>
          </w:p>
        </w:tc>
        <w:tc>
          <w:tcPr>
            <w:tcW w:w="1666"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5) before it.</w:t>
      </w:r>
    </w:p>
    <w:p>
      <w:pPr>
        <w:pStyle w:val="BodyText"/>
        <w:bidi w:val="0"/>
        <w:jc w:val="left"/>
        <w:rPr/>
      </w:pPr>
      <w:r>
        <w:rPr/>
        <w:t xml:space="preserve">After the standards checklist comes the </w:t>
      </w:r>
      <w:r>
        <w:rPr>
          <w:rStyle w:val="Strong"/>
        </w:rPr>
        <w:t>recurring-findings checklist</w:t>
      </w:r>
      <w:r>
        <w:rPr/>
        <w:t xml:space="preserve">: the defect classes earlier reviews kept finding (processes and races, claims not true at the commit, tests that cannot fail, fail-open handling, PowerShell/Bash drift, guard bypass, version and registration), only those whose path globs meet the files the diff changes, a few probes each. It is the same list </w:t>
      </w:r>
      <w:r>
        <w:rPr>
          <w:rStyle w:val="SourceText"/>
        </w:rPr>
        <w:t>/crew:implement</w:t>
      </w:r>
      <w:r>
        <w:rPr/>
        <w:t xml:space="preserve"> showed the developer before the first plan step. It does not bound the review, and an item the diff does not touch is not a finding. When the bundle's manifest cannot say which files changed, every class is listed under an </w:t>
      </w:r>
      <w:r>
        <w:rPr>
          <w:rStyle w:val="SourceText"/>
        </w:rPr>
        <w:t>UNKNOWN:</w:t>
      </w:r>
      <w:r>
        <w:rPr/>
        <w:t xml:space="preserve"> line rather than none.</w:t>
      </w:r>
    </w:p>
    <w:p>
      <w:pPr>
        <w:pStyle w:val="BodyText"/>
        <w:bidi w:val="0"/>
        <w:jc w:val="left"/>
        <w:rPr/>
      </w:pPr>
      <w:r>
        <w:rPr/>
        <w:t xml:space="preserve">Between the verify gate and the self-check, </w:t>
      </w:r>
      <w:r>
        <w:rPr>
          <w:rStyle w:val="SourceText"/>
        </w:rPr>
        <w:t>review_run.py</w:t>
      </w:r>
      <w:r>
        <w:rPr/>
        <w:t xml:space="preserve"> lints the bundle's changed files with the linters </w:t>
      </w:r>
      <w:r>
        <w:rPr>
          <w:rStyle w:val="SourceText"/>
        </w:rPr>
        <w:t>.crew/verify.json</w:t>
      </w:r>
      <w:r>
        <w:rPr/>
        <w:t xml:space="preserve"> lists under </w:t>
      </w:r>
      <w:r>
        <w:rPr>
          <w:rStyle w:val="SourceText"/>
        </w:rPr>
        <w:t>preReview</w:t>
      </w:r>
      <w:r>
        <w:rPr/>
        <w:t xml:space="preserve"> (L-0574). Each file is linted at its base and at the bundle, and a finding the bundle adds refuses the round (exit 5, nothing spent) before Codex is launched. </w:t>
      </w:r>
      <w:r>
        <w:rPr>
          <w:rStyle w:val="SourceText"/>
        </w:rPr>
        <w:t>--allow-unverified</w:t>
      </w:r>
      <w:r>
        <w:rPr/>
        <w:t xml:space="preserve"> does not override a new finding. A linter that could not run, or could not parse a changed file, reads </w:t>
      </w:r>
      <w:r>
        <w:rPr>
          <w:rStyle w:val="SourceText"/>
        </w:rPr>
        <w:t>COULD NOT CHECK</w:t>
      </w:r>
      <w:r>
        <w:rPr/>
        <w:t xml:space="preserve">, never a pass. It refuses too, unless </w:t>
      </w:r>
      <w:r>
        <w:rPr>
          <w:rStyle w:val="SourceText"/>
        </w:rPr>
        <w:t>--allow-unverified</w:t>
      </w:r>
      <w:r>
        <w:rPr/>
        <w:t xml:space="preserve"> is given, and </w:t>
      </w:r>
      <w:r>
        <w:rPr>
          <w:rStyle w:val="SourceText"/>
        </w:rPr>
        <w:t>review.json</w:t>
      </w:r>
      <w:r>
        <w:rPr/>
        <w:t xml:space="preserve"> records that override as </w:t>
      </w:r>
      <w:r>
        <w:rPr>
          <w:rStyle w:val="SourceText"/>
        </w:rPr>
        <w:t>prereview.overridden</w:t>
      </w:r>
      <w:r>
        <w:rPr/>
        <w:t>.</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