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t xml:space="preserve">If the ticket cannot start before others close, the spec carries an optional </w:t>
      </w:r>
      <w:r>
        <w:rPr>
          <w:rStyle w:val="SourceText"/>
        </w:rPr>
        <w:t>depends-on: [T-0088, T-0090]</w:t>
      </w:r>
      <w:r>
        <w:rPr/>
        <w:t xml:space="preserve"> line under its header. </w:t>
      </w:r>
      <w:r>
        <w:rPr>
          <w:rStyle w:val="SourceText"/>
        </w:rPr>
        <w:t>blocked</w:t>
      </w:r>
      <w:r>
        <w:rPr/>
        <w:t xml:space="preserve"> is then derived from it, never typed: any dependency that is open, </w:t>
      </w:r>
      <w:r>
        <w:rPr>
          <w:rStyle w:val="SourceText"/>
        </w:rPr>
        <w:t>cancelled</w:t>
      </w:r>
      <w:r>
        <w:rPr/>
        <w:t xml:space="preserve">, </w:t>
      </w:r>
      <w:r>
        <w:rPr>
          <w:rStyle w:val="SourceText"/>
        </w:rPr>
        <w:t>superseded</w:t>
      </w:r>
      <w:r>
        <w:rPr/>
        <w:t xml:space="preserve"> or cannot be read blocks, and </w:t>
      </w:r>
      <w:r>
        <w:rPr>
          <w:rStyle w:val="SourceText"/>
        </w:rPr>
        <w:t>done</w:t>
      </w:r>
      <w:r>
        <w:rPr/>
        <w:t xml:space="preserve"> or </w:t>
      </w:r>
      <w:r>
        <w:rPr>
          <w:rStyle w:val="SourceText"/>
        </w:rPr>
        <w:t>merged</w:t>
      </w:r>
      <w:r>
        <w:rPr/>
        <w:t xml:space="preserve"> unblocks (</w:t>
      </w:r>
      <w:r>
        <w:rPr>
          <w:rStyle w:val="SourceText"/>
        </w:rPr>
        <w:t>hooks/scripts/crew_ticket_state.py</w:t>
      </w:r>
      <w:r>
        <w:rPr/>
        <w:t xml:space="preserve">). The line is hashed with the spec, so changing it needs </w:t>
      </w:r>
      <w:r>
        <w:rPr>
          <w:rStyle w:val="SourceText"/>
        </w:rPr>
        <w:t>/crew:approve</w:t>
      </w:r>
      <w:r>
        <w:rPr/>
        <w:t xml:space="preserve"> again. </w:t>
      </w:r>
      <w:r>
        <w:rPr>
          <w:rStyle w:val="SourceText"/>
        </w:rPr>
        <w:t>needs-replan</w:t>
      </w:r>
      <w:r>
        <w:rPr/>
        <w:t xml:space="preserve"> is derived the same way, from the review ledger.</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 Then </w:t>
      </w:r>
      <w:r>
        <w:rPr>
          <w:rStyle w:val="SourceText"/>
        </w:rPr>
        <w:t>crew_gitignore.py check</w:t>
      </w:r>
      <w:r>
        <w:rPr/>
        <w:t xml:space="preserve"> asks whether the ticket brought a language or manifest whose ignore patterns are missing: it adds them only if the spec's Touch covers </w:t>
      </w:r>
      <w:r>
        <w:rPr>
          <w:rStyle w:val="SourceText"/>
        </w:rPr>
        <w:t>.gitignore</w:t>
      </w:r>
      <w:r>
        <w:rPr/>
        <w:t xml:space="preserve">, and otherwise the PR body lists them and the next </w:t>
      </w:r>
      <w:r>
        <w:rPr>
          <w:rStyle w:val="SourceText"/>
        </w:rPr>
        <w:t>/crew:onboard</w:t>
      </w:r>
      <w:r>
        <w:rPr/>
        <w:t xml:space="preserve"> adds them.</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Under </w:t>
      </w:r>
      <w:r>
        <w:rPr>
          <w:rStyle w:val="SourceText"/>
        </w:rPr>
        <w:t>/crew:autopilot</w:t>
      </w:r>
      <w:r>
        <w:rPr/>
        <w:t xml:space="preserve">, a final round with a BLOCK stops for you unless you set </w:t>
      </w:r>
      <w:r>
        <w:rPr>
          <w:rStyle w:val="SourceText"/>
        </w:rPr>
        <w:t>autopilot.maxAutoReplans</w:t>
      </w:r>
      <w:r>
        <w:rPr/>
        <w:t xml:space="preserve"> (default </w:t>
      </w:r>
      <w:r>
        <w:rPr>
          <w:rStyle w:val="SourceText"/>
        </w:rPr>
        <w:t>0</w:t>
      </w:r>
      <w:r>
        <w:rPr/>
        <w:t xml:space="preserve">, off): then autopilot rejects it itself, writes a successor plan that quotes every BLOCK and FIX line, approves it under </w:t>
      </w:r>
      <w:r>
        <w:rPr>
          <w:rStyle w:val="SourceText"/>
        </w:rPr>
        <w:t>autopilot.approval</w:t>
      </w:r>
      <w:r>
        <w:rPr/>
        <w:t xml:space="preserve"> and reviews again, at most that many successor plans per ticket.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Before the review round, </w:t>
      </w:r>
      <w:r>
        <w:rPr>
          <w:rStyle w:val="SourceText"/>
        </w:rPr>
        <w:t>crew_train.py acquire --ticket T-0091</w:t>
      </w:r>
      <w:r>
        <w:rPr/>
        <w:t xml:space="preserve"> takes the train: a ticket whose Touch overlaps one already holding it waits (exit 1, colliding paths named)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w:t>
      </w:r>
      <w:r>
        <w:rPr>
          <w:rStyle w:val="SourceText"/>
        </w:rPr>
        <w:t>git add</w:t>
      </w:r>
      <w:r>
        <w:rPr/>
        <w:t xml:space="preserve"> it, and show it to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(the train never merges; only autopilot's ship step does, under </w:t>
      </w:r>
      <w:r>
        <w:rPr>
          <w:rStyle w:val="SourceText"/>
        </w:rPr>
        <w:t>autopilot.ship</w:t>
      </w:r>
      <w:r>
        <w:rPr/>
        <w:t xml:space="preserve">).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0" w:type="dxa"/>
        <w:tblLayout w:type="fixed"/>
        <w:tblCellMar>
          <w:top w:w="28" w:type="dxa"/>
          <w:left w:w="28" w:type="dxa"/>
          <w:bottom w:w="28" w:type="dxa"/>
          <w:right w:w="28" w:type="dxa"/>
        </w:tblCellMar>
      </w:tblPr>
      <w:tblGrid>
        <w:gridCol w:w="1435"/>
        <w:gridCol w:w="3784"/>
        <w:gridCol w:w="6120"/>
      </w:tblGrid>
      <w:tr>
        <w:trPr>
          <w:tblHeader w:val="true"/>
        </w:trPr>
        <w:tc>
          <w:tcPr>
            <w:tcW w:w="1435" w:type="dxa"/>
            <w:tcBorders/>
            <w:vAlign w:val="center"/>
          </w:tcPr>
          <w:p>
            <w:pPr>
              <w:pStyle w:val="TableHeading"/>
              <w:suppressLineNumbers/>
              <w:shd w:fill="434C5E" w:val="clear"/>
              <w:bidi w:val="0"/>
              <w:spacing w:before="120" w:after="120"/>
              <w:jc w:val="left"/>
              <w:rPr/>
            </w:pPr>
            <w:r>
              <w:rPr/>
              <w:t>When</w:t>
            </w:r>
          </w:p>
        </w:tc>
        <w:tc>
          <w:tcPr>
            <w:tcW w:w="3784" w:type="dxa"/>
            <w:tcBorders/>
            <w:vAlign w:val="center"/>
          </w:tcPr>
          <w:p>
            <w:pPr>
              <w:pStyle w:val="TableHeading"/>
              <w:suppressLineNumbers/>
              <w:shd w:fill="434C5E" w:val="clear"/>
              <w:bidi w:val="0"/>
              <w:spacing w:before="120" w:after="120"/>
              <w:jc w:val="left"/>
              <w:rPr/>
            </w:pPr>
            <w:r>
              <w:rPr/>
              <w:t>Hook</w:t>
            </w:r>
          </w:p>
        </w:tc>
        <w:tc>
          <w:tcPr>
            <w:tcW w:w="6120" w:type="dxa"/>
            <w:tcBorders/>
            <w:vAlign w:val="center"/>
          </w:tcPr>
          <w:p>
            <w:pPr>
              <w:pStyle w:val="TableHeading"/>
              <w:suppressLineNumbers/>
              <w:shd w:fill="434C5E" w:val="clear"/>
              <w:bidi w:val="0"/>
              <w:spacing w:before="120" w:after="120"/>
              <w:jc w:val="left"/>
              <w:rPr/>
            </w:pPr>
            <w:r>
              <w:rPr/>
              <w:t>Does</w:t>
            </w:r>
          </w:p>
        </w:tc>
      </w:tr>
      <w:tr>
        <w:trPr/>
        <w:tc>
          <w:tcPr>
            <w:tcW w:w="1435" w:type="dxa"/>
            <w:tcBorders/>
            <w:vAlign w:val="center"/>
          </w:tcPr>
          <w:p>
            <w:pPr>
              <w:pStyle w:val="TableContents"/>
              <w:shd w:fill="2E3440" w:val="clear"/>
              <w:bidi w:val="0"/>
              <w:spacing w:before="120" w:after="120"/>
              <w:jc w:val="left"/>
              <w:rPr/>
            </w:pPr>
            <w:r>
              <w:rPr/>
              <w:t>Every write</w:t>
            </w:r>
          </w:p>
        </w:tc>
        <w:tc>
          <w:tcPr>
            <w:tcW w:w="3784"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120"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35" w:type="dxa"/>
            <w:tcBorders/>
            <w:vAlign w:val="center"/>
          </w:tcPr>
          <w:p>
            <w:pPr>
              <w:pStyle w:val="TableContents"/>
              <w:shd w:fill="2E3440" w:val="clear"/>
              <w:bidi w:val="0"/>
              <w:spacing w:before="120" w:after="120"/>
              <w:jc w:val="left"/>
              <w:rPr/>
            </w:pPr>
            <w:r>
              <w:rPr/>
              <w:t>End of turn</w:t>
            </w:r>
          </w:p>
        </w:tc>
        <w:tc>
          <w:tcPr>
            <w:tcW w:w="3784"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120" w:type="dxa"/>
            <w:tcBorders/>
            <w:vAlign w:val="center"/>
          </w:tcPr>
          <w:p>
            <w:pPr>
              <w:pStyle w:val="TableContents"/>
              <w:shd w:fill="2E3440" w:val="clear"/>
              <w:bidi w:val="0"/>
              <w:spacing w:before="120" w:after="120"/>
              <w:jc w:val="left"/>
              <w:rPr/>
            </w:pPr>
            <w:r>
              <w:rPr/>
              <w:t>refuses to end the turn on a red check</w:t>
            </w:r>
          </w:p>
        </w:tc>
      </w:tr>
      <w:tr>
        <w:trPr/>
        <w:tc>
          <w:tcPr>
            <w:tcW w:w="1435" w:type="dxa"/>
            <w:tcBorders/>
            <w:vAlign w:val="center"/>
          </w:tcPr>
          <w:p>
            <w:pPr>
              <w:pStyle w:val="TableContents"/>
              <w:shd w:fill="2E3440" w:val="clear"/>
              <w:bidi w:val="0"/>
              <w:spacing w:before="120" w:after="120"/>
              <w:jc w:val="left"/>
              <w:rPr/>
            </w:pPr>
            <w:r>
              <w:rPr/>
              <w:t>End of turn</w:t>
            </w:r>
          </w:p>
        </w:tc>
        <w:tc>
          <w:tcPr>
            <w:tcW w:w="3784"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120"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35" w:type="dxa"/>
            <w:tcBorders/>
            <w:vAlign w:val="center"/>
          </w:tcPr>
          <w:p>
            <w:pPr>
              <w:pStyle w:val="TableContents"/>
              <w:shd w:fill="2E3440" w:val="clear"/>
              <w:bidi w:val="0"/>
              <w:spacing w:before="120" w:after="120"/>
              <w:jc w:val="left"/>
              <w:rPr/>
            </w:pPr>
            <w:r>
              <w:rPr/>
              <w:t>Session start</w:t>
            </w:r>
          </w:p>
        </w:tc>
        <w:tc>
          <w:tcPr>
            <w:tcW w:w="3784" w:type="dxa"/>
            <w:tcBorders/>
            <w:vAlign w:val="center"/>
          </w:tcPr>
          <w:p>
            <w:pPr>
              <w:pStyle w:val="TableContents"/>
              <w:shd w:fill="2E3440" w:val="clear"/>
              <w:bidi w:val="0"/>
              <w:spacing w:before="120" w:after="120"/>
              <w:jc w:val="left"/>
              <w:rPr/>
            </w:pPr>
            <w:r>
              <w:rPr/>
              <w:t>context</w:t>
            </w:r>
          </w:p>
        </w:tc>
        <w:tc>
          <w:tcPr>
            <w:tcW w:w="6120"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what-is-waiting-on-me"/>
      <w:bookmarkEnd w:id="5"/>
      <w:r>
        <w:rPr/>
        <w:t>What Is Waiting on Me</w:t>
      </w:r>
    </w:p>
    <w:p>
      <w:pPr>
        <w:pStyle w:val="BodyText"/>
        <w:bidi w:val="0"/>
        <w:jc w:val="left"/>
        <w:rPr/>
      </w:pPr>
      <w:r>
        <w:rPr>
          <w:rStyle w:val="SourceText"/>
        </w:rPr>
        <w:t>/crew:status</w:t>
      </w:r>
      <w:r>
        <w:rPr/>
        <w:t xml:space="preserve"> prints one </w:t>
      </w:r>
      <w:r>
        <w:rPr>
          <w:rStyle w:val="SourceText"/>
        </w:rPr>
        <w:t>waiting</w:t>
      </w:r>
      <w:r>
        <w:rPr/>
        <w:t xml:space="preserve"> line: how many open tickets are stopped on you. </w:t>
      </w:r>
      <w:r>
        <w:rPr>
          <w:rStyle w:val="SourceText"/>
        </w:rPr>
        <w:t>/crew:status --owner</w:t>
      </w:r>
      <w:r>
        <w:rPr/>
        <w:t xml:space="preserve"> lists them, one line per ticket with the command to type or the question to answer, for example </w:t>
      </w:r>
      <w:r>
        <w:rPr>
          <w:rStyle w:val="SourceText"/>
        </w:rPr>
        <w:t>T-5 approve /crew:approve T-5</w:t>
      </w:r>
      <w:r>
        <w:rPr/>
        <w:t xml:space="preserve">. The list comes from the same phase table </w:t>
      </w:r>
      <w:r>
        <w:rPr>
          <w:rStyle w:val="SourceText"/>
        </w:rPr>
        <w:t>/crew:autopilot</w:t>
      </w:r>
      <w:r>
        <w:rPr/>
        <w:t xml:space="preserve"> uses, so the two never disagree. It runs nothing and never rebuilds a review bundle: a ticket whose finished review would need one shows as </w:t>
      </w:r>
      <w:r>
        <w:rPr>
          <w:rStyle w:val="SourceText"/>
        </w:rPr>
        <w:t>review-unread</w:t>
      </w:r>
      <w:r>
        <w:rPr/>
        <w:t xml:space="preserve">, and </w:t>
      </w:r>
      <w:r>
        <w:rPr>
          <w:rStyle w:val="SourceText"/>
        </w:rPr>
        <w:t>/crew:autopilot status &lt;id&gt;</w:t>
      </w:r>
      <w:r>
        <w:rPr/>
        <w:t xml:space="preserve"> reads it. A hold whose revisit date is still ahead and a blocked ticket are only counted (</w:t>
      </w:r>
      <w:r>
        <w:rPr>
          <w:rStyle w:val="SourceText"/>
        </w:rPr>
        <w:t>2 held, 1 blocked</w:t>
      </w:r>
      <w:r>
        <w:rPr/>
        <w:t xml:space="preserve">); a hold that is due is listed as </w:t>
      </w:r>
      <w:r>
        <w:rPr>
          <w:rStyle w:val="SourceText"/>
        </w:rPr>
        <w:t>revisit</w:t>
      </w:r>
      <w:r>
        <w:rPr/>
        <w:t xml:space="preserve"> with its reason. No </w:t>
      </w:r>
      <w:r>
        <w:rPr>
          <w:rStyle w:val="SourceText"/>
        </w:rPr>
        <w:t>.work/INDEX.md</w:t>
      </w:r>
      <w:r>
        <w:rPr/>
        <w:t xml:space="preserve"> prints </w:t>
      </w:r>
      <w:r>
        <w:rPr>
          <w:rStyle w:val="SourceText"/>
        </w:rPr>
        <w:t>waiting unknown (...)</w:t>
      </w:r>
      <w:r>
        <w:rPr/>
        <w:t>, never "nothing on you".</w:t>
      </w:r>
    </w:p>
    <w:p>
      <w:pPr>
        <w:pStyle w:val="Heading2"/>
        <w:bidi w:val="0"/>
        <w:ind w:hanging="0" w:left="0" w:right="0"/>
        <w:jc w:val="left"/>
        <w:rPr/>
      </w:pPr>
      <w:bookmarkStart w:id="6" w:name="if-something-refuses"/>
      <w:bookmarkEnd w:id="6"/>
      <w:r>
        <w:rPr/>
        <w:t>If Something Refuses</w:t>
      </w:r>
    </w:p>
    <w:tbl>
      <w:tblPr>
        <w:tblW w:w="11339" w:type="dxa"/>
        <w:jc w:val="left"/>
        <w:tblInd w:w="0" w:type="dxa"/>
        <w:tblLayout w:type="fixed"/>
        <w:tblCellMar>
          <w:top w:w="28" w:type="dxa"/>
          <w:left w:w="28" w:type="dxa"/>
          <w:bottom w:w="28" w:type="dxa"/>
          <w:right w:w="28" w:type="dxa"/>
        </w:tblCellMar>
      </w:tblPr>
      <w:tblGrid>
        <w:gridCol w:w="4189"/>
        <w:gridCol w:w="2776"/>
        <w:gridCol w:w="4374"/>
      </w:tblGrid>
      <w:tr>
        <w:trPr>
          <w:tblHeader w:val="true"/>
        </w:trPr>
        <w:tc>
          <w:tcPr>
            <w:tcW w:w="4189" w:type="dxa"/>
            <w:tcBorders/>
            <w:vAlign w:val="center"/>
          </w:tcPr>
          <w:p>
            <w:pPr>
              <w:pStyle w:val="TableHeading"/>
              <w:suppressLineNumbers/>
              <w:shd w:fill="434C5E" w:val="clear"/>
              <w:bidi w:val="0"/>
              <w:spacing w:before="120" w:after="120"/>
              <w:jc w:val="left"/>
              <w:rPr/>
            </w:pPr>
            <w:r>
              <w:rPr/>
              <w:t>Refusal</w:t>
            </w:r>
          </w:p>
        </w:tc>
        <w:tc>
          <w:tcPr>
            <w:tcW w:w="2776" w:type="dxa"/>
            <w:tcBorders/>
            <w:vAlign w:val="center"/>
          </w:tcPr>
          <w:p>
            <w:pPr>
              <w:pStyle w:val="TableHeading"/>
              <w:suppressLineNumbers/>
              <w:shd w:fill="434C5E" w:val="clear"/>
              <w:bidi w:val="0"/>
              <w:spacing w:before="120" w:after="120"/>
              <w:jc w:val="left"/>
              <w:rPr/>
            </w:pPr>
            <w:r>
              <w:rPr/>
              <w:t>Means</w:t>
            </w:r>
          </w:p>
        </w:tc>
        <w:tc>
          <w:tcPr>
            <w:tcW w:w="4374" w:type="dxa"/>
            <w:tcBorders/>
            <w:vAlign w:val="center"/>
          </w:tcPr>
          <w:p>
            <w:pPr>
              <w:pStyle w:val="TableHeading"/>
              <w:suppressLineNumbers/>
              <w:shd w:fill="434C5E" w:val="clear"/>
              <w:bidi w:val="0"/>
              <w:spacing w:before="120" w:after="120"/>
              <w:jc w:val="left"/>
              <w:rPr/>
            </w:pPr>
            <w:r>
              <w:rPr/>
              <w:t>Do</w:t>
            </w:r>
          </w:p>
        </w:tc>
      </w:tr>
      <w:tr>
        <w:trPr/>
        <w:tc>
          <w:tcPr>
            <w:tcW w:w="4189"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2776"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374"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4189" w:type="dxa"/>
            <w:tcBorders/>
            <w:vAlign w:val="center"/>
          </w:tcPr>
          <w:p>
            <w:pPr>
              <w:pStyle w:val="TableContents"/>
              <w:shd w:fill="2E3440" w:val="clear"/>
              <w:bidi w:val="0"/>
              <w:spacing w:before="120" w:after="120"/>
              <w:jc w:val="left"/>
              <w:rPr/>
            </w:pPr>
            <w:r>
              <w:rPr/>
              <w:t>a write is blocked outside Touch</w:t>
            </w:r>
          </w:p>
        </w:tc>
        <w:tc>
          <w:tcPr>
            <w:tcW w:w="2776" w:type="dxa"/>
            <w:tcBorders/>
            <w:vAlign w:val="center"/>
          </w:tcPr>
          <w:p>
            <w:pPr>
              <w:pStyle w:val="TableContents"/>
              <w:shd w:fill="2E3440" w:val="clear"/>
              <w:bidi w:val="0"/>
              <w:spacing w:before="120" w:after="120"/>
              <w:jc w:val="left"/>
              <w:rPr/>
            </w:pPr>
            <w:r>
              <w:rPr/>
              <w:t>the file isn't in the spec's declared scope</w:t>
            </w:r>
          </w:p>
        </w:tc>
        <w:tc>
          <w:tcPr>
            <w:tcW w:w="4374"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4189"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2776"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4374"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4189"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2776" w:type="dxa"/>
            <w:tcBorders/>
            <w:vAlign w:val="center"/>
          </w:tcPr>
          <w:p>
            <w:pPr>
              <w:pStyle w:val="TableContents"/>
              <w:shd w:fill="2E3440" w:val="clear"/>
              <w:bidi w:val="0"/>
              <w:spacing w:before="120" w:after="120"/>
              <w:jc w:val="left"/>
              <w:rPr/>
            </w:pPr>
            <w:r>
              <w:rPr/>
              <w:t>the review budget (two rounds) is spent</w:t>
            </w:r>
          </w:p>
        </w:tc>
        <w:tc>
          <w:tcPr>
            <w:tcW w:w="4374"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4189" w:type="dxa"/>
            <w:tcBorders/>
            <w:vAlign w:val="center"/>
          </w:tcPr>
          <w:p>
            <w:pPr>
              <w:pStyle w:val="TableContents"/>
              <w:shd w:fill="2E3440" w:val="clear"/>
              <w:bidi w:val="0"/>
              <w:spacing w:before="120" w:after="120"/>
              <w:jc w:val="left"/>
              <w:rPr/>
            </w:pPr>
            <w:r>
              <w:rPr>
                <w:rStyle w:val="SourceText"/>
              </w:rPr>
              <w:t>/crew:autopilot</w:t>
            </w:r>
            <w:r>
              <w:rPr/>
              <w:t xml:space="preserve"> stops at </w:t>
            </w:r>
            <w:r>
              <w:rPr>
                <w:rStyle w:val="SourceText"/>
              </w:rPr>
              <w:t>auto-replan-cap</w:t>
            </w:r>
            <w:r>
              <w:rPr/>
              <w:t xml:space="preserve"> naming </w:t>
            </w:r>
            <w:r>
              <w:rPr>
                <w:rStyle w:val="SourceText"/>
              </w:rPr>
              <w:t>autopilot.maxAutoReplans (&lt;n&gt;) reached</w:t>
            </w:r>
          </w:p>
        </w:tc>
        <w:tc>
          <w:tcPr>
            <w:tcW w:w="2776" w:type="dxa"/>
            <w:tcBorders/>
            <w:vAlign w:val="center"/>
          </w:tcPr>
          <w:p>
            <w:pPr>
              <w:pStyle w:val="TableContents"/>
              <w:shd w:fill="2E3440" w:val="clear"/>
              <w:bidi w:val="0"/>
              <w:spacing w:before="120" w:after="120"/>
              <w:jc w:val="left"/>
              <w:rPr/>
            </w:pPr>
            <w:r>
              <w:rPr/>
              <w:t>the ticket already has that many successor plans on its review ledger, yours included</w:t>
            </w:r>
          </w:p>
        </w:tc>
        <w:tc>
          <w:tcPr>
            <w:tcW w:w="4374" w:type="dxa"/>
            <w:tcBorders/>
            <w:vAlign w:val="center"/>
          </w:tcPr>
          <w:p>
            <w:pPr>
              <w:pStyle w:val="TableContents"/>
              <w:shd w:fill="2E3440" w:val="clear"/>
              <w:bidi w:val="0"/>
              <w:spacing w:before="120" w:after="120"/>
              <w:jc w:val="left"/>
              <w:rPr/>
            </w:pPr>
            <w:r>
              <w:rPr/>
              <w:t>read the listed plans and decide: accept, fix, or redesign; raising the cap is your call, up to 5 (a larger value reads as 5, with a warning)</w:t>
            </w:r>
          </w:p>
        </w:tc>
      </w:tr>
      <w:tr>
        <w:trPr/>
        <w:tc>
          <w:tcPr>
            <w:tcW w:w="4189"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2776" w:type="dxa"/>
            <w:tcBorders/>
            <w:vAlign w:val="center"/>
          </w:tcPr>
          <w:p>
            <w:pPr>
              <w:pStyle w:val="TableContents"/>
              <w:shd w:fill="2E3440" w:val="clear"/>
              <w:bidi w:val="0"/>
              <w:spacing w:before="120" w:after="120"/>
              <w:jc w:val="left"/>
              <w:rPr/>
            </w:pPr>
            <w:r>
              <w:rPr/>
              <w:t>a path outside scope changed, including one a shell command wrote</w:t>
            </w:r>
          </w:p>
        </w:tc>
        <w:tc>
          <w:tcPr>
            <w:tcW w:w="4374"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7" w:name="scope-and-approval"/>
      <w:bookmarkEnd w:id="7"/>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8" w:name="the-contract"/>
      <w:bookmarkEnd w:id="8"/>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spacing w:before="120" w:after="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numPr>
          <w:ilvl w:val="0"/>
          <w:numId w:val="4"/>
        </w:numPr>
        <w:tabs>
          <w:tab w:val="clear" w:pos="1134"/>
          <w:tab w:val="left" w:pos="829" w:leader="none"/>
        </w:tabs>
        <w:bidi w:val="0"/>
        <w:ind w:hanging="283" w:left="829"/>
        <w:jc w:val="left"/>
        <w:rPr/>
      </w:pPr>
      <w:r>
        <w:rPr>
          <w:rStyle w:val="SourceText"/>
        </w:rPr>
        <w:t>next.md</w:t>
      </w:r>
      <w:r>
        <w:rPr/>
        <w:t xml:space="preserve"> is optional, and nothing in crew writes it: you do, by hand. One </w:t>
      </w:r>
      <w:r>
        <w:rPr>
          <w:rStyle w:val="SourceText"/>
        </w:rPr>
        <w:t>key: value</w:t>
      </w:r>
      <w:r>
        <w:rPr/>
        <w:t xml:space="preserve"> per line says who the ticket waits on and what happens next: </w:t>
      </w:r>
      <w:r>
        <w:rPr>
          <w:rStyle w:val="SourceText"/>
        </w:rPr>
        <w:t>waiting-on:</w:t>
      </w:r>
      <w:r>
        <w:rPr/>
        <w:t xml:space="preserve"> (</w:t>
      </w:r>
      <w:r>
        <w:rPr>
          <w:rStyle w:val="SourceText"/>
        </w:rPr>
        <w:t>owner</w:t>
      </w:r>
      <w:r>
        <w:rPr/>
        <w:t xml:space="preserve">, </w:t>
      </w:r>
      <w:r>
        <w:rPr>
          <w:rStyle w:val="SourceText"/>
        </w:rPr>
        <w:t>agent</w:t>
      </w:r>
      <w:r>
        <w:rPr/>
        <w:t xml:space="preserve">, </w:t>
      </w:r>
      <w:r>
        <w:rPr>
          <w:rStyle w:val="SourceText"/>
        </w:rPr>
        <w:t>external</w:t>
      </w:r>
      <w:r>
        <w:rPr/>
        <w:t xml:space="preserve"> or a ticket id), </w:t>
      </w:r>
      <w:r>
        <w:rPr>
          <w:rStyle w:val="SourceText"/>
        </w:rPr>
        <w:t>next:</w:t>
      </w:r>
      <w:r>
        <w:rPr/>
        <w:t xml:space="preserve">, </w:t>
      </w:r>
      <w:r>
        <w:rPr>
          <w:rStyle w:val="SourceText"/>
        </w:rPr>
        <w:t>reason:</w:t>
      </w:r>
      <w:r>
        <w:rPr/>
        <w:t xml:space="preserve">, </w:t>
      </w:r>
      <w:r>
        <w:rPr>
          <w:rStyle w:val="SourceText"/>
        </w:rPr>
        <w:t>revisit:</w:t>
      </w:r>
      <w:r>
        <w:rPr/>
        <w:t xml:space="preserve"> (a </w:t>
      </w:r>
      <w:r>
        <w:rPr>
          <w:rStyle w:val="SourceText"/>
        </w:rPr>
        <w:t>YYYY-MM-DD</w:t>
      </w:r>
      <w:r>
        <w:rPr/>
        <w:t xml:space="preserve"> date) and </w:t>
      </w:r>
      <w:r>
        <w:rPr>
          <w:rStyle w:val="SourceText"/>
        </w:rPr>
        <w:t>superseded-by:</w:t>
      </w:r>
      <w:r>
        <w:rPr/>
        <w:t xml:space="preserve"> (a ticket id). It is not part of the contract: approval does not hash it and </w:t>
      </w:r>
      <w:r>
        <w:rPr>
          <w:rStyle w:val="SourceText"/>
        </w:rPr>
        <w:t>validate</w:t>
      </w:r>
      <w:r>
        <w:rPr/>
        <w:t xml:space="preserve"> never reads it, so you can edit it at any step without approving again.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9" w:name="approval"/>
      <w:bookmarkEnd w:id="9"/>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xml:space="preserve">. </w:t>
      </w:r>
      <w:r>
        <w:rPr>
          <w:rStyle w:val="SourceText"/>
        </w:rPr>
        <w:t>/crew:autopilot sleep</w:t>
      </w:r>
      <w:r>
        <w:rPr/>
        <w:t xml:space="preserve"> starts sleep mode now, until the window's end (12 hours with no window), and </w:t>
      </w:r>
      <w:r>
        <w:rPr>
          <w:rStyle w:val="SourceText"/>
        </w:rPr>
        <w:t>/crew:autopilot wake</w:t>
      </w:r>
      <w:r>
        <w:rPr/>
        <w:t xml:space="preserve"> ends it now (L-0652); they write only </w:t>
      </w:r>
      <w:r>
        <w:rPr>
          <w:rStyle w:val="SourceText"/>
        </w:rPr>
        <w:t>&lt;git-common-dir&gt;/crew/autopilot-sleep.json</w:t>
      </w:r>
      <w:r>
        <w:rPr/>
        <w:t xml:space="preserve">. Until L-1504 a manual sleep only tightens: outside the window it applies a night value only where it is stricter than the day value. </w:t>
      </w:r>
      <w:r>
        <w:rPr>
          <w:rStyle w:val="SourceText"/>
        </w:rPr>
        <w:t>sleep</w:t>
      </w:r>
      <w:r>
        <w:rPr/>
        <w:t xml:space="preserve"> needs </w:t>
      </w:r>
      <w:r>
        <w:rPr>
          <w:rStyle w:val="SourceText"/>
        </w:rPr>
        <w:t>scope.allowCliApproval: true</w:t>
      </w:r>
      <w:r>
        <w:rPr/>
        <w:t xml:space="preserve"> and an override stricter than its day value, or the window open. Autopilot's one other ledger writer is </w:t>
      </w:r>
      <w:r>
        <w:rPr>
          <w:rStyle w:val="SourceText"/>
        </w:rPr>
        <w:t>crew_autopilot.py auto-reject</w:t>
      </w:r>
      <w:r>
        <w:rPr/>
        <w:t xml:space="preserve"> (T-0074), only with </w:t>
      </w:r>
      <w:r>
        <w:rPr>
          <w:rStyle w:val="SourceText"/>
        </w:rPr>
        <w:t>autopilot.maxAutoReplans</w:t>
      </w:r>
      <w:r>
        <w:rPr/>
        <w:t xml:space="preserve"> set: it moves the ledger REVIEWED -&gt; NEEDS_REPLAN after a final round with a BLOCK.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10" w:name="while-you-implement-the-scope-guard"/>
      <w:bookmarkEnd w:id="10"/>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1" w:name="at-the-end-of-a-turn-the-completion-audi"/>
      <w:bookmarkEnd w:id="11"/>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a file whose git mode changed, or one removed from the index but left on disk (</w:t>
      </w:r>
      <w:r>
        <w:rPr>
          <w:rStyle w:val="SourceText"/>
        </w:rPr>
        <w:t>git rm --cached</w:t>
      </w:r>
      <w:r>
        <w:rPr/>
        <w:t xml:space="preserve">: the commit deletes it)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2" w:name="amending-scope"/>
      <w:bookmarkEnd w:id="12"/>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3" w:name="after-two-review-rounds-a-successor-plan"/>
      <w:bookmarkEnd w:id="13"/>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With </w:t>
      </w:r>
      <w:r>
        <w:rPr>
          <w:rStyle w:val="SourceText"/>
        </w:rPr>
        <w:t>autopilot.maxAutoReplans</w:t>
      </w:r>
      <w:r>
        <w:rPr/>
        <w:t xml:space="preserve"> at 1 or more, autopilot does this itself for a final round with a BLOCK (</w:t>
      </w:r>
      <w:r>
        <w:rPr>
          <w:rStyle w:val="SourceText"/>
        </w:rPr>
        <w:t>auto-reject</w:t>
      </w:r>
      <w:r>
        <w:rPr/>
        <w:t xml:space="preserve">), then writes and approves the successor plan under </w:t>
      </w:r>
      <w:r>
        <w:rPr>
          <w:rStyle w:val="SourceText"/>
        </w:rPr>
        <w:t>autopilot.approval</w:t>
      </w:r>
      <w:r>
        <w:rPr/>
        <w:t xml:space="preserve">; the cap counts every successor plan on the ledger. With notify on, the last round carrying a BLOCK sends the </w:t>
      </w:r>
      <w:r>
        <w:rPr>
          <w:rStyle w:val="SourceText"/>
        </w:rPr>
        <w:t>Review out of rounds</w:t>
      </w:r>
      <w:r>
        <w:rPr/>
        <w:t xml:space="preserve"> ping (</w:t>
      </w:r>
      <w:r>
        <w:rPr>
          <w:rStyle w:val="SourceText"/>
        </w:rPr>
        <w:t>-&gt; /crew:plan &lt;id&gt;</w:t>
      </w:r>
      <w:r>
        <w:rPr/>
        <w:t xml:space="preserve">) when </w:t>
      </w:r>
      <w:r>
        <w:rPr>
          <w:rStyle w:val="SourceText"/>
        </w:rPr>
        <w:t>/crew:autopilot</w:t>
      </w:r>
      <w:r>
        <w:rPr/>
        <w:t xml:space="preserve"> stops on it.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4" w:name="modes"/>
      <w:bookmarkEnd w:id="14"/>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0" w:type="dxa"/>
        <w:tblLayout w:type="fixed"/>
        <w:tblCellMar>
          <w:top w:w="28" w:type="dxa"/>
          <w:left w:w="28" w:type="dxa"/>
          <w:bottom w:w="28" w:type="dxa"/>
          <w:right w:w="28" w:type="dxa"/>
        </w:tblCellMar>
      </w:tblPr>
      <w:tblGrid>
        <w:gridCol w:w="931"/>
        <w:gridCol w:w="10408"/>
      </w:tblGrid>
      <w:tr>
        <w:trPr>
          <w:tblHeader w:val="true"/>
        </w:trPr>
        <w:tc>
          <w:tcPr>
            <w:tcW w:w="931" w:type="dxa"/>
            <w:tcBorders/>
            <w:vAlign w:val="center"/>
          </w:tcPr>
          <w:p>
            <w:pPr>
              <w:pStyle w:val="TableHeading"/>
              <w:suppressLineNumbers/>
              <w:shd w:fill="434C5E" w:val="clear"/>
              <w:bidi w:val="0"/>
              <w:spacing w:before="120" w:after="120"/>
              <w:jc w:val="left"/>
              <w:rPr/>
            </w:pPr>
            <w:r>
              <w:rPr/>
              <w:t>Value</w:t>
            </w:r>
          </w:p>
        </w:tc>
        <w:tc>
          <w:tcPr>
            <w:tcW w:w="10408" w:type="dxa"/>
            <w:tcBorders/>
            <w:vAlign w:val="center"/>
          </w:tcPr>
          <w:p>
            <w:pPr>
              <w:pStyle w:val="TableHeading"/>
              <w:suppressLineNumbers/>
              <w:shd w:fill="434C5E" w:val="clear"/>
              <w:bidi w:val="0"/>
              <w:spacing w:before="120" w:after="120"/>
              <w:jc w:val="left"/>
              <w:rPr/>
            </w:pPr>
            <w:r>
              <w:rPr/>
              <w:t>What happens</w:t>
            </w:r>
          </w:p>
        </w:tc>
      </w:tr>
      <w:tr>
        <w:trPr/>
        <w:tc>
          <w:tcPr>
            <w:tcW w:w="931" w:type="dxa"/>
            <w:tcBorders/>
            <w:vAlign w:val="center"/>
          </w:tcPr>
          <w:p>
            <w:pPr>
              <w:pStyle w:val="TableContents"/>
              <w:shd w:fill="2E3440" w:val="clear"/>
              <w:bidi w:val="0"/>
              <w:spacing w:before="120" w:after="120"/>
              <w:jc w:val="left"/>
              <w:rPr/>
            </w:pPr>
            <w:r>
              <w:rPr>
                <w:rStyle w:val="SourceText"/>
              </w:rPr>
              <w:t>off</w:t>
            </w:r>
          </w:p>
        </w:tc>
        <w:tc>
          <w:tcPr>
            <w:tcW w:w="10408" w:type="dxa"/>
            <w:tcBorders/>
            <w:vAlign w:val="center"/>
          </w:tcPr>
          <w:p>
            <w:pPr>
              <w:pStyle w:val="TableContents"/>
              <w:shd w:fill="2E3440" w:val="clear"/>
              <w:bidi w:val="0"/>
              <w:spacing w:before="120" w:after="120"/>
              <w:jc w:val="left"/>
              <w:rPr/>
            </w:pPr>
            <w:r>
              <w:rPr/>
              <w:t>Default. Neither hook does anything.</w:t>
            </w:r>
          </w:p>
        </w:tc>
      </w:tr>
      <w:tr>
        <w:trPr/>
        <w:tc>
          <w:tcPr>
            <w:tcW w:w="931" w:type="dxa"/>
            <w:tcBorders/>
            <w:vAlign w:val="center"/>
          </w:tcPr>
          <w:p>
            <w:pPr>
              <w:pStyle w:val="TableContents"/>
              <w:shd w:fill="2E3440" w:val="clear"/>
              <w:bidi w:val="0"/>
              <w:spacing w:before="120" w:after="120"/>
              <w:jc w:val="left"/>
              <w:rPr/>
            </w:pPr>
            <w:r>
              <w:rPr>
                <w:rStyle w:val="SourceText"/>
              </w:rPr>
              <w:t>report</w:t>
            </w:r>
          </w:p>
        </w:tc>
        <w:tc>
          <w:tcPr>
            <w:tcW w:w="10408"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31" w:type="dxa"/>
            <w:tcBorders/>
            <w:vAlign w:val="center"/>
          </w:tcPr>
          <w:p>
            <w:pPr>
              <w:pStyle w:val="TableContents"/>
              <w:shd w:fill="2E3440" w:val="clear"/>
              <w:bidi w:val="0"/>
              <w:spacing w:before="120" w:after="120"/>
              <w:jc w:val="left"/>
              <w:rPr/>
            </w:pPr>
            <w:r>
              <w:rPr>
                <w:rStyle w:val="SourceText"/>
              </w:rPr>
              <w:t>block</w:t>
            </w:r>
          </w:p>
        </w:tc>
        <w:tc>
          <w:tcPr>
            <w:tcW w:w="10408" w:type="dxa"/>
            <w:tcBorders/>
            <w:vAlign w:val="center"/>
          </w:tcPr>
          <w:p>
            <w:pPr>
              <w:pStyle w:val="TableContents"/>
              <w:shd w:fill="2E3440" w:val="clear"/>
              <w:bidi w:val="0"/>
              <w:spacing w:before="120" w:after="120"/>
              <w:jc w:val="left"/>
              <w:rPr/>
            </w:pPr>
            <w:r>
              <w:rPr/>
              <w:t>Refusals block.</w:t>
            </w:r>
          </w:p>
        </w:tc>
      </w:tr>
      <w:tr>
        <w:trPr/>
        <w:tc>
          <w:tcPr>
            <w:tcW w:w="931" w:type="dxa"/>
            <w:tcBorders/>
            <w:vAlign w:val="center"/>
          </w:tcPr>
          <w:p>
            <w:pPr>
              <w:pStyle w:val="TableContents"/>
              <w:shd w:fill="2E3440" w:val="clear"/>
              <w:bidi w:val="0"/>
              <w:spacing w:before="120" w:after="120"/>
              <w:jc w:val="left"/>
              <w:rPr/>
            </w:pPr>
            <w:r>
              <w:rPr>
                <w:rStyle w:val="SourceText"/>
              </w:rPr>
              <w:t>auto</w:t>
            </w:r>
          </w:p>
        </w:tc>
        <w:tc>
          <w:tcPr>
            <w:tcW w:w="10408"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5" w:name="which-ticket-is-active"/>
      <w:bookmarkEnd w:id="15"/>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