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11339" w:type="dxa"/>
        <w:jc w:val="left"/>
        <w:tblInd w:w="28" w:type="dxa"/>
        <w:tblLayout w:type="fixed"/>
        <w:tblCellMar>
          <w:top w:w="28" w:type="dxa"/>
          <w:left w:w="28" w:type="dxa"/>
          <w:bottom w:w="28" w:type="dxa"/>
          <w:right w:w="28" w:type="dxa"/>
        </w:tblCellMar>
      </w:tblPr>
      <w:tblGrid>
        <w:gridCol w:w="2696"/>
        <w:gridCol w:w="8643"/>
      </w:tblGrid>
      <w:tr>
        <w:trPr>
          <w:tblHeader w:val="true"/>
        </w:trPr>
        <w:tc>
          <w:tcPr>
            <w:tcW w:w="2696" w:type="dxa"/>
            <w:tcBorders/>
            <w:vAlign w:val="center"/>
          </w:tcPr>
          <w:p>
            <w:pPr>
              <w:pStyle w:val="TableHeading"/>
              <w:suppressLineNumbers/>
              <w:shd w:fill="434C5E" w:val="clear"/>
              <w:bidi w:val="0"/>
              <w:spacing w:before="120" w:after="120"/>
              <w:jc w:val="left"/>
              <w:rPr/>
            </w:pPr>
            <w:r>
              <w:rPr/>
              <w:t>When</w:t>
            </w:r>
          </w:p>
        </w:tc>
        <w:tc>
          <w:tcPr>
            <w:tcW w:w="8643" w:type="dxa"/>
            <w:tcBorders/>
            <w:vAlign w:val="center"/>
          </w:tcPr>
          <w:p>
            <w:pPr>
              <w:pStyle w:val="TableHeading"/>
              <w:suppressLineNumbers/>
              <w:shd w:fill="434C5E" w:val="clear"/>
              <w:bidi w:val="0"/>
              <w:spacing w:before="120" w:after="120"/>
              <w:jc w:val="left"/>
              <w:rPr/>
            </w:pPr>
            <w:r>
              <w:rPr/>
              <w:t>Do</w:t>
            </w:r>
          </w:p>
        </w:tc>
      </w:tr>
      <w:tr>
        <w:trPr/>
        <w:tc>
          <w:tcPr>
            <w:tcW w:w="2696" w:type="dxa"/>
            <w:tcBorders/>
            <w:vAlign w:val="center"/>
          </w:tcPr>
          <w:p>
            <w:pPr>
              <w:pStyle w:val="TableContents"/>
              <w:shd w:fill="2E3440" w:val="clear"/>
              <w:bidi w:val="0"/>
              <w:spacing w:before="120" w:after="120"/>
              <w:jc w:val="left"/>
              <w:rPr/>
            </w:pPr>
            <w:r>
              <w:rPr/>
              <w:t>Daily, automatically</w:t>
            </w:r>
          </w:p>
        </w:tc>
        <w:tc>
          <w:tcPr>
            <w:tcW w:w="8643"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2696" w:type="dxa"/>
            <w:tcBorders/>
            <w:vAlign w:val="center"/>
          </w:tcPr>
          <w:p>
            <w:pPr>
              <w:pStyle w:val="TableContents"/>
              <w:shd w:fill="2E3440" w:val="clear"/>
              <w:bidi w:val="0"/>
              <w:spacing w:before="120" w:after="120"/>
              <w:jc w:val="left"/>
              <w:rPr/>
            </w:pPr>
            <w:r>
              <w:rPr/>
              <w:t>After a plugin update</w:t>
            </w:r>
          </w:p>
        </w:tc>
        <w:tc>
          <w:tcPr>
            <w:tcW w:w="8643"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2696" w:type="dxa"/>
            <w:tcBorders/>
            <w:vAlign w:val="center"/>
          </w:tcPr>
          <w:p>
            <w:pPr>
              <w:pStyle w:val="TableContents"/>
              <w:shd w:fill="2E3440" w:val="clear"/>
              <w:bidi w:val="0"/>
              <w:spacing w:before="120" w:after="120"/>
              <w:jc w:val="left"/>
              <w:rPr/>
            </w:pPr>
            <w:r>
              <w:rPr/>
              <w:t>When a vault moves or you add one</w:t>
            </w:r>
          </w:p>
        </w:tc>
        <w:tc>
          <w:tcPr>
            <w:tcW w:w="8643"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2696" w:type="dxa"/>
            <w:tcBorders/>
            <w:vAlign w:val="center"/>
          </w:tcPr>
          <w:p>
            <w:pPr>
              <w:pStyle w:val="TableContents"/>
              <w:shd w:fill="2E3440" w:val="clear"/>
              <w:bidi w:val="0"/>
              <w:spacing w:before="120" w:after="120"/>
              <w:jc w:val="left"/>
              <w:rPr/>
            </w:pPr>
            <w:r>
              <w:rPr/>
              <w:t>When recall seems blind</w:t>
            </w:r>
          </w:p>
        </w:tc>
        <w:tc>
          <w:tcPr>
            <w:tcW w:w="8643"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2696" w:type="dxa"/>
            <w:tcBorders/>
            <w:vAlign w:val="center"/>
          </w:tcPr>
          <w:p>
            <w:pPr>
              <w:pStyle w:val="TableContents"/>
              <w:shd w:fill="2E3440" w:val="clear"/>
              <w:bidi w:val="0"/>
              <w:spacing w:before="120" w:after="120"/>
              <w:jc w:val="left"/>
              <w:rPr/>
            </w:pPr>
            <w:r>
              <w:rPr/>
              <w:t>When the bridge misbehaves</w:t>
            </w:r>
          </w:p>
        </w:tc>
        <w:tc>
          <w:tcPr>
            <w:tcW w:w="8643"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2696" w:type="dxa"/>
            <w:tcBorders/>
            <w:vAlign w:val="center"/>
          </w:tcPr>
          <w:p>
            <w:pPr>
              <w:pStyle w:val="TableContents"/>
              <w:shd w:fill="2E3440" w:val="clear"/>
              <w:bidi w:val="0"/>
              <w:spacing w:before="120" w:after="120"/>
              <w:jc w:val="left"/>
              <w:rPr/>
            </w:pPr>
            <w:r>
              <w:rPr/>
              <w:t>When the code changed a lot</w:t>
            </w:r>
          </w:p>
        </w:tc>
        <w:tc>
          <w:tcPr>
            <w:tcW w:w="8643"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6042" w:type="dxa"/>
        <w:jc w:val="left"/>
        <w:tblInd w:w="28" w:type="dxa"/>
        <w:tblLayout w:type="fixed"/>
        <w:tblCellMar>
          <w:top w:w="28" w:type="dxa"/>
          <w:left w:w="28" w:type="dxa"/>
          <w:bottom w:w="28" w:type="dxa"/>
          <w:right w:w="28" w:type="dxa"/>
        </w:tblCellMar>
      </w:tblPr>
      <w:tblGrid>
        <w:gridCol w:w="2001"/>
        <w:gridCol w:w="4041"/>
      </w:tblGrid>
      <w:tr>
        <w:trPr>
          <w:tblHeader w:val="true"/>
        </w:trPr>
        <w:tc>
          <w:tcPr>
            <w:tcW w:w="2001" w:type="dxa"/>
            <w:tcBorders/>
            <w:vAlign w:val="center"/>
          </w:tcPr>
          <w:p>
            <w:pPr>
              <w:pStyle w:val="TableHeading"/>
              <w:suppressLineNumbers/>
              <w:shd w:fill="434C5E" w:val="clear"/>
              <w:bidi w:val="0"/>
              <w:spacing w:before="120" w:after="120"/>
              <w:jc w:val="left"/>
              <w:rPr/>
            </w:pPr>
            <w:r>
              <w:rPr/>
              <w:t>Ticket status</w:t>
            </w:r>
          </w:p>
        </w:tc>
        <w:tc>
          <w:tcPr>
            <w:tcW w:w="4041" w:type="dxa"/>
            <w:tcBorders/>
            <w:vAlign w:val="center"/>
          </w:tcPr>
          <w:p>
            <w:pPr>
              <w:pStyle w:val="TableHeading"/>
              <w:suppressLineNumbers/>
              <w:shd w:fill="434C5E" w:val="clear"/>
              <w:bidi w:val="0"/>
              <w:spacing w:before="120" w:after="120"/>
              <w:jc w:val="left"/>
              <w:rPr/>
            </w:pPr>
            <w:r>
              <w:rPr/>
              <w:t>Lane (default name)</w:t>
            </w:r>
          </w:p>
        </w:tc>
      </w:tr>
      <w:tr>
        <w:trPr/>
        <w:tc>
          <w:tcPr>
            <w:tcW w:w="2001"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4041" w:type="dxa"/>
            <w:tcBorders/>
            <w:vAlign w:val="center"/>
          </w:tcPr>
          <w:p>
            <w:pPr>
              <w:pStyle w:val="TableContents"/>
              <w:shd w:fill="2E3440" w:val="clear"/>
              <w:bidi w:val="0"/>
              <w:spacing w:before="120" w:after="120"/>
              <w:jc w:val="left"/>
              <w:rPr/>
            </w:pPr>
            <w:r>
              <w:rPr/>
              <w:t>Backlog</w:t>
            </w:r>
          </w:p>
        </w:tc>
      </w:tr>
      <w:tr>
        <w:trPr/>
        <w:tc>
          <w:tcPr>
            <w:tcW w:w="2001"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4041" w:type="dxa"/>
            <w:tcBorders/>
            <w:vAlign w:val="center"/>
          </w:tcPr>
          <w:p>
            <w:pPr>
              <w:pStyle w:val="TableContents"/>
              <w:shd w:fill="2E3440" w:val="clear"/>
              <w:bidi w:val="0"/>
              <w:spacing w:before="120" w:after="120"/>
              <w:jc w:val="left"/>
              <w:rPr/>
            </w:pPr>
            <w:r>
              <w:rPr/>
              <w:t>Ready</w:t>
            </w:r>
          </w:p>
        </w:tc>
      </w:tr>
      <w:tr>
        <w:trPr/>
        <w:tc>
          <w:tcPr>
            <w:tcW w:w="2001" w:type="dxa"/>
            <w:tcBorders/>
            <w:vAlign w:val="center"/>
          </w:tcPr>
          <w:p>
            <w:pPr>
              <w:pStyle w:val="TableContents"/>
              <w:shd w:fill="2E3440" w:val="clear"/>
              <w:bidi w:val="0"/>
              <w:spacing w:before="120" w:after="120"/>
              <w:jc w:val="left"/>
              <w:rPr/>
            </w:pPr>
            <w:r>
              <w:rPr>
                <w:rStyle w:val="SourceText"/>
              </w:rPr>
              <w:t>in-progress</w:t>
            </w:r>
          </w:p>
        </w:tc>
        <w:tc>
          <w:tcPr>
            <w:tcW w:w="4041" w:type="dxa"/>
            <w:tcBorders/>
            <w:vAlign w:val="center"/>
          </w:tcPr>
          <w:p>
            <w:pPr>
              <w:pStyle w:val="TableContents"/>
              <w:shd w:fill="2E3440" w:val="clear"/>
              <w:bidi w:val="0"/>
              <w:spacing w:before="120" w:after="120"/>
              <w:jc w:val="left"/>
              <w:rPr/>
            </w:pPr>
            <w:r>
              <w:rPr/>
              <w:t>In Progress</w:t>
            </w:r>
          </w:p>
        </w:tc>
      </w:tr>
      <w:tr>
        <w:trPr/>
        <w:tc>
          <w:tcPr>
            <w:tcW w:w="2001" w:type="dxa"/>
            <w:tcBorders/>
            <w:vAlign w:val="center"/>
          </w:tcPr>
          <w:p>
            <w:pPr>
              <w:pStyle w:val="TableContents"/>
              <w:shd w:fill="2E3440" w:val="clear"/>
              <w:bidi w:val="0"/>
              <w:spacing w:before="120" w:after="120"/>
              <w:jc w:val="left"/>
              <w:rPr/>
            </w:pPr>
            <w:r>
              <w:rPr>
                <w:rStyle w:val="SourceText"/>
              </w:rPr>
              <w:t>review</w:t>
            </w:r>
          </w:p>
        </w:tc>
        <w:tc>
          <w:tcPr>
            <w:tcW w:w="4041" w:type="dxa"/>
            <w:tcBorders/>
            <w:vAlign w:val="center"/>
          </w:tcPr>
          <w:p>
            <w:pPr>
              <w:pStyle w:val="TableContents"/>
              <w:shd w:fill="2E3440" w:val="clear"/>
              <w:bidi w:val="0"/>
              <w:spacing w:before="120" w:after="120"/>
              <w:jc w:val="left"/>
              <w:rPr/>
            </w:pPr>
            <w:r>
              <w:rPr/>
              <w:t>Review</w:t>
            </w:r>
          </w:p>
        </w:tc>
      </w:tr>
      <w:tr>
        <w:trPr/>
        <w:tc>
          <w:tcPr>
            <w:tcW w:w="2001" w:type="dxa"/>
            <w:tcBorders/>
            <w:vAlign w:val="center"/>
          </w:tcPr>
          <w:p>
            <w:pPr>
              <w:pStyle w:val="TableContents"/>
              <w:shd w:fill="2E3440" w:val="clear"/>
              <w:bidi w:val="0"/>
              <w:spacing w:before="120" w:after="120"/>
              <w:jc w:val="left"/>
              <w:rPr/>
            </w:pPr>
            <w:r>
              <w:rPr>
                <w:rStyle w:val="SourceText"/>
              </w:rPr>
              <w:t>done</w:t>
            </w:r>
          </w:p>
        </w:tc>
        <w:tc>
          <w:tcPr>
            <w:tcW w:w="404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confirming-recall-reaches-your-sessions"/>
      <w:bookmarkEnd w:id="11"/>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2" w:name="path-scoped-rules-from-the-code-map"/>
      <w:bookmarkEnd w:id="12"/>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Since crew 1.0.114 both commands also print one </w:t>
      </w:r>
      <w:r>
        <w:rPr>
          <w:rStyle w:val="SourceText"/>
        </w:rPr>
        <w:t>anchor behind:</w:t>
      </w:r>
      <w:r>
        <w:rPr/>
        <w:t xml:space="preserve"> or </w:t>
      </w:r>
      <w:r>
        <w:rPr>
          <w:rStyle w:val="SourceText"/>
        </w:rPr>
        <w:t>anchor unresolvable:</w:t>
      </w:r>
      <w:r>
        <w:rPr/>
        <w:t xml:space="preserve"> line per note they render a rule from whose anchor needs re-check - the same classification as session-start's "Anchors to re-check" line - or </w:t>
      </w:r>
      <w:r>
        <w:rPr>
          <w:rStyle w:val="SourceText"/>
        </w:rPr>
        <w:t>anchors: could not tell</w:t>
      </w:r>
      <w:r>
        <w:rPr/>
        <w:t xml:space="preserve"> when there is no git HEAD. They are advisory only: the exit codes and the generated files are unchanged, and a note that yields no rule is not reported here.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3" w:name="confirming-recall-reaches-your-sessions_"/>
      <w:bookmarkEnd w:id="13"/>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4" w:name="which-channel-reaches-which-agent"/>
      <w:bookmarkEnd w:id="14"/>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7556" w:type="dxa"/>
        <w:jc w:val="left"/>
        <w:tblInd w:w="28" w:type="dxa"/>
        <w:tblLayout w:type="fixed"/>
        <w:tblCellMar>
          <w:top w:w="28" w:type="dxa"/>
          <w:left w:w="28" w:type="dxa"/>
          <w:bottom w:w="28" w:type="dxa"/>
          <w:right w:w="28" w:type="dxa"/>
        </w:tblCellMar>
      </w:tblPr>
      <w:tblGrid>
        <w:gridCol w:w="2119"/>
        <w:gridCol w:w="2932"/>
        <w:gridCol w:w="2505"/>
      </w:tblGrid>
      <w:tr>
        <w:trPr>
          <w:tblHeader w:val="true"/>
        </w:trPr>
        <w:tc>
          <w:tcPr>
            <w:tcW w:w="2119" w:type="dxa"/>
            <w:tcBorders/>
            <w:vAlign w:val="center"/>
          </w:tcPr>
          <w:p>
            <w:pPr>
              <w:pStyle w:val="TableHeading"/>
              <w:suppressLineNumbers/>
              <w:shd w:fill="434C5E" w:val="clear"/>
              <w:bidi w:val="0"/>
              <w:spacing w:before="120" w:after="120"/>
              <w:jc w:val="left"/>
              <w:rPr/>
            </w:pPr>
            <w:r>
              <w:rPr/>
              <w:t>Hook event</w:t>
            </w:r>
          </w:p>
        </w:tc>
        <w:tc>
          <w:tcPr>
            <w:tcW w:w="2932" w:type="dxa"/>
            <w:tcBorders/>
            <w:vAlign w:val="center"/>
          </w:tcPr>
          <w:p>
            <w:pPr>
              <w:pStyle w:val="TableHeading"/>
              <w:suppressLineNumbers/>
              <w:shd w:fill="434C5E" w:val="clear"/>
              <w:bidi w:val="0"/>
              <w:spacing w:before="120" w:after="120"/>
              <w:jc w:val="left"/>
              <w:rPr/>
            </w:pPr>
            <w:r>
              <w:rPr/>
              <w:t>Reaches the main agent</w:t>
            </w:r>
          </w:p>
        </w:tc>
        <w:tc>
          <w:tcPr>
            <w:tcW w:w="2505" w:type="dxa"/>
            <w:tcBorders/>
            <w:vAlign w:val="center"/>
          </w:tcPr>
          <w:p>
            <w:pPr>
              <w:pStyle w:val="TableHeading"/>
              <w:suppressLineNumbers/>
              <w:shd w:fill="434C5E" w:val="clear"/>
              <w:bidi w:val="0"/>
              <w:spacing w:before="120" w:after="120"/>
              <w:jc w:val="left"/>
              <w:rPr/>
            </w:pPr>
            <w:r>
              <w:rPr/>
              <w:t>Reaches a subagent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SubagentStart</w:t>
            </w:r>
          </w:p>
        </w:tc>
        <w:tc>
          <w:tcPr>
            <w:tcW w:w="2932" w:type="dxa"/>
            <w:tcBorders/>
            <w:vAlign w:val="center"/>
          </w:tcPr>
          <w:p>
            <w:pPr>
              <w:pStyle w:val="TableContents"/>
              <w:shd w:fill="2E3440" w:val="clear"/>
              <w:bidi w:val="0"/>
              <w:spacing w:before="120" w:after="120"/>
              <w:jc w:val="left"/>
              <w:rPr/>
            </w:pPr>
            <w:r>
              <w:rPr/>
              <w:t>n/a</w:t>
            </w:r>
          </w:p>
        </w:tc>
        <w:tc>
          <w:tcPr>
            <w:tcW w:w="2505"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5" w:name="where-recall-comes-from"/>
      <w:bookmarkEnd w:id="15"/>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6" w:name="the-seeded-note-proof"/>
      <w:bookmarkEnd w:id="16"/>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7" w:name="measured-against-the-real-vault_opspy-re"/>
      <w:bookmarkEnd w:id="17"/>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8" w:name="reading-stats"/>
      <w:bookmarkEnd w:id="18"/>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