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10" w:type="dxa"/>
        <w:jc w:val="left"/>
        <w:tblInd w:w="0" w:type="dxa"/>
        <w:tblLayout w:type="fixed"/>
        <w:tblCellMar>
          <w:top w:w="28" w:type="dxa"/>
          <w:left w:w="28" w:type="dxa"/>
          <w:bottom w:w="28" w:type="dxa"/>
          <w:right w:w="28" w:type="dxa"/>
        </w:tblCellMar>
      </w:tblPr>
      <w:tblGrid>
        <w:gridCol w:w="2116"/>
        <w:gridCol w:w="2446"/>
        <w:gridCol w:w="2131"/>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31"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31"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31"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31"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31"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31"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31"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31"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31"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31"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p>
        </w:tc>
        <w:tc>
          <w:tcPr>
            <w:tcW w:w="2131"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31" w:type="dxa"/>
            <w:tcBorders/>
            <w:vAlign w:val="center"/>
          </w:tcPr>
          <w:p>
            <w:pPr>
              <w:pStyle w:val="TableContents"/>
              <w:shd w:fill="2E3440" w:val="clear"/>
              <w:bidi w:val="0"/>
              <w:spacing w:before="120" w:after="120"/>
              <w:jc w:val="left"/>
              <w:rPr/>
            </w:pPr>
            <w:r>
              <w:rPr>
                <w:rStyle w:val="SourceText"/>
              </w:rPr>
              <w:t>none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31"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31"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31"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and review the merged head.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gate the merged head again (</w:t>
      </w:r>
      <w:r>
        <w:rPr>
          <w:rStyle w:val="SourceText"/>
        </w:rPr>
        <w:t>/crew:review</w:t>
      </w:r>
      <w:r>
        <w:rPr/>
        <w:t xml:space="preserve">), then </w:t>
      </w:r>
      <w:r>
        <w:rPr>
          <w:rStyle w:val="SourceText"/>
        </w:rPr>
        <w:t>check-land</w:t>
      </w:r>
      <w:r>
        <w:rPr/>
        <w:t xml:space="preserve"> again.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The shell and PowerShell readers (</w:t>
      </w:r>
      <w:r>
        <w:rPr>
          <w:rStyle w:val="SourceText"/>
        </w:rPr>
        <w:t>verify-gate.sh</w:t>
      </w:r>
      <w:r>
        <w:rPr/>
        <w:t xml:space="preserve">, </w:t>
      </w:r>
      <w:r>
        <w:rPr>
          <w:rStyle w:val="SourceText"/>
        </w:rPr>
        <w:t>_common.sh</w:t>
      </w:r>
      <w:r>
        <w:rPr/>
        <w:t xml:space="preserve">, </w:t>
      </w:r>
      <w:r>
        <w:rPr>
          <w:rStyle w:val="SourceText"/>
        </w:rPr>
        <w:t>notify.sh</w:t>
      </w:r>
      <w:r>
        <w:rPr/>
        <w:t xml:space="preserve">, the handoff scripts, </w:t>
      </w:r>
      <w:r>
        <w:rPr>
          <w:rStyle w:val="SourceText"/>
        </w:rPr>
        <w:t>promote-gate.ps1</w:t>
      </w:r>
      <w:r>
        <w:rPr/>
        <w:t xml:space="preserve">, </w:t>
      </w:r>
      <w:r>
        <w:rPr>
          <w:rStyle w:val="SourceText"/>
        </w:rPr>
        <w:t>scope-guard.ps1</w:t>
      </w:r>
      <w:r>
        <w:rPr/>
        <w:t xml:space="preserve">, </w:t>
      </w:r>
      <w:r>
        <w:rPr>
          <w:rStyle w:val="SourceText"/>
        </w:rPr>
        <w:t>cloud-guard.ps1</w:t>
      </w:r>
      <w:r>
        <w:rPr/>
        <w:t xml:space="preserve">, </w:t>
      </w:r>
      <w:r>
        <w:rPr>
          <w:rStyle w:val="SourceText"/>
        </w:rPr>
        <w:t>auto-clear.ps1</w:t>
      </w:r>
      <w:r>
        <w:rPr/>
        <w:t xml:space="preserve">) do not inherit yet.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promote-gate-blocks-a-worktree-deploy"/>
      <w:bookmarkEnd w:id="5"/>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5"/>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5"/>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5"/>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5"/>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5"/>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5"/>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5"/>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5"/>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6" w:name="cloud-guard-false-positives"/>
      <w:bookmarkEnd w:id="6"/>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6"/>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6"/>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6"/>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7" w:name="obsidian"/>
      <w:bookmarkEnd w:id="7"/>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7"/>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7"/>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8"/>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8"/>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8"/>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8"/>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8"/>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8" w:name="auto-wrap-up-clear-and-resume"/>
      <w:bookmarkEnd w:id="8"/>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9" w:name="auto-clear-did-nothing-on-windows"/>
      <w:bookmarkEnd w:id="9"/>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19"/>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19"/>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19"/>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0" w:name="claude-code-compacted-by-itself"/>
      <w:bookmarkEnd w:id="10"/>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1" w:name="turning-things-off"/>
      <w:bookmarkEnd w:id="11"/>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10" w:type="dxa"/>
        <w:jc w:val="left"/>
        <w:tblInd w:w="0" w:type="dxa"/>
        <w:tblLayout w:type="fixed"/>
        <w:tblCellMar>
          <w:top w:w="28" w:type="dxa"/>
          <w:left w:w="28" w:type="dxa"/>
          <w:bottom w:w="28" w:type="dxa"/>
          <w:right w:w="28" w:type="dxa"/>
        </w:tblCellMar>
      </w:tblPr>
      <w:tblGrid>
        <w:gridCol w:w="4730"/>
        <w:gridCol w:w="1699"/>
        <w:gridCol w:w="1841"/>
        <w:gridCol w:w="3540"/>
      </w:tblGrid>
      <w:tr>
        <w:trPr>
          <w:tblHeader w:val="true"/>
        </w:trPr>
        <w:tc>
          <w:tcPr>
            <w:tcW w:w="4730" w:type="dxa"/>
            <w:tcBorders/>
            <w:vAlign w:val="center"/>
          </w:tcPr>
          <w:p>
            <w:pPr>
              <w:pStyle w:val="TableHeading"/>
              <w:suppressLineNumbers/>
              <w:shd w:fill="434C5E" w:val="clear"/>
              <w:bidi w:val="0"/>
              <w:spacing w:before="120" w:after="120"/>
              <w:jc w:val="left"/>
              <w:rPr/>
            </w:pPr>
            <w:r>
              <w:rPr/>
              <w:t>Key</w:t>
            </w:r>
          </w:p>
        </w:tc>
        <w:tc>
          <w:tcPr>
            <w:tcW w:w="1699" w:type="dxa"/>
            <w:tcBorders/>
            <w:vAlign w:val="center"/>
          </w:tcPr>
          <w:p>
            <w:pPr>
              <w:pStyle w:val="TableHeading"/>
              <w:suppressLineNumbers/>
              <w:shd w:fill="434C5E" w:val="clear"/>
              <w:bidi w:val="0"/>
              <w:spacing w:before="120" w:after="120"/>
              <w:jc w:val="left"/>
              <w:rPr/>
            </w:pPr>
            <w:r>
              <w:rPr/>
              <w:t>Lives in</w:t>
            </w:r>
          </w:p>
        </w:tc>
        <w:tc>
          <w:tcPr>
            <w:tcW w:w="1841" w:type="dxa"/>
            <w:tcBorders/>
            <w:vAlign w:val="center"/>
          </w:tcPr>
          <w:p>
            <w:pPr>
              <w:pStyle w:val="TableHeading"/>
              <w:suppressLineNumbers/>
              <w:shd w:fill="434C5E" w:val="clear"/>
              <w:bidi w:val="0"/>
              <w:spacing w:before="120" w:after="120"/>
              <w:jc w:val="left"/>
              <w:rPr/>
            </w:pPr>
            <w:r>
              <w:rPr/>
              <w:t>Values</w:t>
            </w:r>
          </w:p>
        </w:tc>
        <w:tc>
          <w:tcPr>
            <w:tcW w:w="3540" w:type="dxa"/>
            <w:tcBorders/>
            <w:vAlign w:val="center"/>
          </w:tcPr>
          <w:p>
            <w:pPr>
              <w:pStyle w:val="TableHeading"/>
              <w:suppressLineNumbers/>
              <w:shd w:fill="434C5E" w:val="clear"/>
              <w:bidi w:val="0"/>
              <w:spacing w:before="120" w:after="120"/>
              <w:jc w:val="left"/>
              <w:rPr/>
            </w:pPr>
            <w:r>
              <w:rPr/>
              <w:t>What "off"/floor means</w:t>
            </w:r>
          </w:p>
        </w:tc>
      </w:tr>
      <w:tr>
        <w:trPr/>
        <w:tc>
          <w:tcPr>
            <w:tcW w:w="4730" w:type="dxa"/>
            <w:tcBorders/>
            <w:vAlign w:val="center"/>
          </w:tcPr>
          <w:p>
            <w:pPr>
              <w:pStyle w:val="TableContents"/>
              <w:shd w:fill="2E3440" w:val="clear"/>
              <w:bidi w:val="0"/>
              <w:spacing w:before="120" w:after="120"/>
              <w:jc w:val="left"/>
              <w:rPr/>
            </w:pPr>
            <w:r>
              <w:rPr>
                <w:rStyle w:val="SourceText"/>
              </w:rPr>
              <w:t>memory.inject</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730" w:type="dxa"/>
            <w:tcBorders/>
            <w:vAlign w:val="center"/>
          </w:tcPr>
          <w:p>
            <w:pPr>
              <w:pStyle w:val="TableContents"/>
              <w:shd w:fill="2E3440" w:val="clear"/>
              <w:bidi w:val="0"/>
              <w:spacing w:before="120" w:after="120"/>
              <w:jc w:val="left"/>
              <w:rPr/>
            </w:pPr>
            <w:r>
              <w:rPr>
                <w:rStyle w:val="SourceText"/>
              </w:rPr>
              <w:t>guards.cloudGuard</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730" w:type="dxa"/>
            <w:tcBorders/>
            <w:vAlign w:val="center"/>
          </w:tcPr>
          <w:p>
            <w:pPr>
              <w:pStyle w:val="TableContents"/>
              <w:shd w:fill="2E3440" w:val="clear"/>
              <w:bidi w:val="0"/>
              <w:spacing w:before="120" w:after="120"/>
              <w:jc w:val="left"/>
              <w:rPr/>
            </w:pPr>
            <w:r>
              <w:rPr>
                <w:rStyle w:val="SourceText"/>
              </w:rPr>
              <w:t>guards.roleWrites</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730"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54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730"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730" w:type="dxa"/>
            <w:tcBorders/>
            <w:vAlign w:val="center"/>
          </w:tcPr>
          <w:p>
            <w:pPr>
              <w:pStyle w:val="TableContents"/>
              <w:shd w:fill="2E3440" w:val="clear"/>
              <w:bidi w:val="0"/>
              <w:spacing w:before="120" w:after="120"/>
              <w:jc w:val="left"/>
              <w:rPr/>
            </w:pPr>
            <w:r>
              <w:rPr>
                <w:rStyle w:val="SourceText"/>
              </w:rPr>
              <w:t>scope.mode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54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730" w:type="dxa"/>
            <w:tcBorders/>
            <w:vAlign w:val="center"/>
          </w:tcPr>
          <w:p>
            <w:pPr>
              <w:pStyle w:val="TableContents"/>
              <w:shd w:fill="2E3440" w:val="clear"/>
              <w:bidi w:val="0"/>
              <w:spacing w:before="120" w:after="120"/>
              <w:jc w:val="left"/>
              <w:rPr/>
            </w:pPr>
            <w:r>
              <w:rPr>
                <w:rStyle w:val="SourceText"/>
              </w:rPr>
              <w:t>scope.allowCliApproval</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730" w:type="dxa"/>
            <w:tcBorders/>
            <w:vAlign w:val="center"/>
          </w:tcPr>
          <w:p>
            <w:pPr>
              <w:pStyle w:val="TableContents"/>
              <w:shd w:fill="2E3440" w:val="clear"/>
              <w:bidi w:val="0"/>
              <w:spacing w:before="120" w:after="120"/>
              <w:jc w:val="left"/>
              <w:rPr/>
            </w:pPr>
            <w:r>
              <w:rPr>
                <w:rStyle w:val="SourceText"/>
              </w:rPr>
              <w:t>verifyGate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730" w:type="dxa"/>
            <w:tcBorders/>
            <w:vAlign w:val="center"/>
          </w:tcPr>
          <w:p>
            <w:pPr>
              <w:pStyle w:val="TableContents"/>
              <w:shd w:fill="2E3440" w:val="clear"/>
              <w:bidi w:val="0"/>
              <w:spacing w:before="120" w:after="120"/>
              <w:jc w:val="left"/>
              <w:rPr/>
            </w:pPr>
            <w:r>
              <w:rPr>
                <w:rStyle w:val="SourceText"/>
              </w:rPr>
              <w:t>context.enabled</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730"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730" w:type="dxa"/>
            <w:tcBorders/>
            <w:vAlign w:val="center"/>
          </w:tcPr>
          <w:p>
            <w:pPr>
              <w:pStyle w:val="TableContents"/>
              <w:shd w:fill="2E3440" w:val="clear"/>
              <w:bidi w:val="0"/>
              <w:spacing w:before="120" w:after="120"/>
              <w:jc w:val="left"/>
              <w:rPr/>
            </w:pPr>
            <w:r>
              <w:rPr>
                <w:rStyle w:val="SourceText"/>
              </w:rPr>
              <w:t>notify.provider</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730" w:type="dxa"/>
            <w:tcBorders/>
            <w:vAlign w:val="center"/>
          </w:tcPr>
          <w:p>
            <w:pPr>
              <w:pStyle w:val="TableContents"/>
              <w:shd w:fill="2E3440" w:val="clear"/>
              <w:bidi w:val="0"/>
              <w:spacing w:before="120" w:after="120"/>
              <w:jc w:val="left"/>
              <w:rPr/>
            </w:pPr>
            <w:r>
              <w:rPr>
                <w:rStyle w:val="SourceText"/>
              </w:rPr>
              <w:t>change.requireForProduction</w:t>
            </w:r>
          </w:p>
        </w:tc>
        <w:tc>
          <w:tcPr>
            <w:tcW w:w="1699" w:type="dxa"/>
            <w:tcBorders/>
            <w:vAlign w:val="center"/>
          </w:tcPr>
          <w:p>
            <w:pPr>
              <w:pStyle w:val="TableContents"/>
              <w:shd w:fill="2E3440" w:val="clear"/>
              <w:bidi w:val="0"/>
              <w:spacing w:before="120" w:after="120"/>
              <w:jc w:val="left"/>
              <w:rPr/>
            </w:pPr>
            <w:r>
              <w:rPr/>
              <w:t>both layers, ratchets (may only turn ON)</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730" w:type="dxa"/>
            <w:tcBorders/>
            <w:vAlign w:val="center"/>
          </w:tcPr>
          <w:p>
            <w:pPr>
              <w:pStyle w:val="TableContents"/>
              <w:shd w:fill="2E3440" w:val="clear"/>
              <w:bidi w:val="0"/>
              <w:spacing w:before="120" w:after="120"/>
              <w:jc w:val="left"/>
              <w:rPr/>
            </w:pPr>
            <w:r>
              <w:rPr>
                <w:rStyle w:val="SourceText"/>
              </w:rPr>
              <w:t>install.policy</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54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2" w:name="web-testing"/>
      <w:bookmarkEnd w:id="12"/>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0"/>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0"/>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0"/>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0"/>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3" w:name="windows-notes"/>
      <w:bookmarkEnd w:id="13"/>
      <w:r>
        <w:rPr/>
        <w:t>Windows Notes</w:t>
      </w:r>
    </w:p>
    <w:p>
      <w:pPr>
        <w:pStyle w:val="BodyText"/>
        <w:numPr>
          <w:ilvl w:val="0"/>
          <w:numId w:val="21"/>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1"/>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1"/>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1"/>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4" w:name="auto-wrap-up-auto-clear-and-auto-resume"/>
      <w:bookmarkEnd w:id="14"/>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5" w:name="what-the-cycle-does"/>
      <w:bookmarkEnd w:id="15"/>
      <w:r>
        <w:rPr/>
        <w:t>What the Cycle Does</w:t>
      </w:r>
    </w:p>
    <w:p>
      <w:pPr>
        <w:pStyle w:val="BodyText"/>
        <w:numPr>
          <w:ilvl w:val="0"/>
          <w:numId w:val="22"/>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22"/>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6" w:name="turning-it-on-and-off"/>
      <w:bookmarkEnd w:id="16"/>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10" w:type="dxa"/>
        <w:jc w:val="left"/>
        <w:tblInd w:w="0" w:type="dxa"/>
        <w:tblLayout w:type="fixed"/>
        <w:tblCellMar>
          <w:top w:w="28" w:type="dxa"/>
          <w:left w:w="28" w:type="dxa"/>
          <w:bottom w:w="28" w:type="dxa"/>
          <w:right w:w="28" w:type="dxa"/>
        </w:tblCellMar>
      </w:tblPr>
      <w:tblGrid>
        <w:gridCol w:w="2554"/>
        <w:gridCol w:w="4096"/>
        <w:gridCol w:w="1859"/>
        <w:gridCol w:w="3301"/>
      </w:tblGrid>
      <w:tr>
        <w:trPr>
          <w:tblHeader w:val="true"/>
        </w:trPr>
        <w:tc>
          <w:tcPr>
            <w:tcW w:w="2554"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859" w:type="dxa"/>
            <w:tcBorders/>
            <w:vAlign w:val="center"/>
          </w:tcPr>
          <w:p>
            <w:pPr>
              <w:pStyle w:val="TableHeading"/>
              <w:suppressLineNumbers/>
              <w:shd w:fill="434C5E" w:val="clear"/>
              <w:bidi w:val="0"/>
              <w:spacing w:before="120" w:after="120"/>
              <w:jc w:val="left"/>
              <w:rPr/>
            </w:pPr>
            <w:r>
              <w:rPr/>
              <w:t>Value</w:t>
            </w:r>
          </w:p>
        </w:tc>
        <w:tc>
          <w:tcPr>
            <w:tcW w:w="3301" w:type="dxa"/>
            <w:tcBorders/>
            <w:vAlign w:val="center"/>
          </w:tcPr>
          <w:p>
            <w:pPr>
              <w:pStyle w:val="TableHeading"/>
              <w:suppressLineNumbers/>
              <w:shd w:fill="434C5E" w:val="clear"/>
              <w:bidi w:val="0"/>
              <w:spacing w:before="120" w:after="120"/>
              <w:jc w:val="left"/>
              <w:rPr/>
            </w:pPr>
            <w:r>
              <w:rPr/>
              <w:t>Effect</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85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301"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859" w:type="dxa"/>
            <w:tcBorders/>
            <w:vAlign w:val="center"/>
          </w:tcPr>
          <w:p>
            <w:pPr>
              <w:pStyle w:val="TableContents"/>
              <w:shd w:fill="2E3440" w:val="clear"/>
              <w:bidi w:val="0"/>
              <w:spacing w:before="120" w:after="120"/>
              <w:jc w:val="left"/>
              <w:rPr/>
            </w:pPr>
            <w:r>
              <w:rPr/>
              <w:t>a substring of the terminal's title</w:t>
            </w:r>
          </w:p>
        </w:tc>
        <w:tc>
          <w:tcPr>
            <w:tcW w:w="3301"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859" w:type="dxa"/>
            <w:tcBorders/>
            <w:vAlign w:val="center"/>
          </w:tcPr>
          <w:p>
            <w:pPr>
              <w:pStyle w:val="TableContents"/>
              <w:shd w:fill="2E3440" w:val="clear"/>
              <w:bidi w:val="0"/>
              <w:spacing w:before="120" w:after="120"/>
              <w:jc w:val="left"/>
              <w:rPr/>
            </w:pPr>
            <w:r>
              <w:rPr>
                <w:rStyle w:val="SourceText"/>
              </w:rPr>
              <w:t>3</w:t>
            </w:r>
          </w:p>
        </w:tc>
        <w:tc>
          <w:tcPr>
            <w:tcW w:w="3301" w:type="dxa"/>
            <w:tcBorders/>
            <w:vAlign w:val="center"/>
          </w:tcPr>
          <w:p>
            <w:pPr>
              <w:pStyle w:val="TableContents"/>
              <w:shd w:fill="2E3440" w:val="clear"/>
              <w:bidi w:val="0"/>
              <w:spacing w:before="120" w:after="120"/>
              <w:jc w:val="left"/>
              <w:rPr/>
            </w:pPr>
            <w:r>
              <w:rPr/>
              <w:t>wait before typing, so the prompt exists</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859" w:type="dxa"/>
            <w:tcBorders/>
            <w:vAlign w:val="center"/>
          </w:tcPr>
          <w:p>
            <w:pPr>
              <w:pStyle w:val="TableContents"/>
              <w:shd w:fill="2E3440" w:val="clear"/>
              <w:bidi w:val="0"/>
              <w:spacing w:before="120" w:after="120"/>
              <w:jc w:val="left"/>
              <w:rPr/>
            </w:pPr>
            <w:r>
              <w:rPr>
                <w:rStyle w:val="SourceText"/>
              </w:rPr>
              <w:t>5</w:t>
            </w:r>
          </w:p>
        </w:tc>
        <w:tc>
          <w:tcPr>
            <w:tcW w:w="3301" w:type="dxa"/>
            <w:tcBorders/>
            <w:vAlign w:val="center"/>
          </w:tcPr>
          <w:p>
            <w:pPr>
              <w:pStyle w:val="TableContents"/>
              <w:shd w:fill="2E3440" w:val="clear"/>
              <w:bidi w:val="0"/>
              <w:spacing w:before="120" w:after="120"/>
              <w:jc w:val="left"/>
              <w:rPr/>
            </w:pPr>
            <w:r>
              <w:rPr/>
              <w:t>a shorter handoff counts as a stub</w:t>
            </w:r>
          </w:p>
        </w:tc>
      </w:tr>
      <w:tr>
        <w:trPr/>
        <w:tc>
          <w:tcPr>
            <w:tcW w:w="2554"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4"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7" w:name="arming-one-scratch-repo-while-other-sess"/>
      <w:bookmarkEnd w:id="17"/>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3"/>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3"/>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3"/>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3"/>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3"/>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3"/>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8" w:name="which-method-and-what-it-does"/>
      <w:bookmarkEnd w:id="18"/>
      <w:r>
        <w:rPr/>
        <w:t>Which Method, and What It Does</w:t>
      </w:r>
    </w:p>
    <w:tbl>
      <w:tblPr>
        <w:tblW w:w="11810" w:type="dxa"/>
        <w:jc w:val="left"/>
        <w:tblInd w:w="0" w:type="dxa"/>
        <w:tblLayout w:type="fixed"/>
        <w:tblCellMar>
          <w:top w:w="28" w:type="dxa"/>
          <w:left w:w="28" w:type="dxa"/>
          <w:bottom w:w="28" w:type="dxa"/>
          <w:right w:w="28" w:type="dxa"/>
        </w:tblCellMar>
      </w:tblPr>
      <w:tblGrid>
        <w:gridCol w:w="1186"/>
        <w:gridCol w:w="8225"/>
        <w:gridCol w:w="2399"/>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25" w:type="dxa"/>
            <w:tcBorders/>
            <w:vAlign w:val="center"/>
          </w:tcPr>
          <w:p>
            <w:pPr>
              <w:pStyle w:val="TableHeading"/>
              <w:suppressLineNumbers/>
              <w:shd w:fill="434C5E" w:val="clear"/>
              <w:bidi w:val="0"/>
              <w:spacing w:before="120" w:after="120"/>
              <w:jc w:val="left"/>
              <w:rPr/>
            </w:pPr>
            <w:r>
              <w:rPr/>
              <w:t>What it does</w:t>
            </w:r>
          </w:p>
        </w:tc>
        <w:tc>
          <w:tcPr>
            <w:tcW w:w="2399"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25"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399"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25"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399"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25"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99"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25"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99"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25" w:type="dxa"/>
            <w:tcBorders/>
            <w:vAlign w:val="center"/>
          </w:tcPr>
          <w:p>
            <w:pPr>
              <w:pStyle w:val="TableContents"/>
              <w:shd w:fill="2E3440" w:val="clear"/>
              <w:bidi w:val="0"/>
              <w:spacing w:before="120" w:after="120"/>
              <w:jc w:val="left"/>
              <w:rPr/>
            </w:pPr>
            <w:r>
              <w:rPr/>
              <w:t>Refused outright.</w:t>
            </w:r>
          </w:p>
        </w:tc>
        <w:tc>
          <w:tcPr>
            <w:tcW w:w="2399"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19" w:name="when-it-will-not-clear-or-notify"/>
      <w:bookmarkEnd w:id="19"/>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10" w:type="dxa"/>
        <w:jc w:val="left"/>
        <w:tblInd w:w="0" w:type="dxa"/>
        <w:tblLayout w:type="fixed"/>
        <w:tblCellMar>
          <w:top w:w="28" w:type="dxa"/>
          <w:left w:w="28" w:type="dxa"/>
          <w:bottom w:w="28" w:type="dxa"/>
          <w:right w:w="28" w:type="dxa"/>
        </w:tblCellMar>
      </w:tblPr>
      <w:tblGrid>
        <w:gridCol w:w="5490"/>
        <w:gridCol w:w="6320"/>
      </w:tblGrid>
      <w:tr>
        <w:trPr>
          <w:tblHeader w:val="true"/>
        </w:trPr>
        <w:tc>
          <w:tcPr>
            <w:tcW w:w="5490" w:type="dxa"/>
            <w:tcBorders/>
            <w:vAlign w:val="center"/>
          </w:tcPr>
          <w:p>
            <w:pPr>
              <w:pStyle w:val="TableHeading"/>
              <w:suppressLineNumbers/>
              <w:shd w:fill="434C5E" w:val="clear"/>
              <w:bidi w:val="0"/>
              <w:spacing w:before="120" w:after="120"/>
              <w:jc w:val="left"/>
              <w:rPr/>
            </w:pPr>
            <w:r>
              <w:rPr/>
              <w:t>Log says</w:t>
            </w:r>
          </w:p>
        </w:tc>
        <w:tc>
          <w:tcPr>
            <w:tcW w:w="6320" w:type="dxa"/>
            <w:tcBorders/>
            <w:vAlign w:val="center"/>
          </w:tcPr>
          <w:p>
            <w:pPr>
              <w:pStyle w:val="TableHeading"/>
              <w:suppressLineNumbers/>
              <w:shd w:fill="434C5E" w:val="clear"/>
              <w:bidi w:val="0"/>
              <w:spacing w:before="120" w:after="120"/>
              <w:jc w:val="left"/>
              <w:rPr/>
            </w:pPr>
            <w:r>
              <w:rPr/>
              <w:t>Meaning</w:t>
            </w:r>
          </w:p>
        </w:tc>
      </w:tr>
      <w:tr>
        <w:trPr/>
        <w:tc>
          <w:tcPr>
            <w:tcW w:w="5490"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320"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90" w:type="dxa"/>
            <w:tcBorders/>
            <w:vAlign w:val="center"/>
          </w:tcPr>
          <w:p>
            <w:pPr>
              <w:pStyle w:val="TableContents"/>
              <w:shd w:fill="2E3440" w:val="clear"/>
              <w:bidi w:val="0"/>
              <w:spacing w:before="120" w:after="120"/>
              <w:jc w:val="left"/>
              <w:rPr/>
            </w:pPr>
            <w:r>
              <w:rPr>
                <w:rStyle w:val="SourceText"/>
              </w:rPr>
              <w:t>not trustworthy (unknown-window)</w:t>
            </w:r>
          </w:p>
        </w:tc>
        <w:tc>
          <w:tcPr>
            <w:tcW w:w="6320"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90"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320" w:type="dxa"/>
            <w:tcBorders/>
            <w:vAlign w:val="center"/>
          </w:tcPr>
          <w:p>
            <w:pPr>
              <w:pStyle w:val="TableContents"/>
              <w:shd w:fill="2E3440" w:val="clear"/>
              <w:bidi w:val="0"/>
              <w:spacing w:before="120" w:after="120"/>
              <w:jc w:val="left"/>
              <w:rPr/>
            </w:pPr>
            <w:r>
              <w:rPr/>
              <w:t>the last reading came from before a compaction</w:t>
            </w:r>
          </w:p>
        </w:tc>
      </w:tr>
      <w:tr>
        <w:trPr/>
        <w:tc>
          <w:tcPr>
            <w:tcW w:w="5490" w:type="dxa"/>
            <w:tcBorders/>
            <w:vAlign w:val="center"/>
          </w:tcPr>
          <w:p>
            <w:pPr>
              <w:pStyle w:val="TableContents"/>
              <w:shd w:fill="2E3440" w:val="clear"/>
              <w:bidi w:val="0"/>
              <w:spacing w:before="120" w:after="120"/>
              <w:jc w:val="left"/>
              <w:rPr/>
            </w:pPr>
            <w:r>
              <w:rPr>
                <w:rStyle w:val="SourceText"/>
              </w:rPr>
              <w:t>the wrap-up marker is empty or not JSON</w:t>
            </w:r>
          </w:p>
        </w:tc>
        <w:tc>
          <w:tcPr>
            <w:tcW w:w="6320"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90" w:type="dxa"/>
            <w:tcBorders/>
            <w:vAlign w:val="center"/>
          </w:tcPr>
          <w:p>
            <w:pPr>
              <w:pStyle w:val="TableContents"/>
              <w:shd w:fill="2E3440" w:val="clear"/>
              <w:bidi w:val="0"/>
              <w:spacing w:before="120" w:after="120"/>
              <w:jc w:val="left"/>
              <w:rPr/>
            </w:pPr>
            <w:r>
              <w:rPr>
                <w:rStyle w:val="SourceText"/>
              </w:rPr>
              <w:t>predates this session's wrap-up request</w:t>
            </w:r>
          </w:p>
        </w:tc>
        <w:tc>
          <w:tcPr>
            <w:tcW w:w="6320"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90" w:type="dxa"/>
            <w:tcBorders/>
            <w:vAlign w:val="center"/>
          </w:tcPr>
          <w:p>
            <w:pPr>
              <w:pStyle w:val="TableContents"/>
              <w:shd w:fill="2E3440" w:val="clear"/>
              <w:bidi w:val="0"/>
              <w:spacing w:before="120" w:after="120"/>
              <w:jc w:val="left"/>
              <w:rPr/>
            </w:pPr>
            <w:r>
              <w:rPr>
                <w:rStyle w:val="SourceText"/>
              </w:rPr>
              <w:t>automatic PreCompact skeleton</w:t>
            </w:r>
          </w:p>
        </w:tc>
        <w:tc>
          <w:tcPr>
            <w:tcW w:w="6320"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90"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320"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6320"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tmux pane %N could not be confirmed</w:t>
            </w:r>
          </w:p>
        </w:tc>
        <w:tc>
          <w:tcPr>
            <w:tcW w:w="6320"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90" w:type="dxa"/>
            <w:tcBorders/>
            <w:vAlign w:val="center"/>
          </w:tcPr>
          <w:p>
            <w:pPr>
              <w:pStyle w:val="TableContents"/>
              <w:shd w:fill="2E3440" w:val="clear"/>
              <w:bidi w:val="0"/>
              <w:spacing w:before="120" w:after="120"/>
              <w:jc w:val="left"/>
              <w:rPr/>
            </w:pPr>
            <w:r>
              <w:rPr>
                <w:rStyle w:val="SourceText"/>
              </w:rPr>
              <w:t>method wtype ... is refused</w:t>
            </w:r>
          </w:p>
        </w:tc>
        <w:tc>
          <w:tcPr>
            <w:tcW w:w="6320"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90" w:type="dxa"/>
            <w:tcBorders/>
            <w:vAlign w:val="center"/>
          </w:tcPr>
          <w:p>
            <w:pPr>
              <w:pStyle w:val="TableContents"/>
              <w:shd w:fill="2E3440" w:val="clear"/>
              <w:bidi w:val="0"/>
              <w:spacing w:before="120" w:after="120"/>
              <w:jc w:val="left"/>
              <w:rPr/>
            </w:pPr>
            <w:r>
              <w:rPr>
                <w:rStyle w:val="SourceText"/>
              </w:rPr>
              <w:t>sent - method notify</w:t>
            </w:r>
          </w:p>
        </w:tc>
        <w:tc>
          <w:tcPr>
            <w:tcW w:w="6320"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90"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320"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90"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320"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0" w:name="which-window-gets-the-keystroke"/>
      <w:bookmarkEnd w:id="20"/>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24"/>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24"/>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24"/>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