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clean verify gate, and a passing completion audit.</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(Files/Test/Risk/Standards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w:t>
      </w:r>
    </w:p>
    <w:p>
      <w:pPr>
        <w:pStyle w:val="BodyText"/>
        <w:bidi w:val="0"/>
        <w:jc w:val="left"/>
        <w:rPr/>
      </w:pPr>
      <w:r>
        <w:rPr>
          <w:rStyle w:val="Strong"/>
        </w:rPr>
        <w:t>6b. The standards self-check.</w:t>
      </w:r>
      <w:r>
        <w:rPr/>
        <w:t xml:space="preserve"> Before the review, the session answers every development standard in the effective set (crew's generic GEN standards, any per-language set a changed file matches, and this repository's </w:t>
      </w:r>
      <w:r>
        <w:rPr>
          <w:rStyle w:val="SourceText"/>
        </w:rPr>
        <w:t>.crew/standards.md</w:t>
      </w:r>
      <w:r>
        <w:rPr/>
        <w:t xml:space="preserve"> overlay) in </w:t>
      </w:r>
      <w:r>
        <w:rPr>
          <w:rStyle w:val="SourceText"/>
        </w:rPr>
        <w:t>.work/tickets/T-0091/selfcheck.md</w:t>
      </w:r>
      <w:r>
        <w:rPr/>
        <w:t xml:space="preserve">: </w:t>
      </w:r>
      <w:r>
        <w:rPr>
          <w:rStyle w:val="SourceText"/>
        </w:rPr>
        <w:t>addressed</w:t>
      </w:r>
      <w:r>
        <w:rPr/>
        <w:t xml:space="preserve"> with evidence, or </w:t>
      </w:r>
      <w:r>
        <w:rPr>
          <w:rStyle w:val="SourceText"/>
        </w:rPr>
        <w:t>n/a</w:t>
      </w:r>
      <w:r>
        <w:rPr/>
        <w:t xml:space="preserve"> with a reason. </w:t>
      </w:r>
      <w:r>
        <w:rPr>
          <w:rStyle w:val="SourceText"/>
        </w:rPr>
        <w:t>crew_standards.py stamp</w:t>
      </w:r>
      <w:r>
        <w:rPr/>
        <w:t xml:space="preserve"> refuses an incomplete answer sheet and binds a complete one to the exact review bundle, so any later edit needs a new stamp.</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docs and the self-check; without a current stamp the review refuses before it spends a round.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 xml:space="preserve">. Each round's findings go into a </w:t>
      </w:r>
      <w:r>
        <w:rPr>
          <w:rStyle w:val="SourceText"/>
        </w:rPr>
        <w:t>standards-proposals-r&lt;N&gt;.md</w:t>
      </w:r>
      <w:r>
        <w:rPr/>
        <w:t xml:space="preserve"> file, one row per finding; you approve or reject each proposed standard, and nothing is added to a standards file on its own.</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finds nothing outside scope. Any one failing refuses the close and names what to fix. On success it appends a metrics row, marks the ticket done, and clears a stale handoff.</w:t>
      </w:r>
    </w:p>
    <w:p>
      <w:pPr>
        <w:pStyle w:val="Heading2"/>
        <w:bidi w:val="0"/>
        <w:ind w:hanging="0" w:left="0" w:right="0"/>
        <w:jc w:val="left"/>
        <w:rPr/>
      </w:pPr>
      <w:bookmarkStart w:id="2" w:name="what-each-hook-does-in-order"/>
      <w:bookmarkEnd w:id="2"/>
      <w:r>
        <w:rPr/>
        <w:t>What Each Hook Does, in Order</w:t>
      </w:r>
    </w:p>
    <w:tbl>
      <w:tblPr>
        <w:tblW w:w="11339" w:type="dxa"/>
        <w:jc w:val="left"/>
        <w:tblInd w:w="28" w:type="dxa"/>
        <w:tblLayout w:type="fixed"/>
        <w:tblCellMar>
          <w:top w:w="28" w:type="dxa"/>
          <w:left w:w="28" w:type="dxa"/>
          <w:bottom w:w="28" w:type="dxa"/>
          <w:right w:w="28" w:type="dxa"/>
        </w:tblCellMar>
      </w:tblPr>
      <w:tblGrid>
        <w:gridCol w:w="1429"/>
        <w:gridCol w:w="3770"/>
        <w:gridCol w:w="6140"/>
      </w:tblGrid>
      <w:tr>
        <w:trPr>
          <w:tblHeader w:val="true"/>
        </w:trPr>
        <w:tc>
          <w:tcPr>
            <w:tcW w:w="1429" w:type="dxa"/>
            <w:tcBorders/>
            <w:vAlign w:val="center"/>
          </w:tcPr>
          <w:p>
            <w:pPr>
              <w:pStyle w:val="TableHeading"/>
              <w:suppressLineNumbers/>
              <w:shd w:fill="434C5E" w:val="clear"/>
              <w:bidi w:val="0"/>
              <w:spacing w:before="120" w:after="120"/>
              <w:jc w:val="left"/>
              <w:rPr/>
            </w:pPr>
            <w:r>
              <w:rPr/>
              <w:t>When</w:t>
            </w:r>
          </w:p>
        </w:tc>
        <w:tc>
          <w:tcPr>
            <w:tcW w:w="3770" w:type="dxa"/>
            <w:tcBorders/>
            <w:vAlign w:val="center"/>
          </w:tcPr>
          <w:p>
            <w:pPr>
              <w:pStyle w:val="TableHeading"/>
              <w:suppressLineNumbers/>
              <w:shd w:fill="434C5E" w:val="clear"/>
              <w:bidi w:val="0"/>
              <w:spacing w:before="120" w:after="120"/>
              <w:jc w:val="left"/>
              <w:rPr/>
            </w:pPr>
            <w:r>
              <w:rPr/>
              <w:t>Hook</w:t>
            </w:r>
          </w:p>
        </w:tc>
        <w:tc>
          <w:tcPr>
            <w:tcW w:w="6140" w:type="dxa"/>
            <w:tcBorders/>
            <w:vAlign w:val="center"/>
          </w:tcPr>
          <w:p>
            <w:pPr>
              <w:pStyle w:val="TableHeading"/>
              <w:suppressLineNumbers/>
              <w:shd w:fill="434C5E" w:val="clear"/>
              <w:bidi w:val="0"/>
              <w:spacing w:before="120" w:after="120"/>
              <w:jc w:val="left"/>
              <w:rPr/>
            </w:pPr>
            <w:r>
              <w:rPr/>
              <w:t>Does</w:t>
            </w:r>
          </w:p>
        </w:tc>
      </w:tr>
      <w:tr>
        <w:trPr/>
        <w:tc>
          <w:tcPr>
            <w:tcW w:w="1429" w:type="dxa"/>
            <w:tcBorders/>
            <w:vAlign w:val="center"/>
          </w:tcPr>
          <w:p>
            <w:pPr>
              <w:pStyle w:val="TableContents"/>
              <w:shd w:fill="2E3440" w:val="clear"/>
              <w:bidi w:val="0"/>
              <w:spacing w:before="120" w:after="120"/>
              <w:jc w:val="left"/>
              <w:rPr/>
            </w:pPr>
            <w:r>
              <w:rPr/>
              <w:t>Every write</w:t>
            </w:r>
          </w:p>
        </w:tc>
        <w:tc>
          <w:tcPr>
            <w:tcW w:w="3770"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6140"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429" w:type="dxa"/>
            <w:tcBorders/>
            <w:vAlign w:val="center"/>
          </w:tcPr>
          <w:p>
            <w:pPr>
              <w:pStyle w:val="TableContents"/>
              <w:shd w:fill="2E3440" w:val="clear"/>
              <w:bidi w:val="0"/>
              <w:spacing w:before="120" w:after="120"/>
              <w:jc w:val="left"/>
              <w:rPr/>
            </w:pPr>
            <w:r>
              <w:rPr/>
              <w:t>End of turn</w:t>
            </w:r>
          </w:p>
        </w:tc>
        <w:tc>
          <w:tcPr>
            <w:tcW w:w="3770"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6140" w:type="dxa"/>
            <w:tcBorders/>
            <w:vAlign w:val="center"/>
          </w:tcPr>
          <w:p>
            <w:pPr>
              <w:pStyle w:val="TableContents"/>
              <w:shd w:fill="2E3440" w:val="clear"/>
              <w:bidi w:val="0"/>
              <w:spacing w:before="120" w:after="120"/>
              <w:jc w:val="left"/>
              <w:rPr/>
            </w:pPr>
            <w:r>
              <w:rPr/>
              <w:t>refuses to end the turn on a red check</w:t>
            </w:r>
          </w:p>
        </w:tc>
      </w:tr>
      <w:tr>
        <w:trPr/>
        <w:tc>
          <w:tcPr>
            <w:tcW w:w="1429" w:type="dxa"/>
            <w:tcBorders/>
            <w:vAlign w:val="center"/>
          </w:tcPr>
          <w:p>
            <w:pPr>
              <w:pStyle w:val="TableContents"/>
              <w:shd w:fill="2E3440" w:val="clear"/>
              <w:bidi w:val="0"/>
              <w:spacing w:before="120" w:after="120"/>
              <w:jc w:val="left"/>
              <w:rPr/>
            </w:pPr>
            <w:r>
              <w:rPr/>
              <w:t>End of turn</w:t>
            </w:r>
          </w:p>
        </w:tc>
        <w:tc>
          <w:tcPr>
            <w:tcW w:w="3770"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6140"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429" w:type="dxa"/>
            <w:tcBorders/>
            <w:vAlign w:val="center"/>
          </w:tcPr>
          <w:p>
            <w:pPr>
              <w:pStyle w:val="TableContents"/>
              <w:shd w:fill="2E3440" w:val="clear"/>
              <w:bidi w:val="0"/>
              <w:spacing w:before="120" w:after="120"/>
              <w:jc w:val="left"/>
              <w:rPr/>
            </w:pPr>
            <w:r>
              <w:rPr/>
              <w:t>Session start</w:t>
            </w:r>
          </w:p>
        </w:tc>
        <w:tc>
          <w:tcPr>
            <w:tcW w:w="3770" w:type="dxa"/>
            <w:tcBorders/>
            <w:vAlign w:val="center"/>
          </w:tcPr>
          <w:p>
            <w:pPr>
              <w:pStyle w:val="TableContents"/>
              <w:shd w:fill="2E3440" w:val="clear"/>
              <w:bidi w:val="0"/>
              <w:spacing w:before="120" w:after="120"/>
              <w:jc w:val="left"/>
              <w:rPr/>
            </w:pPr>
            <w:r>
              <w:rPr/>
              <w:t>context</w:t>
            </w:r>
          </w:p>
        </w:tc>
        <w:tc>
          <w:tcPr>
            <w:tcW w:w="6140"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if-something-refuses"/>
      <w:bookmarkEnd w:id="5"/>
      <w:r>
        <w:rPr/>
        <w:t>If Something Refuses</w:t>
      </w:r>
    </w:p>
    <w:tbl>
      <w:tblPr>
        <w:tblW w:w="11339" w:type="dxa"/>
        <w:jc w:val="left"/>
        <w:tblInd w:w="28" w:type="dxa"/>
        <w:tblLayout w:type="fixed"/>
        <w:tblCellMar>
          <w:top w:w="28" w:type="dxa"/>
          <w:left w:w="28" w:type="dxa"/>
          <w:bottom w:w="28" w:type="dxa"/>
          <w:right w:w="28" w:type="dxa"/>
        </w:tblCellMar>
      </w:tblPr>
      <w:tblGrid>
        <w:gridCol w:w="2608"/>
        <w:gridCol w:w="3171"/>
        <w:gridCol w:w="5560"/>
      </w:tblGrid>
      <w:tr>
        <w:trPr>
          <w:tblHeader w:val="true"/>
        </w:trPr>
        <w:tc>
          <w:tcPr>
            <w:tcW w:w="2608" w:type="dxa"/>
            <w:tcBorders/>
            <w:vAlign w:val="center"/>
          </w:tcPr>
          <w:p>
            <w:pPr>
              <w:pStyle w:val="TableHeading"/>
              <w:suppressLineNumbers/>
              <w:shd w:fill="434C5E" w:val="clear"/>
              <w:bidi w:val="0"/>
              <w:spacing w:before="120" w:after="120"/>
              <w:jc w:val="left"/>
              <w:rPr/>
            </w:pPr>
            <w:r>
              <w:rPr/>
              <w:t>Refusal</w:t>
            </w:r>
          </w:p>
        </w:tc>
        <w:tc>
          <w:tcPr>
            <w:tcW w:w="3171" w:type="dxa"/>
            <w:tcBorders/>
            <w:vAlign w:val="center"/>
          </w:tcPr>
          <w:p>
            <w:pPr>
              <w:pStyle w:val="TableHeading"/>
              <w:suppressLineNumbers/>
              <w:shd w:fill="434C5E" w:val="clear"/>
              <w:bidi w:val="0"/>
              <w:spacing w:before="120" w:after="120"/>
              <w:jc w:val="left"/>
              <w:rPr/>
            </w:pPr>
            <w:r>
              <w:rPr/>
              <w:t>Means</w:t>
            </w:r>
          </w:p>
        </w:tc>
        <w:tc>
          <w:tcPr>
            <w:tcW w:w="5560" w:type="dxa"/>
            <w:tcBorders/>
            <w:vAlign w:val="center"/>
          </w:tcPr>
          <w:p>
            <w:pPr>
              <w:pStyle w:val="TableHeading"/>
              <w:suppressLineNumbers/>
              <w:shd w:fill="434C5E" w:val="clear"/>
              <w:bidi w:val="0"/>
              <w:spacing w:before="120" w:after="120"/>
              <w:jc w:val="left"/>
              <w:rPr/>
            </w:pPr>
            <w:r>
              <w:rPr/>
              <w:t>Do</w:t>
            </w:r>
          </w:p>
        </w:tc>
      </w:tr>
      <w:tr>
        <w:trPr/>
        <w:tc>
          <w:tcPr>
            <w:tcW w:w="2608"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3171"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5560"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2608" w:type="dxa"/>
            <w:tcBorders/>
            <w:vAlign w:val="center"/>
          </w:tcPr>
          <w:p>
            <w:pPr>
              <w:pStyle w:val="TableContents"/>
              <w:shd w:fill="2E3440" w:val="clear"/>
              <w:bidi w:val="0"/>
              <w:spacing w:before="120" w:after="120"/>
              <w:jc w:val="left"/>
              <w:rPr/>
            </w:pPr>
            <w:r>
              <w:rPr/>
              <w:t>a write is blocked outside Touch</w:t>
            </w:r>
          </w:p>
        </w:tc>
        <w:tc>
          <w:tcPr>
            <w:tcW w:w="3171" w:type="dxa"/>
            <w:tcBorders/>
            <w:vAlign w:val="center"/>
          </w:tcPr>
          <w:p>
            <w:pPr>
              <w:pStyle w:val="TableContents"/>
              <w:shd w:fill="2E3440" w:val="clear"/>
              <w:bidi w:val="0"/>
              <w:spacing w:before="120" w:after="120"/>
              <w:jc w:val="left"/>
              <w:rPr/>
            </w:pPr>
            <w:r>
              <w:rPr/>
              <w:t>the file isn't in the spec's declared scope</w:t>
            </w:r>
          </w:p>
        </w:tc>
        <w:tc>
          <w:tcPr>
            <w:tcW w:w="5560"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2608" w:type="dxa"/>
            <w:tcBorders/>
            <w:vAlign w:val="center"/>
          </w:tcPr>
          <w:p>
            <w:pPr>
              <w:pStyle w:val="TableContents"/>
              <w:shd w:fill="2E3440" w:val="clear"/>
              <w:bidi w:val="0"/>
              <w:spacing w:before="120" w:after="120"/>
              <w:jc w:val="left"/>
              <w:rPr/>
            </w:pPr>
            <w:r>
              <w:rPr>
                <w:rStyle w:val="SourceText"/>
              </w:rPr>
              <w:t>/crew:review</w:t>
            </w:r>
            <w:r>
              <w:rPr/>
              <w:t xml:space="preserve"> exits 2 with </w:t>
            </w:r>
            <w:r>
              <w:rPr>
                <w:rStyle w:val="SourceText"/>
              </w:rPr>
              <w:t>review-run: self-check: ...</w:t>
            </w:r>
          </w:p>
        </w:tc>
        <w:tc>
          <w:tcPr>
            <w:tcW w:w="3171" w:type="dxa"/>
            <w:tcBorders/>
            <w:vAlign w:val="center"/>
          </w:tcPr>
          <w:p>
            <w:pPr>
              <w:pStyle w:val="TableContents"/>
              <w:shd w:fill="2E3440" w:val="clear"/>
              <w:bidi w:val="0"/>
              <w:spacing w:before="120" w:after="120"/>
              <w:jc w:val="left"/>
              <w:rPr/>
            </w:pPr>
            <w:r>
              <w:rPr/>
              <w:t>the standards self-check is missing, incomplete, or stamped for an earlier state of the change</w:t>
            </w:r>
          </w:p>
        </w:tc>
        <w:tc>
          <w:tcPr>
            <w:tcW w:w="5560" w:type="dxa"/>
            <w:tcBorders/>
            <w:vAlign w:val="center"/>
          </w:tcPr>
          <w:p>
            <w:pPr>
              <w:pStyle w:val="TableContents"/>
              <w:shd w:fill="2E3440" w:val="clear"/>
              <w:bidi w:val="0"/>
              <w:spacing w:before="120" w:after="120"/>
              <w:jc w:val="left"/>
              <w:rPr/>
            </w:pPr>
            <w:r>
              <w:rPr/>
              <w:t xml:space="preserve">answer </w:t>
            </w:r>
            <w:r>
              <w:rPr>
                <w:rStyle w:val="SourceText"/>
              </w:rPr>
              <w:t>.work/tickets/&lt;id&gt;/selfcheck.md</w:t>
            </w:r>
            <w:r>
              <w:rPr/>
              <w:t xml:space="preserve">, run </w:t>
            </w:r>
            <w:r>
              <w:rPr>
                <w:rStyle w:val="SourceText"/>
              </w:rPr>
              <w:t>crew_standards.py stamp --root . --ticket &lt;id&gt;</w:t>
            </w:r>
            <w:r>
              <w:rPr/>
              <w:t>, rebuild the bundle and run the round again; no round was spent</w:t>
            </w:r>
          </w:p>
        </w:tc>
      </w:tr>
      <w:tr>
        <w:trPr/>
        <w:tc>
          <w:tcPr>
            <w:tcW w:w="2608"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3171" w:type="dxa"/>
            <w:tcBorders/>
            <w:vAlign w:val="center"/>
          </w:tcPr>
          <w:p>
            <w:pPr>
              <w:pStyle w:val="TableContents"/>
              <w:shd w:fill="2E3440" w:val="clear"/>
              <w:bidi w:val="0"/>
              <w:spacing w:before="120" w:after="120"/>
              <w:jc w:val="left"/>
              <w:rPr/>
            </w:pPr>
            <w:r>
              <w:rPr/>
              <w:t>the review budget (two rounds) is spent</w:t>
            </w:r>
          </w:p>
        </w:tc>
        <w:tc>
          <w:tcPr>
            <w:tcW w:w="5560"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2608"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3171" w:type="dxa"/>
            <w:tcBorders/>
            <w:vAlign w:val="center"/>
          </w:tcPr>
          <w:p>
            <w:pPr>
              <w:pStyle w:val="TableContents"/>
              <w:shd w:fill="2E3440" w:val="clear"/>
              <w:bidi w:val="0"/>
              <w:spacing w:before="120" w:after="120"/>
              <w:jc w:val="left"/>
              <w:rPr/>
            </w:pPr>
            <w:r>
              <w:rPr/>
              <w:t>a path outside scope changed, including one a shell command wrote</w:t>
            </w:r>
          </w:p>
        </w:tc>
        <w:tc>
          <w:tcPr>
            <w:tcW w:w="5560"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6" w:name="scope-and-approval"/>
      <w:bookmarkEnd w:id="6"/>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7" w:name="the-contract"/>
      <w:bookmarkEnd w:id="7"/>
      <w:r>
        <w:rPr/>
        <w:t>The Contract</w:t>
      </w:r>
    </w:p>
    <w:p>
      <w:pPr>
        <w:pStyle w:val="BodyText"/>
        <w:bidi w:val="0"/>
        <w:jc w:val="left"/>
        <w:rPr/>
      </w:pPr>
      <w:r>
        <w:rPr/>
        <w:t xml:space="preserve">A ticket lives in </w:t>
      </w:r>
      <w:r>
        <w:rPr>
          <w:rStyle w:val="SourceText"/>
        </w:rPr>
        <w:t>.work/tickets/&lt;id&gt;/</w:t>
      </w:r>
      <w:r>
        <w:rPr/>
        <w:t>:</w:t>
      </w:r>
    </w:p>
    <w:p>
      <w:pPr>
        <w:pStyle w:val="BodyText"/>
        <w:numPr>
          <w:ilvl w:val="0"/>
          <w:numId w:val="3"/>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4"/>
        </w:numPr>
        <w:tabs>
          <w:tab w:val="clear" w:pos="1134"/>
          <w:tab w:val="left" w:pos="829" w:leader="none"/>
        </w:tabs>
        <w:bidi w:val="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8" w:name="approval"/>
      <w:bookmarkEnd w:id="8"/>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5"/>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5"/>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5"/>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9" w:name="while-you-implement-the-scope-guard"/>
      <w:bookmarkEnd w:id="9"/>
      <w:r>
        <w:rPr/>
        <w:t>While You Implement: The Scope Guard</w:t>
      </w:r>
    </w:p>
    <w:p>
      <w:pPr>
        <w:pStyle w:val="BodyText"/>
        <w:bidi w:val="0"/>
        <w:jc w:val="left"/>
        <w:rPr/>
      </w:pPr>
      <w:r>
        <w:rPr/>
        <w:t>Before every Write, Edit, MultiEdit or NotebookEdit, the guard checks the target file:</w:t>
      </w:r>
    </w:p>
    <w:p>
      <w:pPr>
        <w:pStyle w:val="BodyText"/>
        <w:numPr>
          <w:ilvl w:val="0"/>
          <w:numId w:val="6"/>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6"/>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6"/>
        </w:numPr>
        <w:tabs>
          <w:tab w:val="clear" w:pos="1134"/>
          <w:tab w:val="left" w:pos="829" w:leader="none"/>
        </w:tabs>
        <w:bidi w:val="0"/>
        <w:spacing w:before="120" w:after="0"/>
        <w:ind w:hanging="283" w:left="829"/>
        <w:jc w:val="left"/>
        <w:rPr/>
      </w:pPr>
      <w:r>
        <w:rPr/>
        <w:t xml:space="preserve">The code map, the diagrams dir, the graph dir and </w:t>
      </w:r>
      <w:r>
        <w:rPr>
          <w:rStyle w:val="SourceText"/>
        </w:rPr>
        <w:t>.claude/rules/</w:t>
      </w:r>
      <w:r>
        <w:rPr/>
        <w:t xml:space="preserve"> are writable for an approved ticket, because </w:t>
      </w:r>
      <w:r>
        <w:rPr>
          <w:rStyle w:val="SourceText"/>
        </w:rPr>
        <w:t>/crew:implement</w:t>
      </w:r>
      <w:r>
        <w:rPr/>
        <w:t xml:space="preserve"> step 6 refreshes them. </w:t>
      </w:r>
    </w:p>
    <w:p>
      <w:pPr>
        <w:pStyle w:val="BodyText"/>
        <w:numPr>
          <w:ilvl w:val="0"/>
          <w:numId w:val="6"/>
        </w:numPr>
        <w:tabs>
          <w:tab w:val="clear" w:pos="1134"/>
          <w:tab w:val="left" w:pos="829" w:leader="none"/>
        </w:tabs>
        <w:bidi w:val="0"/>
        <w:spacing w:before="120" w:after="0"/>
        <w:ind w:hanging="283" w:left="829"/>
        <w:jc w:val="left"/>
        <w:rPr/>
      </w:pPr>
      <w:r>
        <w:rPr/>
        <w:t xml:space="preserve">Nothing else is exempt: </w:t>
      </w:r>
      <w:r>
        <w:rPr>
          <w:rStyle w:val="SourceText"/>
        </w:rPr>
        <w:t>.crew/</w:t>
      </w:r>
      <w:r>
        <w:rPr/>
        <w:t xml:space="preserve"> beyond the code map, </w:t>
      </w:r>
      <w:r>
        <w:rPr>
          <w:rStyle w:val="SourceText"/>
        </w:rPr>
        <w:t>TODO.md</w:t>
      </w:r>
      <w:r>
        <w:rPr/>
        <w:t xml:space="preserve">, the rest of </w:t>
      </w:r>
      <w:r>
        <w:rPr>
          <w:rStyle w:val="SourceText"/>
        </w:rPr>
        <w:t>.claude/</w:t>
      </w:r>
      <w:r>
        <w:rPr/>
        <w:t xml:space="preserve"> and crew's own policy files. If the ticket changes one of them, list it in Touch. </w:t>
      </w:r>
    </w:p>
    <w:p>
      <w:pPr>
        <w:pStyle w:val="BodyText"/>
        <w:numPr>
          <w:ilvl w:val="0"/>
          <w:numId w:val="6"/>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0" w:name="at-the-end-of-a-turn-the-completion-audi"/>
      <w:bookmarkEnd w:id="10"/>
      <w:r>
        <w:rPr/>
        <w:t>At the End of a Turn: The Completion Audit</w:t>
      </w:r>
    </w:p>
    <w:p>
      <w:pPr>
        <w:pStyle w:val="BodyText"/>
        <w:bidi w:val="0"/>
        <w:jc w:val="left"/>
        <w:rPr/>
      </w:pPr>
      <w:r>
        <w:rPr/>
        <w:t xml:space="preserve">The guard only sees the editing tools. A </w:t>
      </w:r>
      <w:r>
        <w:rPr>
          <w:rStyle w:val="SourceText"/>
        </w:rPr>
        <w:t>sed -i</w:t>
      </w:r>
      <w:r>
        <w:rPr/>
        <w:t>, a shell redirect or a formatter can still change files. So when the session stops, the completion audit compares the whole tree with the commit the ticket started from. It covers committed, staged, unstaged and untracked changes, and both ends of a rename. If any changed path is outside Touch, the audit blocks the stop and lists the paths in six lines or fewer. It never blocks the continuation it caused.</w:t>
      </w:r>
    </w:p>
    <w:p>
      <w:pPr>
        <w:pStyle w:val="BodyText"/>
        <w:bidi w:val="0"/>
        <w:jc w:val="left"/>
        <w:rPr/>
      </w:pPr>
      <w:r>
        <w:rPr/>
        <w:t xml:space="preserve">A changed refresh artifact passes the audit only when a path the ticket changed reaches it and the edit is a re-anchor (the </w:t>
      </w:r>
      <w:r>
        <w:rPr>
          <w:rStyle w:val="SourceText"/>
        </w:rPr>
        <w:t>anchor:</w:t>
      </w:r>
      <w:r>
        <w:rPr/>
        <w:t xml:space="preserve"> or provenance sha moved forward to a commit on this branch) or a regeneration (</w:t>
      </w:r>
      <w:r>
        <w:rPr>
          <w:rStyle w:val="SourceText"/>
        </w:rPr>
        <w:t>.claude/rules/</w:t>
      </w:r>
      <w:r>
        <w:rPr/>
        <w:t xml:space="preserve"> as </w:t>
      </w:r>
      <w:r>
        <w:rPr>
          <w:rStyle w:val="SourceText"/>
        </w:rPr>
        <w:t>crew_instructions.py rules</w:t>
      </w:r>
      <w:r>
        <w:rPr/>
        <w:t xml:space="preserve"> writes them, the graph after a code change). A map claim edited without a re-anchor is listed with </w:t>
      </w:r>
      <w:r>
        <w:rPr>
          <w:rStyle w:val="SourceText"/>
        </w:rPr>
        <w:t>[anchor did not move]</w:t>
      </w:r>
      <w:r>
        <w:rPr/>
        <w:t xml:space="preserve">, and belongs in Touch if that is what the ticket means to do. When git cannot answer, a rule file cannot be read, a short base anchor is ambiguous (two commits share it), the artifact dirs cannot be resolved, or a directory the hook cannot search hides whether the config, a rule or a map exists, the listing says </w:t>
      </w:r>
      <w:r>
        <w:rPr>
          <w:rStyle w:val="SourceText"/>
        </w:rPr>
        <w:t>[could not tell: ...]</w:t>
      </w:r>
      <w:r>
        <w:rPr/>
        <w:t xml:space="preserve">, and that never passes.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1" w:name="amending-scope"/>
      <w:bookmarkEnd w:id="11"/>
      <w:r>
        <w:rPr/>
        <w:t>Amending Scope</w:t>
      </w:r>
    </w:p>
    <w:p>
      <w:pPr>
        <w:pStyle w:val="BodyText"/>
        <w:numPr>
          <w:ilvl w:val="0"/>
          <w:numId w:val="7"/>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7"/>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7"/>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2" w:name="after-two-review-rounds-a-successor-plan"/>
      <w:bookmarkEnd w:id="12"/>
      <w:r>
        <w:rPr/>
        <w:t>After Two Review Rounds: A Successor Plan</w:t>
      </w:r>
    </w:p>
    <w:p>
      <w:pPr>
        <w:pStyle w:val="BodyText"/>
        <w:bidi w:val="0"/>
        <w:jc w:val="left"/>
        <w:rPr/>
      </w:pPr>
      <w:r>
        <w:rPr/>
        <w:t xml:space="preserve">If a ticket uses both review rounds without an accepted receipt (refunded tool-failure rounds do not count), it moves to </w:t>
      </w:r>
      <w:r>
        <w:rPr>
          <w:rStyle w:val="SourceText"/>
        </w:rPr>
        <w:t>NEEDS_REPLAN</w:t>
      </w:r>
      <w:r>
        <w:rPr/>
        <w:t xml:space="preserve">.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3" w:name="modes"/>
      <w:bookmarkEnd w:id="13"/>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28" w:type="dxa"/>
        <w:tblLayout w:type="fixed"/>
        <w:tblCellMar>
          <w:top w:w="28" w:type="dxa"/>
          <w:left w:w="28" w:type="dxa"/>
          <w:bottom w:w="28" w:type="dxa"/>
          <w:right w:w="28" w:type="dxa"/>
        </w:tblCellMar>
      </w:tblPr>
      <w:tblGrid>
        <w:gridCol w:w="945"/>
        <w:gridCol w:w="10394"/>
      </w:tblGrid>
      <w:tr>
        <w:trPr>
          <w:tblHeader w:val="true"/>
        </w:trPr>
        <w:tc>
          <w:tcPr>
            <w:tcW w:w="945" w:type="dxa"/>
            <w:tcBorders/>
            <w:vAlign w:val="center"/>
          </w:tcPr>
          <w:p>
            <w:pPr>
              <w:pStyle w:val="TableHeading"/>
              <w:suppressLineNumbers/>
              <w:shd w:fill="434C5E" w:val="clear"/>
              <w:bidi w:val="0"/>
              <w:spacing w:before="120" w:after="120"/>
              <w:jc w:val="left"/>
              <w:rPr/>
            </w:pPr>
            <w:r>
              <w:rPr/>
              <w:t>Value</w:t>
            </w:r>
          </w:p>
        </w:tc>
        <w:tc>
          <w:tcPr>
            <w:tcW w:w="10394" w:type="dxa"/>
            <w:tcBorders/>
            <w:vAlign w:val="center"/>
          </w:tcPr>
          <w:p>
            <w:pPr>
              <w:pStyle w:val="TableHeading"/>
              <w:suppressLineNumbers/>
              <w:shd w:fill="434C5E" w:val="clear"/>
              <w:bidi w:val="0"/>
              <w:spacing w:before="120" w:after="120"/>
              <w:jc w:val="left"/>
              <w:rPr/>
            </w:pPr>
            <w:r>
              <w:rPr/>
              <w:t>What happens</w:t>
            </w:r>
          </w:p>
        </w:tc>
      </w:tr>
      <w:tr>
        <w:trPr/>
        <w:tc>
          <w:tcPr>
            <w:tcW w:w="945" w:type="dxa"/>
            <w:tcBorders/>
            <w:vAlign w:val="center"/>
          </w:tcPr>
          <w:p>
            <w:pPr>
              <w:pStyle w:val="TableContents"/>
              <w:shd w:fill="2E3440" w:val="clear"/>
              <w:bidi w:val="0"/>
              <w:spacing w:before="120" w:after="120"/>
              <w:jc w:val="left"/>
              <w:rPr/>
            </w:pPr>
            <w:r>
              <w:rPr>
                <w:rStyle w:val="SourceText"/>
              </w:rPr>
              <w:t>off</w:t>
            </w:r>
          </w:p>
        </w:tc>
        <w:tc>
          <w:tcPr>
            <w:tcW w:w="10394" w:type="dxa"/>
            <w:tcBorders/>
            <w:vAlign w:val="center"/>
          </w:tcPr>
          <w:p>
            <w:pPr>
              <w:pStyle w:val="TableContents"/>
              <w:shd w:fill="2E3440" w:val="clear"/>
              <w:bidi w:val="0"/>
              <w:spacing w:before="120" w:after="120"/>
              <w:jc w:val="left"/>
              <w:rPr/>
            </w:pPr>
            <w:r>
              <w:rPr/>
              <w:t>Default. Neither hook does anything.</w:t>
            </w:r>
          </w:p>
        </w:tc>
      </w:tr>
      <w:tr>
        <w:trPr/>
        <w:tc>
          <w:tcPr>
            <w:tcW w:w="945" w:type="dxa"/>
            <w:tcBorders/>
            <w:vAlign w:val="center"/>
          </w:tcPr>
          <w:p>
            <w:pPr>
              <w:pStyle w:val="TableContents"/>
              <w:shd w:fill="2E3440" w:val="clear"/>
              <w:bidi w:val="0"/>
              <w:spacing w:before="120" w:after="120"/>
              <w:jc w:val="left"/>
              <w:rPr/>
            </w:pPr>
            <w:r>
              <w:rPr>
                <w:rStyle w:val="SourceText"/>
              </w:rPr>
              <w:t>report</w:t>
            </w:r>
          </w:p>
        </w:tc>
        <w:tc>
          <w:tcPr>
            <w:tcW w:w="10394"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45" w:type="dxa"/>
            <w:tcBorders/>
            <w:vAlign w:val="center"/>
          </w:tcPr>
          <w:p>
            <w:pPr>
              <w:pStyle w:val="TableContents"/>
              <w:shd w:fill="2E3440" w:val="clear"/>
              <w:bidi w:val="0"/>
              <w:spacing w:before="120" w:after="120"/>
              <w:jc w:val="left"/>
              <w:rPr/>
            </w:pPr>
            <w:r>
              <w:rPr>
                <w:rStyle w:val="SourceText"/>
              </w:rPr>
              <w:t>block</w:t>
            </w:r>
          </w:p>
        </w:tc>
        <w:tc>
          <w:tcPr>
            <w:tcW w:w="10394" w:type="dxa"/>
            <w:tcBorders/>
            <w:vAlign w:val="center"/>
          </w:tcPr>
          <w:p>
            <w:pPr>
              <w:pStyle w:val="TableContents"/>
              <w:shd w:fill="2E3440" w:val="clear"/>
              <w:bidi w:val="0"/>
              <w:spacing w:before="120" w:after="120"/>
              <w:jc w:val="left"/>
              <w:rPr/>
            </w:pPr>
            <w:r>
              <w:rPr/>
              <w:t>Refusals block.</w:t>
            </w:r>
          </w:p>
        </w:tc>
      </w:tr>
      <w:tr>
        <w:trPr/>
        <w:tc>
          <w:tcPr>
            <w:tcW w:w="945" w:type="dxa"/>
            <w:tcBorders/>
            <w:vAlign w:val="center"/>
          </w:tcPr>
          <w:p>
            <w:pPr>
              <w:pStyle w:val="TableContents"/>
              <w:shd w:fill="2E3440" w:val="clear"/>
              <w:bidi w:val="0"/>
              <w:spacing w:before="120" w:after="120"/>
              <w:jc w:val="left"/>
              <w:rPr/>
            </w:pPr>
            <w:r>
              <w:rPr>
                <w:rStyle w:val="SourceText"/>
              </w:rPr>
              <w:t>auto</w:t>
            </w:r>
          </w:p>
        </w:tc>
        <w:tc>
          <w:tcPr>
            <w:tcW w:w="10394"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4" w:name="which-ticket-is-active"/>
      <w:bookmarkEnd w:id="14"/>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