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1-the-full-guide"/>
      <w:bookmarkEnd w:id="0"/>
      <w:r>
        <w:rPr/>
        <w:t>Crew 1.1 - the Full Guide</w:t>
      </w:r>
    </w:p>
    <w:p>
      <w:pPr>
        <w:pStyle w:val="BodyText"/>
        <w:bidi w:val="0"/>
        <w:jc w:val="left"/>
        <w:rPr/>
      </w:pPr>
      <w:r>
        <w:rPr/>
        <w:t xml:space="preserve">This guide explains the whole of crew 1.1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1.1 ships four agents. Each one exists because it buys something a prompt cannot: an isolated context window, a restricted tool set, or independent eyes.</w:t>
      </w:r>
    </w:p>
    <w:tbl>
      <w:tblPr>
        <w:tblW w:w="3888" w:type="dxa"/>
        <w:jc w:val="left"/>
        <w:tblInd w:w="0" w:type="dxa"/>
        <w:tblLayout w:type="fixed"/>
        <w:tblCellMar>
          <w:top w:w="28" w:type="dxa"/>
          <w:left w:w="28" w:type="dxa"/>
          <w:bottom w:w="28" w:type="dxa"/>
          <w:right w:w="28" w:type="dxa"/>
        </w:tblCellMar>
      </w:tblPr>
      <w:tblGrid>
        <w:gridCol w:w="1411"/>
        <w:gridCol w:w="1351"/>
        <w:gridCol w:w="1126"/>
      </w:tblGrid>
      <w:tr>
        <w:trPr>
          <w:tblHeader w:val="true"/>
        </w:trPr>
        <w:tc>
          <w:tcPr>
            <w:tcW w:w="1411" w:type="dxa"/>
            <w:tcBorders/>
            <w:vAlign w:val="center"/>
          </w:tcPr>
          <w:p>
            <w:pPr>
              <w:pStyle w:val="TableHeading"/>
              <w:suppressLineNumbers/>
              <w:shd w:fill="434C5E" w:val="clear"/>
              <w:bidi w:val="0"/>
              <w:spacing w:before="120" w:after="120"/>
              <w:jc w:val="left"/>
              <w:rPr/>
            </w:pPr>
            <w:r>
              <w:rPr/>
              <w:t>Role</w:t>
            </w:r>
          </w:p>
        </w:tc>
        <w:tc>
          <w:tcPr>
            <w:tcW w:w="1351" w:type="dxa"/>
            <w:tcBorders/>
            <w:vAlign w:val="center"/>
          </w:tcPr>
          <w:p>
            <w:pPr>
              <w:pStyle w:val="TableHeading"/>
              <w:suppressLineNumbers/>
              <w:shd w:fill="434C5E" w:val="clear"/>
              <w:bidi w:val="0"/>
              <w:spacing w:before="120" w:after="120"/>
              <w:jc w:val="left"/>
              <w:rPr/>
            </w:pPr>
            <w:r>
              <w:rPr/>
              <w:t>What it does</w:t>
            </w:r>
          </w:p>
        </w:tc>
        <w:tc>
          <w:tcPr>
            <w:tcW w:w="1126" w:type="dxa"/>
            <w:tcBorders/>
            <w:vAlign w:val="center"/>
          </w:tcPr>
          <w:p>
            <w:pPr>
              <w:pStyle w:val="TableHeading"/>
              <w:suppressLineNumbers/>
              <w:shd w:fill="434C5E" w:val="clear"/>
              <w:bidi w:val="0"/>
              <w:spacing w:before="120" w:after="120"/>
              <w:jc w:val="left"/>
              <w:rPr/>
            </w:pPr>
            <w:r>
              <w:rPr/>
              <w:t>What it cannot do</w:t>
            </w:r>
          </w:p>
        </w:tc>
      </w:tr>
      <w:tr>
        <w:trPr/>
        <w:tc>
          <w:tcPr>
            <w:tcW w:w="1411" w:type="dxa"/>
            <w:tcBorders/>
            <w:vAlign w:val="center"/>
          </w:tcPr>
          <w:p>
            <w:pPr>
              <w:pStyle w:val="TableContents"/>
              <w:shd w:fill="2E3440" w:val="clear"/>
              <w:bidi w:val="0"/>
              <w:spacing w:before="120" w:after="120"/>
              <w:jc w:val="left"/>
              <w:rPr/>
            </w:pPr>
            <w:r>
              <w:rPr>
                <w:rStyle w:val="SourceText"/>
              </w:rPr>
              <w:t>explorer</w:t>
            </w:r>
          </w:p>
        </w:tc>
        <w:tc>
          <w:tcPr>
            <w:tcW w:w="1351" w:type="dxa"/>
            <w:tcBorders/>
            <w:vAlign w:val="center"/>
          </w:tcPr>
          <w:p>
            <w:pPr>
              <w:pStyle w:val="TableContents"/>
              <w:shd w:fill="2E3440" w:val="clear"/>
              <w:bidi w:val="0"/>
              <w:spacing w:before="120" w:after="120"/>
              <w:jc w:val="left"/>
              <w:rPr/>
            </w:pPr>
            <w:r>
              <w:rPr/>
              <w:t>Maps the code a ticket touches</w:t>
            </w:r>
          </w:p>
        </w:tc>
        <w:tc>
          <w:tcPr>
            <w:tcW w:w="1126" w:type="dxa"/>
            <w:tcBorders/>
            <w:vAlign w:val="center"/>
          </w:tcPr>
          <w:p>
            <w:pPr>
              <w:pStyle w:val="TableContents"/>
              <w:shd w:fill="2E3440" w:val="clear"/>
              <w:bidi w:val="0"/>
              <w:spacing w:before="120" w:after="120"/>
              <w:jc w:val="left"/>
              <w:rPr/>
            </w:pPr>
            <w:r>
              <w:rPr/>
              <w:t>No Write, Edit or Bash</w:t>
            </w:r>
          </w:p>
        </w:tc>
      </w:tr>
      <w:tr>
        <w:trPr/>
        <w:tc>
          <w:tcPr>
            <w:tcW w:w="1411" w:type="dxa"/>
            <w:tcBorders/>
            <w:vAlign w:val="center"/>
          </w:tcPr>
          <w:p>
            <w:pPr>
              <w:pStyle w:val="TableContents"/>
              <w:shd w:fill="2E3440" w:val="clear"/>
              <w:bidi w:val="0"/>
              <w:spacing w:before="120" w:after="120"/>
              <w:jc w:val="left"/>
              <w:rPr/>
            </w:pPr>
            <w:r>
              <w:rPr>
                <w:rStyle w:val="SourceText"/>
              </w:rPr>
              <w:t>reviewer</w:t>
            </w:r>
          </w:p>
        </w:tc>
        <w:tc>
          <w:tcPr>
            <w:tcW w:w="1351"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1126" w:type="dxa"/>
            <w:tcBorders/>
            <w:vAlign w:val="center"/>
          </w:tcPr>
          <w:p>
            <w:pPr>
              <w:pStyle w:val="TableContents"/>
              <w:shd w:fill="2E3440" w:val="clear"/>
              <w:bidi w:val="0"/>
              <w:spacing w:before="120" w:after="120"/>
              <w:jc w:val="left"/>
              <w:rPr/>
            </w:pPr>
            <w:r>
              <w:rPr/>
              <w:t>Writes nothing to the tree</w:t>
            </w:r>
          </w:p>
        </w:tc>
      </w:tr>
      <w:tr>
        <w:trPr/>
        <w:tc>
          <w:tcPr>
            <w:tcW w:w="1411" w:type="dxa"/>
            <w:tcBorders/>
            <w:vAlign w:val="center"/>
          </w:tcPr>
          <w:p>
            <w:pPr>
              <w:pStyle w:val="TableContents"/>
              <w:shd w:fill="2E3440" w:val="clear"/>
              <w:bidi w:val="0"/>
              <w:spacing w:before="120" w:after="120"/>
              <w:jc w:val="left"/>
              <w:rPr/>
            </w:pPr>
            <w:r>
              <w:rPr>
                <w:rStyle w:val="SourceText"/>
              </w:rPr>
              <w:t>security</w:t>
            </w:r>
          </w:p>
        </w:tc>
        <w:tc>
          <w:tcPr>
            <w:tcW w:w="1351" w:type="dxa"/>
            <w:tcBorders/>
            <w:vAlign w:val="center"/>
          </w:tcPr>
          <w:p>
            <w:pPr>
              <w:pStyle w:val="TableContents"/>
              <w:shd w:fill="2E3440" w:val="clear"/>
              <w:bidi w:val="0"/>
              <w:spacing w:before="120" w:after="120"/>
              <w:jc w:val="left"/>
              <w:rPr/>
            </w:pPr>
            <w:r>
              <w:rPr/>
              <w:t>Read-only review of risky changes</w:t>
            </w:r>
          </w:p>
        </w:tc>
        <w:tc>
          <w:tcPr>
            <w:tcW w:w="1126" w:type="dxa"/>
            <w:tcBorders/>
            <w:vAlign w:val="center"/>
          </w:tcPr>
          <w:p>
            <w:pPr>
              <w:pStyle w:val="TableContents"/>
              <w:shd w:fill="2E3440" w:val="clear"/>
              <w:bidi w:val="0"/>
              <w:spacing w:before="120" w:after="120"/>
              <w:jc w:val="left"/>
              <w:rPr/>
            </w:pPr>
            <w:r>
              <w:rPr/>
              <w:t>No Write or Edit</w:t>
            </w:r>
          </w:p>
        </w:tc>
      </w:tr>
      <w:tr>
        <w:trPr/>
        <w:tc>
          <w:tcPr>
            <w:tcW w:w="1411" w:type="dxa"/>
            <w:tcBorders/>
            <w:vAlign w:val="center"/>
          </w:tcPr>
          <w:p>
            <w:pPr>
              <w:pStyle w:val="TableContents"/>
              <w:shd w:fill="2E3440" w:val="clear"/>
              <w:bidi w:val="0"/>
              <w:spacing w:before="120" w:after="120"/>
              <w:jc w:val="left"/>
              <w:rPr/>
            </w:pPr>
            <w:r>
              <w:rPr>
                <w:rStyle w:val="SourceText"/>
              </w:rPr>
              <w:t>researcher</w:t>
            </w:r>
          </w:p>
        </w:tc>
        <w:tc>
          <w:tcPr>
            <w:tcW w:w="1351" w:type="dxa"/>
            <w:tcBorders/>
            <w:vAlign w:val="center"/>
          </w:tcPr>
          <w:p>
            <w:pPr>
              <w:pStyle w:val="TableContents"/>
              <w:shd w:fill="2E3440" w:val="clear"/>
              <w:bidi w:val="0"/>
              <w:spacing w:before="120" w:after="120"/>
              <w:jc w:val="left"/>
              <w:rPr/>
            </w:pPr>
            <w:r>
              <w:rPr/>
              <w:t>Reads external sources only</w:t>
            </w:r>
          </w:p>
        </w:tc>
        <w:tc>
          <w:tcPr>
            <w:tcW w:w="1126"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The template leaves out the five personal </w:t>
      </w:r>
      <w:r>
        <w:rPr>
          <w:rStyle w:val="SourceText"/>
        </w:rPr>
        <w:t>autopilot.*</w:t>
      </w:r>
      <w:r>
        <w:rPr/>
        <w:t xml:space="preserve"> settings, so your machine-wide defaults for them apply.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rStyle w:val="SourceText"/>
        </w:rPr>
        <w:t>/crew:migrate</w:t>
      </w:r>
      <w:r>
        <w:rPr/>
        <w:t xml:space="preserve"> moves a crew 0.20 repository to the 1.0 layout,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Every historical metric it cannot recover is written </w:t>
      </w:r>
      <w:r>
        <w:rPr>
          <w:rStyle w:val="SourceText"/>
        </w:rPr>
        <w:t>UNKNOWN</w:t>
      </w:r>
      <w:r>
        <w:rPr/>
        <w:t xml:space="preserve">, never </w:t>
      </w:r>
      <w:r>
        <w:rPr>
          <w:rStyle w:val="SourceText"/>
        </w:rPr>
        <w:t>0</w:t>
      </w:r>
      <w:r>
        <w:rPr/>
        <w:t xml:space="preserve">. </w:t>
      </w:r>
      <w:r>
        <w:rPr>
          <w:rStyle w:val="SourceText"/>
        </w:rPr>
        <w:t>/crew:upgrade</w:t>
      </w:r>
      <w:r>
        <w:rPr/>
        <w:t xml:space="preserve"> is only for a config older than 0.20 that </w:t>
      </w:r>
      <w:r>
        <w:rPr>
          <w:rStyle w:val="SourceText"/>
        </w:rPr>
        <w:t>/crew:migrate</w:t>
      </w:r>
      <w:r>
        <w:rPr/>
        <w:t xml:space="preserve"> refuses.</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and the generated </w:t>
      </w:r>
      <w:r>
        <w:rPr>
          <w:rStyle w:val="SourceText"/>
        </w:rPr>
        <w:t>.claude/rules/</w:t>
      </w:r>
      <w:r>
        <w:rPr/>
        <w:t>.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or </w:t>
      </w:r>
      <w:r>
        <w:rPr>
          <w:rStyle w:val="SourceText"/>
        </w:rPr>
        <w:t>graphify update .</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w:t>
      </w:r>
      <w:r>
        <w:rPr>
          <w:rStyle w:val="SourceText"/>
        </w:rPr>
        <w:t>guards.cloudGuard: off</w:t>
      </w:r>
      <w:r>
        <w:rPr/>
        <w:t>) and the role-write guard (</w:t>
      </w:r>
      <w:r>
        <w:rPr>
          <w:rStyle w:val="SourceText"/>
        </w:rPr>
        <w:t>guards.roleWrites: off</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ourceText"/>
        </w:rPr>
        <w:t>block</w:t>
      </w:r>
      <w:r>
        <w:rPr>
          <w:rStyle w:val="Strong"/>
        </w:rPr>
        <w:t xml:space="preserve"> by default:</w:t>
      </w:r>
      <w:r>
        <w:rPr/>
        <w:t xml:space="preserve"> the six policy guards (</w:t>
      </w: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w:t>
      </w:r>
      <w:r>
        <w:rPr>
          <w:rStyle w:val="SourceText"/>
        </w:rPr>
        <w:t>guards.cloudGuard</w:t>
      </w:r>
      <w:r>
        <w:rPr/>
        <w:t xml:space="preserve"> is armed, except </w:t>
      </w:r>
      <w:r>
        <w:rPr>
          <w:rStyle w:val="SourceText"/>
        </w:rPr>
        <w:t>mergeGate</w:t>
      </w:r>
      <w:r>
        <w:rPr/>
        <w:t xml:space="preserve">, which </w:t>
      </w:r>
      <w:r>
        <w:rPr>
          <w:rStyle w:val="SourceText"/>
        </w:rPr>
        <w:t>/crew:gate</w:t>
      </w:r>
      <w:r>
        <w:rPr/>
        <w:t xml:space="preserve"> reads. </w:t>
      </w:r>
    </w:p>
    <w:p>
      <w:pPr>
        <w:pStyle w:val="BodyText"/>
        <w:numPr>
          <w:ilvl w:val="0"/>
          <w:numId w:val="4"/>
        </w:numPr>
        <w:tabs>
          <w:tab w:val="clear" w:pos="1134"/>
          <w:tab w:val="left" w:pos="829" w:leader="none"/>
        </w:tabs>
        <w:bidi w:val="0"/>
        <w:ind w:hanging="283" w:left="829"/>
        <w:jc w:val="left"/>
        <w:rPr/>
      </w:pPr>
      <w:r>
        <w:rPr>
          <w:rStyle w:val="Strong"/>
        </w:rPr>
        <w:t>On by default:</w:t>
      </w:r>
      <w:r>
        <w:rPr/>
        <w:t xml:space="preserve"> the Stop verify gate (</w:t>
      </w:r>
      <w:r>
        <w:rPr>
          <w:rStyle w:val="SourceText"/>
        </w:rPr>
        <w:t>verifyGate: true</w:t>
      </w:r>
      <w:r>
        <w:rPr/>
        <w:t xml:space="preserve">) blocks when a verify rule fails. </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w:t>
      </w:r>
      <w:r>
        <w:rPr>
          <w:rStyle w:val="SourceText"/>
        </w:rPr>
        <w:t>guards.*</w:t>
      </w:r>
      <w:r>
        <w:rPr/>
        <w:t xml:space="preserve"> setting.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a variable or an encoded string. The credentials boundary that would close that is T-0044.</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that a rollback is declared, that a person approved it when </w:t>
      </w:r>
      <w:r>
        <w:rPr>
          <w:rStyle w:val="SourceText"/>
        </w:rPr>
        <w:t>requireHuman</w:t>
      </w:r>
      <w:r>
        <w:rPr/>
        <w:t xml:space="preserve"> is set, and that the tree is clean.</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w:t>
      </w:r>
    </w:p>
    <w:p>
      <w:pPr>
        <w:pStyle w:val="BodyText"/>
        <w:bidi w:val="0"/>
        <w:jc w:val="left"/>
        <w:rPr/>
      </w:pPr>
      <w:r>
        <w:rPr/>
        <w:t xml:space="preserve">The five </w:t>
      </w:r>
      <w:r>
        <w:rPr>
          <w:rStyle w:val="SourceText"/>
        </w:rPr>
        <w:t>autopilot.*</w:t>
      </w:r>
      <w:r>
        <w:rPr/>
        <w:t xml:space="preserve"> settings are personal: set them in the repo's </w:t>
      </w:r>
      <w:r>
        <w:rPr>
          <w:rStyle w:val="SourceText"/>
        </w:rPr>
        <w:t>.crew/config.json</w:t>
      </w:r>
      <w:r>
        <w:rPr/>
        <w:t>, or once in the machine-global file as your default for every repo. Where both files set one, the stricter value wins, so a repo can narrow your default and never widen it.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xml:space="preserve"> in the repo file, even under a machine-wide </w:t>
      </w:r>
      <w:r>
        <w:rPr>
          <w:rStyle w:val="SourceText"/>
        </w:rPr>
        <w:t>autopilot.approval: self</w:t>
      </w:r>
      <w:r>
        <w:rPr/>
        <w:t>; an open question does not.</w:t>
      </w:r>
    </w:p>
    <w:p>
      <w:pPr>
        <w:pStyle w:val="BodyText"/>
        <w:bidi w:val="0"/>
        <w:jc w:val="left"/>
        <w:rPr/>
      </w:pPr>
      <w:r>
        <w:rPr/>
        <w:t xml:space="preserve">After done, autopilot ships the ticket (since crew 1.0.349). </w:t>
      </w:r>
      <w:r>
        <w:rPr>
          <w:rStyle w:val="SourceText"/>
        </w:rPr>
        <w:t>autopilot.ship</w:t>
      </w:r>
      <w:r>
        <w:rPr/>
        <w:t xml:space="preserve"> set to </w:t>
      </w:r>
      <w:r>
        <w:rPr>
          <w:rStyle w:val="SourceText"/>
        </w:rPr>
        <w:t>pr</w:t>
      </w:r>
      <w:r>
        <w:rPr/>
        <w:t xml:space="preserve"> pushes the branch and opens a pull request, then stops for a person to merge. Set to </w:t>
      </w:r>
      <w:r>
        <w:rPr>
          <w:rStyle w:val="SourceText"/>
        </w:rPr>
        <w:t>merge</w:t>
      </w:r>
      <w:r>
        <w:rPr/>
        <w:t xml:space="preserve">, the default, it also merges once every required check passes, or fails under a name listed exactly in </w:t>
      </w:r>
      <w:r>
        <w:rPr>
          <w:rStyle w:val="SourceText"/>
        </w:rPr>
        <w:t>autopilot.knownFailures</w:t>
      </w:r>
      <w:r>
        <w:rPr/>
        <w:t xml:space="preserve">, waiting up to </w:t>
      </w:r>
      <w:r>
        <w:rPr>
          <w:rStyle w:val="SourceText"/>
        </w:rPr>
        <w:t>autopilot.ciTimeoutMinutes</w:t>
      </w:r>
      <w:r>
        <w:rPr/>
        <w:t xml:space="preserve">. It always merges with a merge commit, never a squash, a rebase or </w:t>
      </w:r>
      <w:r>
        <w:rPr>
          <w:rStyle w:val="SourceText"/>
        </w:rPr>
        <w:t>--admin</w:t>
      </w:r>
      <w:r>
        <w:rPr/>
        <w:t xml:space="preserve">, and never through a merge queue. A </w:t>
      </w:r>
      <w:r>
        <w:rPr>
          <w:rStyle w:val="SourceText"/>
        </w:rPr>
        <w:t>high</w:t>
      </w:r>
      <w:r>
        <w:rPr/>
        <w:t xml:space="preserve">-risk ticket, or one whose spec names no risk, never merges unattended when every review was same-family (Claude reviewing Claude); it stops with its pull request open. Autopilot never deploys today. Goals and backlogs arrive with T-0012, and deploy dispatch with T-0045. </w:t>
      </w:r>
      <w:r>
        <w:rPr>
          <w:rStyle w:val="SourceText"/>
        </w:rPr>
        <w:t>/crew:autopilot status</w:t>
      </w:r>
      <w:r>
        <w:rPr/>
        <w:t xml:space="preserve"> prints where a ticket stands, read-only.</w:t>
      </w:r>
    </w:p>
    <w:p>
      <w:pPr>
        <w:pStyle w:val="BodyText"/>
        <w:bidi w:val="0"/>
        <w:jc w:val="left"/>
        <w:rPr/>
      </w:pPr>
      <w:r>
        <w:rPr>
          <w:rStyle w:val="SourceText"/>
        </w:rPr>
        <w:t>/crew:autopilot focus &lt;id&gt;</w:t>
      </w:r>
      <w:r>
        <w:rPr/>
        <w:t xml:space="preserve"> locks autopilot onto one ticket. Focus is on only after you type it: an active ticket on its own is not a focus. It writes a focus marker for this worktree (and points the active ticket at </w:t>
      </w:r>
      <w:r>
        <w:rPr>
          <w:rStyle w:val="SourceText"/>
        </w:rPr>
        <w:t>&lt;id&gt;</w:t>
      </w:r>
      <w:r>
        <w:rPr/>
        <w:t xml:space="preserve"> if it named another, printing the scope-base line). While focused, autopilot refuses to run another ticket, </w:t>
      </w:r>
      <w:r>
        <w:rPr>
          <w:rStyle w:val="SourceText"/>
        </w:rPr>
        <w:t>assign</w:t>
      </w:r>
      <w:r>
        <w:rPr/>
        <w:t xml:space="preserve"> and </w:t>
      </w:r>
      <w:r>
        <w:rPr>
          <w:rStyle w:val="SourceText"/>
        </w:rPr>
        <w:t>goal</w:t>
      </w:r>
      <w:r>
        <w:rPr/>
        <w:t xml:space="preserve">; </w:t>
      </w:r>
      <w:r>
        <w:rPr>
          <w:rStyle w:val="SourceText"/>
        </w:rPr>
        <w:t>status</w:t>
      </w:r>
      <w:r>
        <w:rPr/>
        <w:t xml:space="preserve">, </w:t>
      </w:r>
      <w:r>
        <w:rPr>
          <w:rStyle w:val="SourceText"/>
        </w:rPr>
        <w:t>sleep</w:t>
      </w:r>
      <w:r>
        <w:rPr/>
        <w:t xml:space="preserve"> and </w:t>
      </w:r>
      <w:r>
        <w:rPr>
          <w:rStyle w:val="SourceText"/>
        </w:rPr>
        <w:t>wake</w:t>
      </w:r>
      <w:r>
        <w:rPr/>
        <w:t xml:space="preserve"> still run. Once the plan is approved, </w:t>
      </w:r>
      <w:r>
        <w:rPr>
          <w:rStyle w:val="SourceText"/>
        </w:rPr>
        <w:t>next</w:t>
      </w:r>
      <w:r>
        <w:rPr/>
        <w:t xml:space="preserve"> stops as </w:t>
      </w:r>
      <w:r>
        <w:rPr>
          <w:rStyle w:val="SourceText"/>
        </w:rPr>
        <w:t>drift</w:t>
      </w:r>
      <w:r>
        <w:rPr/>
        <w:t xml:space="preserve"> on a changed path outside the plan's Touch list, or when that check could not run. A focus marker that cannot be read counts as "could not tell", and autopilot refuses new work until you repair or remove it. </w:t>
      </w:r>
      <w:r>
        <w:rPr>
          <w:rStyle w:val="SourceText"/>
        </w:rPr>
        <w:t>focus --findings --ticket &lt;id&gt;</w:t>
      </w:r>
      <w:r>
        <w:rPr/>
        <w:t xml:space="preserve"> names where an out-of-scope finding goes. </w:t>
      </w:r>
      <w:r>
        <w:rPr>
          <w:rStyle w:val="SourceText"/>
        </w:rPr>
        <w:t>/crew:autopilot focus</w:t>
      </w:r>
      <w:r>
        <w:rPr/>
        <w:t xml:space="preserve"> shows the lock and </w:t>
      </w:r>
      <w:r>
        <w:rPr>
          <w:rStyle w:val="SourceText"/>
        </w:rPr>
        <w:t>/crew:autopilot focus off</w:t>
      </w:r>
      <w:r>
        <w:rPr/>
        <w:t xml:space="preserve"> releases it. Claude Code's built-in </w:t>
      </w:r>
      <w:r>
        <w:rPr>
          <w:rStyle w:val="SourceText"/>
        </w:rPr>
        <w:t>/focus</w:t>
      </w:r>
      <w:r>
        <w:rPr/>
        <w:t xml:space="preserve"> is unrelated: it only toggles the display.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plugin/crew/README.md</w:t>
      </w:r>
      <w:r>
        <w:rPr/>
        <w:t>,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The train never merges, pushes or opens the PR; only autopilot's ship step does, under </w:t>
      </w:r>
      <w:r>
        <w:rPr>
          <w:rStyle w:val="SourceText"/>
        </w:rPr>
        <w:t>autopilot.ship</w:t>
      </w:r>
      <w:r>
        <w:rPr/>
        <w:t xml:space="preserve">.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follow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or </w:t>
      </w:r>
      <w:r>
        <w:rPr>
          <w:rStyle w:val="SourceText"/>
        </w:rPr>
        <w:t>gitbash</w:t>
      </w:r>
      <w:r>
        <w:rPr/>
        <w:t xml:space="preserv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Windows types only with </w:t>
      </w:r>
      <w:r>
        <w:rPr>
          <w:rStyle w:val="SourceText"/>
        </w:rPr>
        <w:t>context.autoClear.method: "sendkeys"</w:t>
      </w:r>
      <w:r>
        <w:rPr/>
        <w:t xml:space="preserve">, and only after checking the window has focus.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plugin/crew/README.md</w:t>
      </w:r>
      <w:r>
        <w:rPr/>
        <w:t>,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3888" w:type="dxa"/>
        <w:jc w:val="left"/>
        <w:tblInd w:w="0" w:type="dxa"/>
        <w:tblLayout w:type="fixed"/>
        <w:tblCellMar>
          <w:top w:w="28" w:type="dxa"/>
          <w:left w:w="28" w:type="dxa"/>
          <w:bottom w:w="28" w:type="dxa"/>
          <w:right w:w="28" w:type="dxa"/>
        </w:tblCellMar>
      </w:tblPr>
      <w:tblGrid>
        <w:gridCol w:w="1007"/>
        <w:gridCol w:w="2881"/>
      </w:tblGrid>
      <w:tr>
        <w:trPr>
          <w:tblHeader w:val="true"/>
        </w:trPr>
        <w:tc>
          <w:tcPr>
            <w:tcW w:w="1007" w:type="dxa"/>
            <w:tcBorders/>
            <w:vAlign w:val="center"/>
          </w:tcPr>
          <w:p>
            <w:pPr>
              <w:pStyle w:val="TableHeading"/>
              <w:suppressLineNumbers/>
              <w:shd w:fill="434C5E" w:val="clear"/>
              <w:bidi w:val="0"/>
              <w:spacing w:before="120" w:after="120"/>
              <w:jc w:val="left"/>
              <w:rPr/>
            </w:pPr>
            <w:r>
              <w:rPr/>
              <w:t>Ticket</w:t>
            </w:r>
          </w:p>
        </w:tc>
        <w:tc>
          <w:tcPr>
            <w:tcW w:w="2881" w:type="dxa"/>
            <w:tcBorders/>
            <w:vAlign w:val="center"/>
          </w:tcPr>
          <w:p>
            <w:pPr>
              <w:pStyle w:val="TableHeading"/>
              <w:suppressLineNumbers/>
              <w:shd w:fill="434C5E" w:val="clear"/>
              <w:bidi w:val="0"/>
              <w:spacing w:before="120" w:after="120"/>
              <w:jc w:val="left"/>
              <w:rPr/>
            </w:pPr>
            <w:r>
              <w:rPr/>
              <w:t>What it brings</w:t>
            </w:r>
          </w:p>
        </w:tc>
      </w:tr>
      <w:tr>
        <w:trPr/>
        <w:tc>
          <w:tcPr>
            <w:tcW w:w="1007" w:type="dxa"/>
            <w:tcBorders/>
            <w:vAlign w:val="center"/>
          </w:tcPr>
          <w:p>
            <w:pPr>
              <w:pStyle w:val="TableContents"/>
              <w:shd w:fill="2E3440" w:val="clear"/>
              <w:bidi w:val="0"/>
              <w:spacing w:before="120" w:after="120"/>
              <w:jc w:val="left"/>
              <w:rPr/>
            </w:pPr>
            <w:r>
              <w:rPr/>
              <w:t>T-0009</w:t>
            </w:r>
          </w:p>
        </w:tc>
        <w:tc>
          <w:tcPr>
            <w:tcW w:w="2881"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1007" w:type="dxa"/>
            <w:tcBorders/>
            <w:vAlign w:val="center"/>
          </w:tcPr>
          <w:p>
            <w:pPr>
              <w:pStyle w:val="TableContents"/>
              <w:shd w:fill="2E3440" w:val="clear"/>
              <w:bidi w:val="0"/>
              <w:spacing w:before="120" w:after="120"/>
              <w:jc w:val="left"/>
              <w:rPr/>
            </w:pPr>
            <w:r>
              <w:rPr/>
              <w:t>T-0012</w:t>
            </w:r>
          </w:p>
        </w:tc>
        <w:tc>
          <w:tcPr>
            <w:tcW w:w="2881" w:type="dxa"/>
            <w:tcBorders/>
            <w:vAlign w:val="center"/>
          </w:tcPr>
          <w:p>
            <w:pPr>
              <w:pStyle w:val="TableContents"/>
              <w:shd w:fill="2E3440" w:val="clear"/>
              <w:bidi w:val="0"/>
              <w:spacing w:before="120" w:after="120"/>
              <w:jc w:val="left"/>
              <w:rPr/>
            </w:pPr>
            <w:r>
              <w:rPr/>
              <w:t>Autopilot goals and backlogs, with per-run caps</w:t>
            </w:r>
          </w:p>
        </w:tc>
      </w:tr>
      <w:tr>
        <w:trPr/>
        <w:tc>
          <w:tcPr>
            <w:tcW w:w="1007" w:type="dxa"/>
            <w:tcBorders/>
            <w:vAlign w:val="center"/>
          </w:tcPr>
          <w:p>
            <w:pPr>
              <w:pStyle w:val="TableContents"/>
              <w:shd w:fill="2E3440" w:val="clear"/>
              <w:bidi w:val="0"/>
              <w:spacing w:before="120" w:after="120"/>
              <w:jc w:val="left"/>
              <w:rPr/>
            </w:pPr>
            <w:r>
              <w:rPr/>
              <w:t>T-0019</w:t>
            </w:r>
          </w:p>
        </w:tc>
        <w:tc>
          <w:tcPr>
            <w:tcW w:w="2881" w:type="dxa"/>
            <w:tcBorders/>
            <w:vAlign w:val="center"/>
          </w:tcPr>
          <w:p>
            <w:pPr>
              <w:pStyle w:val="TableContents"/>
              <w:shd w:fill="2E3440" w:val="clear"/>
              <w:bidi w:val="0"/>
              <w:spacing w:before="120" w:after="120"/>
              <w:jc w:val="left"/>
              <w:rPr/>
            </w:pPr>
            <w:r>
              <w:rPr>
                <w:rStyle w:val="SourceText"/>
              </w:rPr>
              <w:t>/crew:autopilot assign</w:t>
            </w:r>
          </w:p>
        </w:tc>
      </w:tr>
      <w:tr>
        <w:trPr/>
        <w:tc>
          <w:tcPr>
            <w:tcW w:w="1007" w:type="dxa"/>
            <w:tcBorders/>
            <w:vAlign w:val="center"/>
          </w:tcPr>
          <w:p>
            <w:pPr>
              <w:pStyle w:val="TableContents"/>
              <w:shd w:fill="2E3440" w:val="clear"/>
              <w:bidi w:val="0"/>
              <w:spacing w:before="120" w:after="120"/>
              <w:jc w:val="left"/>
              <w:rPr/>
            </w:pPr>
            <w:r>
              <w:rPr/>
              <w:t>T-0029</w:t>
            </w:r>
          </w:p>
        </w:tc>
        <w:tc>
          <w:tcPr>
            <w:tcW w:w="2881" w:type="dxa"/>
            <w:tcBorders/>
            <w:vAlign w:val="center"/>
          </w:tcPr>
          <w:p>
            <w:pPr>
              <w:pStyle w:val="TableContents"/>
              <w:shd w:fill="2E3440" w:val="clear"/>
              <w:bidi w:val="0"/>
              <w:spacing w:before="120" w:after="120"/>
              <w:jc w:val="left"/>
              <w:rPr/>
            </w:pPr>
            <w:r>
              <w:rPr/>
              <w:t>Parallel autopilot lanes and a review policy</w:t>
            </w:r>
          </w:p>
        </w:tc>
      </w:tr>
      <w:tr>
        <w:trPr/>
        <w:tc>
          <w:tcPr>
            <w:tcW w:w="1007" w:type="dxa"/>
            <w:tcBorders/>
            <w:vAlign w:val="center"/>
          </w:tcPr>
          <w:p>
            <w:pPr>
              <w:pStyle w:val="TableContents"/>
              <w:shd w:fill="2E3440" w:val="clear"/>
              <w:bidi w:val="0"/>
              <w:spacing w:before="120" w:after="120"/>
              <w:jc w:val="left"/>
              <w:rPr/>
            </w:pPr>
            <w:r>
              <w:rPr/>
              <w:t>T-0030</w:t>
            </w:r>
          </w:p>
        </w:tc>
        <w:tc>
          <w:tcPr>
            <w:tcW w:w="2881" w:type="dxa"/>
            <w:tcBorders/>
            <w:vAlign w:val="center"/>
          </w:tcPr>
          <w:p>
            <w:pPr>
              <w:pStyle w:val="TableContents"/>
              <w:shd w:fill="2E3440" w:val="clear"/>
              <w:bidi w:val="0"/>
              <w:spacing w:before="120" w:after="120"/>
              <w:jc w:val="left"/>
              <w:rPr/>
            </w:pPr>
            <w:r>
              <w:rPr/>
              <w:t>Cross-session coordination claims</w:t>
            </w:r>
          </w:p>
        </w:tc>
      </w:tr>
      <w:tr>
        <w:trPr/>
        <w:tc>
          <w:tcPr>
            <w:tcW w:w="1007" w:type="dxa"/>
            <w:tcBorders/>
            <w:vAlign w:val="center"/>
          </w:tcPr>
          <w:p>
            <w:pPr>
              <w:pStyle w:val="TableContents"/>
              <w:shd w:fill="2E3440" w:val="clear"/>
              <w:bidi w:val="0"/>
              <w:spacing w:before="120" w:after="120"/>
              <w:jc w:val="left"/>
              <w:rPr/>
            </w:pPr>
            <w:r>
              <w:rPr/>
              <w:t>T-0044</w:t>
            </w:r>
          </w:p>
        </w:tc>
        <w:tc>
          <w:tcPr>
            <w:tcW w:w="2881"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1007" w:type="dxa"/>
            <w:tcBorders/>
            <w:vAlign w:val="center"/>
          </w:tcPr>
          <w:p>
            <w:pPr>
              <w:pStyle w:val="TableContents"/>
              <w:shd w:fill="2E3440" w:val="clear"/>
              <w:bidi w:val="0"/>
              <w:spacing w:before="120" w:after="120"/>
              <w:jc w:val="left"/>
              <w:rPr/>
            </w:pPr>
            <w:r>
              <w:rPr/>
              <w:t>T-0045</w:t>
            </w:r>
          </w:p>
        </w:tc>
        <w:tc>
          <w:tcPr>
            <w:tcW w:w="2881"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1007" w:type="dxa"/>
            <w:tcBorders/>
            <w:vAlign w:val="center"/>
          </w:tcPr>
          <w:p>
            <w:pPr>
              <w:pStyle w:val="TableContents"/>
              <w:shd w:fill="2E3440" w:val="clear"/>
              <w:bidi w:val="0"/>
              <w:spacing w:before="120" w:after="120"/>
              <w:jc w:val="left"/>
              <w:rPr/>
            </w:pPr>
            <w:r>
              <w:rPr/>
              <w:t>T-0046</w:t>
            </w:r>
          </w:p>
        </w:tc>
        <w:tc>
          <w:tcPr>
            <w:tcW w:w="2881" w:type="dxa"/>
            <w:tcBorders/>
            <w:vAlign w:val="center"/>
          </w:tcPr>
          <w:p>
            <w:pPr>
              <w:pStyle w:val="TableContents"/>
              <w:shd w:fill="2E3440" w:val="clear"/>
              <w:bidi w:val="0"/>
              <w:spacing w:before="120" w:after="120"/>
              <w:jc w:val="left"/>
              <w:rPr/>
            </w:pPr>
            <w:r>
              <w:rPr/>
              <w:t>Release bookkeeping admitted without a Touch entry</w:t>
            </w:r>
          </w:p>
        </w:tc>
      </w:tr>
      <w:tr>
        <w:trPr/>
        <w:tc>
          <w:tcPr>
            <w:tcW w:w="1007" w:type="dxa"/>
            <w:tcBorders/>
            <w:vAlign w:val="center"/>
          </w:tcPr>
          <w:p>
            <w:pPr>
              <w:pStyle w:val="TableContents"/>
              <w:shd w:fill="2E3440" w:val="clear"/>
              <w:bidi w:val="0"/>
              <w:spacing w:before="120" w:after="120"/>
              <w:jc w:val="left"/>
              <w:rPr/>
            </w:pPr>
            <w:r>
              <w:rPr/>
              <w:t>T-0054</w:t>
            </w:r>
          </w:p>
        </w:tc>
        <w:tc>
          <w:tcPr>
            <w:tcW w:w="2881" w:type="dxa"/>
            <w:tcBorders/>
            <w:vAlign w:val="center"/>
          </w:tcPr>
          <w:p>
            <w:pPr>
              <w:pStyle w:val="TableContents"/>
              <w:shd w:fill="2E3440" w:val="clear"/>
              <w:bidi w:val="0"/>
              <w:spacing w:before="120" w:after="120"/>
              <w:jc w:val="left"/>
              <w:rPr/>
            </w:pPr>
            <w:r>
              <w:rPr/>
              <w:t>A separate autopilot guide with worked examples</w:t>
            </w:r>
          </w:p>
        </w:tc>
      </w:tr>
      <w:tr>
        <w:trPr/>
        <w:tc>
          <w:tcPr>
            <w:tcW w:w="1007" w:type="dxa"/>
            <w:tcBorders/>
            <w:vAlign w:val="center"/>
          </w:tcPr>
          <w:p>
            <w:pPr>
              <w:pStyle w:val="TableContents"/>
              <w:shd w:fill="2E3440" w:val="clear"/>
              <w:bidi w:val="0"/>
              <w:spacing w:before="120" w:after="120"/>
              <w:jc w:val="left"/>
              <w:rPr/>
            </w:pPr>
            <w:r>
              <w:rPr/>
              <w:t>T-0506</w:t>
            </w:r>
          </w:p>
        </w:tc>
        <w:tc>
          <w:tcPr>
            <w:tcW w:w="2881"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is personal (the stricter of the two wins),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ind w:hanging="283" w:left="829"/>
        <w:jc w:val="left"/>
        <w:rPr/>
      </w:pPr>
      <w:r>
        <w:rPr>
          <w:rStyle w:val="SourceText"/>
        </w:rPr>
        <w:t>plugin/crew/CONFIG.md</w:t>
      </w:r>
      <w:r>
        <w:rPr/>
        <w:t xml:space="preserve"> holds the reasoning behind each setting, and ships with the plugin. </w:t>
      </w:r>
    </w:p>
    <w:p>
      <w:pPr>
        <w:pStyle w:val="BodyText"/>
        <w:bidi w:val="0"/>
        <w:spacing w:before="120" w:after="120"/>
        <w:jc w:val="left"/>
        <w:rPr/>
      </w:pPr>
      <w:r>
        <w:rPr/>
        <w:t xml:space="preserve">Every write a crew script makes to either file first copies the old file to </w:t>
      </w:r>
      <w:r>
        <w:rPr>
          <w:rStyle w:val="SourceText"/>
        </w:rPr>
        <w:t>~/.claude/crew/backups/</w:t>
      </w:r>
      <w:r>
        <w:rPr/>
        <w:t xml:space="preserve"> and is refused if that copy fails (a hand edit is not backed up); </w:t>
      </w:r>
      <w:r>
        <w:rPr>
          <w:rStyle w:val="SourceText"/>
        </w:rPr>
        <w:t>crew_config.py --backups</w:t>
      </w:r>
      <w:r>
        <w:rPr/>
        <w:t xml:space="preserve"> lists the copies and </w:t>
      </w:r>
      <w:r>
        <w:rPr>
          <w:rStyle w:val="SourceText"/>
        </w:rPr>
        <w:t>--restore &lt;stamp&gt;</w:t>
      </w:r>
      <w:r>
        <w:rPr/>
        <w:t xml:space="preserve"> puts one back. crew also keeps your non-default values in </w:t>
      </w:r>
      <w:r>
        <w:rPr>
          <w:rStyle w:val="SourceText"/>
        </w:rPr>
        <w:t>~/.claude/crew/profile.json</w:t>
      </w:r>
      <w:r>
        <w:rPr/>
        <w:t xml:space="preserve">, so </w:t>
      </w:r>
      <w:r>
        <w:rPr>
          <w:rStyle w:val="SourceText"/>
        </w:rPr>
        <w:t>crew_config.py --rebuild --repo</w:t>
      </w:r>
      <w:r>
        <w:rPr/>
        <w:t xml:space="preserve"> (or </w:t>
      </w:r>
      <w:r>
        <w:rPr>
          <w:rStyle w:val="SourceText"/>
        </w:rPr>
        <w:t>--global</w:t>
      </w:r>
      <w:r>
        <w:rPr/>
        <w:t xml:space="preserve">) regenerates a lost or corrupt config from the template plus that profile, as a dry run until </w:t>
      </w:r>
      <w:r>
        <w:rPr>
          <w:rStyle w:val="SourceText"/>
        </w:rPr>
        <w:t>--apply</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1.1 -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