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DBE2" w14:textId="77777777" w:rsidR="00AC3701" w:rsidRDefault="00AC3701" w:rsidP="00AC3701">
      <w:r>
        <w:t>Time Series</w:t>
      </w:r>
    </w:p>
    <w:p w14:paraId="0FED667D" w14:textId="77777777" w:rsidR="00AC3701" w:rsidRDefault="00AC3701" w:rsidP="00AC3701">
      <w:r>
        <w:t xml:space="preserve">Cryptocurrency, over the years, have gained interest from investors, central banks and governments all over the world. </w:t>
      </w:r>
      <w:r w:rsidRPr="00020FED">
        <w:t>The lack of political regulation and their market far from being efficient, require new forms of regulation in the future. From an econometric viewpoint, the process underlying the evolution of the cryptocurrencies volatility has been found to exhibit at the same time differences and similarities with other financial time</w:t>
      </w:r>
      <w:r>
        <w:t xml:space="preserve"> </w:t>
      </w:r>
      <w:r w:rsidRPr="00020FED">
        <w:t>series, e.g. foreign exchanges</w:t>
      </w:r>
      <w:r>
        <w:t xml:space="preserve"> </w:t>
      </w:r>
      <w:proofErr w:type="gramStart"/>
      <w:r>
        <w:t>returns</w:t>
      </w:r>
      <w:proofErr w:type="gramEnd"/>
      <w:r>
        <w:t>,</w:t>
      </w:r>
      <w:r w:rsidRPr="002F4403">
        <w:t xml:space="preserve"> stock market, commodity market</w:t>
      </w:r>
      <w:r w:rsidRPr="00020FED">
        <w:t>. We investigate the effect of accounting for long memory in the volatility process as well as its asymmetric reaction to past values of the series to predict volatility levels.</w:t>
      </w:r>
    </w:p>
    <w:p w14:paraId="218186C7" w14:textId="77777777" w:rsidR="00AC3701" w:rsidRPr="00C20003" w:rsidRDefault="00AC3701" w:rsidP="00AC3701">
      <w:r>
        <w:t xml:space="preserve">To measure the volatility levels in data, time series analysis is a perfect tool. Time series </w:t>
      </w:r>
      <w:proofErr w:type="gramStart"/>
      <w:r>
        <w:t>analysis  comprise</w:t>
      </w:r>
      <w:proofErr w:type="gramEnd"/>
      <w:r>
        <w:t xml:space="preserve"> methods for analyzing time series data in order to extract meaningful characteristics and volatility levels of the data. Perfect </w:t>
      </w:r>
      <w:r w:rsidRPr="00CF1E2B">
        <w:t>mechanism</w:t>
      </w:r>
      <w:r>
        <w:t xml:space="preserve"> to predict future values based on previously observed data,</w:t>
      </w:r>
      <w:r w:rsidRPr="00C20003">
        <w:rPr>
          <w:lang w:val="en-GB"/>
        </w:rPr>
        <w:t xml:space="preserve"> monitoring </w:t>
      </w:r>
      <w:r>
        <w:rPr>
          <w:lang w:val="en-GB"/>
        </w:rPr>
        <w:t>trends and</w:t>
      </w:r>
      <w:r w:rsidRPr="00C20003">
        <w:rPr>
          <w:lang w:val="en-GB"/>
        </w:rPr>
        <w:t xml:space="preserve"> even feedback and feedforward control</w:t>
      </w:r>
      <w:r>
        <w:rPr>
          <w:lang w:val="en-GB"/>
        </w:rPr>
        <w:t>, all could be achieved from time series analysis</w:t>
      </w:r>
      <w:r w:rsidRPr="00C20003">
        <w:rPr>
          <w:lang w:val="en-GB"/>
        </w:rPr>
        <w:t>.</w:t>
      </w:r>
      <w:r w:rsidRPr="00C20003">
        <w:t xml:space="preserve"> Many of the </w:t>
      </w:r>
      <w:r>
        <w:t xml:space="preserve">principal attributes </w:t>
      </w:r>
      <w:r w:rsidRPr="00C20003">
        <w:t xml:space="preserve">that characterize </w:t>
      </w:r>
      <w:r>
        <w:t xml:space="preserve">generally </w:t>
      </w:r>
      <w:r w:rsidRPr="00C20003">
        <w:t>financial time–series also apply to cryptocurrencies</w:t>
      </w:r>
      <w:r>
        <w:t xml:space="preserve">. </w:t>
      </w:r>
      <w:r w:rsidRPr="0038010D">
        <w:t xml:space="preserve">For </w:t>
      </w:r>
      <w:proofErr w:type="gramStart"/>
      <w:r w:rsidRPr="0038010D">
        <w:t>instance</w:t>
      </w:r>
      <w:proofErr w:type="gramEnd"/>
      <w:r>
        <w:t xml:space="preserve"> cryptocurrencies exhibits, similar to other financial markets; time-varying volatility, extreme observations and </w:t>
      </w:r>
      <w:r w:rsidRPr="0038010D">
        <w:t>an asymmetric reaction of the volatility process to the sign of past observations (i.e., leverage effect).</w:t>
      </w:r>
    </w:p>
    <w:p w14:paraId="011C5112" w14:textId="77777777" w:rsidR="00AC3701" w:rsidRDefault="00AC3701" w:rsidP="00AC3701"/>
    <w:p w14:paraId="365ECBAC" w14:textId="77777777" w:rsidR="00AC3701" w:rsidRDefault="00AC3701" w:rsidP="00AC3701">
      <w:r>
        <w:t>Autocorrelation</w:t>
      </w:r>
    </w:p>
    <w:p w14:paraId="6DB85ECC" w14:textId="77777777" w:rsidR="00AC3701" w:rsidRDefault="00AC3701" w:rsidP="00AC3701">
      <w:r w:rsidRPr="00107C91">
        <w:t>In the case of time series data, if the observations show inter-correlation, specifically in those cases where the time intervals are small, then these inter-correlations are given the term of autocorrelation.</w:t>
      </w:r>
      <w:r>
        <w:t xml:space="preserve"> A</w:t>
      </w:r>
      <w:r w:rsidRPr="007C783A">
        <w:t xml:space="preserve">utocorrelation is a mathematical </w:t>
      </w:r>
      <w:r>
        <w:t>representation</w:t>
      </w:r>
      <w:r w:rsidRPr="007C783A">
        <w:t xml:space="preserve"> for finding repeating patterns, such as the presence of a periodic signal </w:t>
      </w:r>
      <w:r>
        <w:t>(</w:t>
      </w:r>
      <w:r w:rsidRPr="008B6580">
        <w:t>repeat</w:t>
      </w:r>
      <w:r>
        <w:t>ed</w:t>
      </w:r>
      <w:r w:rsidRPr="008B6580">
        <w:t xml:space="preserve"> regular interval</w:t>
      </w:r>
      <w:r>
        <w:t>) complicated</w:t>
      </w:r>
      <w:r w:rsidRPr="007C783A">
        <w:t xml:space="preserve"> by </w:t>
      </w:r>
      <w:proofErr w:type="gramStart"/>
      <w:r w:rsidRPr="007C783A">
        <w:t>noise, or</w:t>
      </w:r>
      <w:proofErr w:type="gramEnd"/>
      <w:r w:rsidRPr="007C783A">
        <w:t xml:space="preserve"> identifying the missing fundamental frequency in a signal implied by its harmonic frequencies.</w:t>
      </w:r>
      <w:r>
        <w:t xml:space="preserve"> It is the same as calculating the correlation between two different time series, except that the same time series is used twice: once in its original form and once lagged </w:t>
      </w:r>
      <w:proofErr w:type="gramStart"/>
      <w:r>
        <w:t>one or more time</w:t>
      </w:r>
      <w:proofErr w:type="gramEnd"/>
      <w:r>
        <w:t xml:space="preserve"> periods.</w:t>
      </w:r>
    </w:p>
    <w:p w14:paraId="5519B131" w14:textId="77777777" w:rsidR="00AC3701" w:rsidRDefault="00AC3701" w:rsidP="00AC3701">
      <w:r>
        <w:t>A</w:t>
      </w:r>
      <w:r w:rsidRPr="00177013">
        <w:t xml:space="preserve">utocorrelation can be useful for technical analysis, which is more concerned with the trends of and relationships between </w:t>
      </w:r>
      <w:r>
        <w:t>crypto</w:t>
      </w:r>
      <w:r w:rsidRPr="00177013">
        <w:t xml:space="preserve"> prices</w:t>
      </w:r>
      <w:r>
        <w:t xml:space="preserve"> and value. </w:t>
      </w:r>
      <w:r w:rsidRPr="00177013">
        <w:t xml:space="preserve">Technical analysts can use autocorrelation to see how much of an impact past </w:t>
      </w:r>
      <w:r>
        <w:t>value</w:t>
      </w:r>
      <w:r w:rsidRPr="00177013">
        <w:t xml:space="preserve"> for a security have on its future price.</w:t>
      </w:r>
    </w:p>
    <w:p w14:paraId="55AF9305" w14:textId="77777777" w:rsidR="00AC3701" w:rsidRDefault="00AC3701" w:rsidP="00AC3701"/>
    <w:p w14:paraId="4BA80813" w14:textId="77777777" w:rsidR="00AC3701" w:rsidRDefault="00AC3701" w:rsidP="00AC3701"/>
    <w:p w14:paraId="084A91E7" w14:textId="77777777" w:rsidR="00AC3701" w:rsidRDefault="00AC3701" w:rsidP="00AC3701"/>
    <w:p w14:paraId="2FCC0BF5" w14:textId="77777777" w:rsidR="00AC3701" w:rsidRDefault="00AC3701" w:rsidP="00AC3701">
      <w:r>
        <w:t>EXPLAIN BITCOIN RESULT</w:t>
      </w:r>
      <w:r>
        <w:br/>
      </w:r>
    </w:p>
    <w:tbl>
      <w:tblPr>
        <w:tblStyle w:val="TableGrid"/>
        <w:tblW w:w="0" w:type="auto"/>
        <w:tblLook w:val="04A0" w:firstRow="1" w:lastRow="0" w:firstColumn="1" w:lastColumn="0" w:noHBand="0" w:noVBand="1"/>
      </w:tblPr>
      <w:tblGrid>
        <w:gridCol w:w="2547"/>
        <w:gridCol w:w="2551"/>
        <w:gridCol w:w="2977"/>
      </w:tblGrid>
      <w:tr w:rsidR="00AC3701" w:rsidRPr="00975ABD" w14:paraId="6011E7F1" w14:textId="77777777" w:rsidTr="00AC4EEB">
        <w:tc>
          <w:tcPr>
            <w:tcW w:w="2547" w:type="dxa"/>
          </w:tcPr>
          <w:p w14:paraId="41F382F5" w14:textId="77777777" w:rsidR="00AC3701" w:rsidRPr="00975ABD" w:rsidRDefault="00AC3701" w:rsidP="00AC4EEB">
            <w:pPr>
              <w:tabs>
                <w:tab w:val="left" w:pos="960"/>
              </w:tabs>
              <w:rPr>
                <w:sz w:val="20"/>
              </w:rPr>
            </w:pPr>
          </w:p>
        </w:tc>
        <w:tc>
          <w:tcPr>
            <w:tcW w:w="2551" w:type="dxa"/>
          </w:tcPr>
          <w:p w14:paraId="35F3B963" w14:textId="77777777" w:rsidR="00AC3701" w:rsidRPr="00975ABD" w:rsidRDefault="00AC3701" w:rsidP="00AC4EEB">
            <w:pPr>
              <w:tabs>
                <w:tab w:val="left" w:pos="960"/>
              </w:tabs>
              <w:rPr>
                <w:sz w:val="20"/>
              </w:rPr>
            </w:pPr>
            <w:r w:rsidRPr="00975ABD">
              <w:rPr>
                <w:sz w:val="20"/>
              </w:rPr>
              <w:t>Bitcoin</w:t>
            </w:r>
          </w:p>
        </w:tc>
        <w:tc>
          <w:tcPr>
            <w:tcW w:w="2977" w:type="dxa"/>
          </w:tcPr>
          <w:p w14:paraId="621BD046" w14:textId="77777777" w:rsidR="00AC3701" w:rsidRPr="00975ABD" w:rsidRDefault="00AC3701" w:rsidP="00AC4EEB">
            <w:pPr>
              <w:tabs>
                <w:tab w:val="left" w:pos="960"/>
              </w:tabs>
              <w:rPr>
                <w:sz w:val="20"/>
              </w:rPr>
            </w:pPr>
            <w:r w:rsidRPr="00975ABD">
              <w:rPr>
                <w:sz w:val="20"/>
              </w:rPr>
              <w:t>Ethereum</w:t>
            </w:r>
          </w:p>
        </w:tc>
      </w:tr>
      <w:tr w:rsidR="00AC3701" w:rsidRPr="00267B73" w14:paraId="1522FB4D" w14:textId="77777777" w:rsidTr="00AC4EEB">
        <w:trPr>
          <w:trHeight w:val="799"/>
        </w:trPr>
        <w:tc>
          <w:tcPr>
            <w:tcW w:w="2547" w:type="dxa"/>
          </w:tcPr>
          <w:p w14:paraId="29FBF293" w14:textId="77777777" w:rsidR="00AC3701" w:rsidRPr="00975ABD" w:rsidRDefault="00AC3701" w:rsidP="00AC4EEB">
            <w:pPr>
              <w:tabs>
                <w:tab w:val="left" w:pos="960"/>
              </w:tabs>
              <w:rPr>
                <w:sz w:val="20"/>
              </w:rPr>
            </w:pPr>
            <w:r w:rsidRPr="00975ABD">
              <w:rPr>
                <w:sz w:val="20"/>
              </w:rPr>
              <w:lastRenderedPageBreak/>
              <w:t>Random Forest Regressor</w:t>
            </w:r>
          </w:p>
        </w:tc>
        <w:tc>
          <w:tcPr>
            <w:tcW w:w="2551" w:type="dxa"/>
          </w:tcPr>
          <w:p w14:paraId="4195CC11" w14:textId="77777777" w:rsidR="00AC3701" w:rsidRPr="00267B73" w:rsidRDefault="00AC3701" w:rsidP="00AC4EEB">
            <w:pPr>
              <w:tabs>
                <w:tab w:val="left" w:pos="960"/>
              </w:tabs>
              <w:rPr>
                <w:sz w:val="18"/>
                <w:szCs w:val="18"/>
              </w:rPr>
            </w:pPr>
            <w:r w:rsidRPr="00267B73">
              <w:rPr>
                <w:sz w:val="18"/>
                <w:szCs w:val="18"/>
              </w:rPr>
              <w:t>R2: 0.85</w:t>
            </w:r>
          </w:p>
          <w:p w14:paraId="2AC279C6"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1010.13</w:t>
            </w:r>
          </w:p>
          <w:p w14:paraId="01C6735B"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2540545</w:t>
            </w:r>
          </w:p>
        </w:tc>
        <w:tc>
          <w:tcPr>
            <w:tcW w:w="2977" w:type="dxa"/>
          </w:tcPr>
          <w:p w14:paraId="3544160B"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0.84</w:t>
            </w:r>
          </w:p>
          <w:p w14:paraId="100E6F61" w14:textId="77777777" w:rsidR="00AC3701" w:rsidRPr="00267B73" w:rsidRDefault="00AC3701" w:rsidP="00AC4EEB">
            <w:pPr>
              <w:tabs>
                <w:tab w:val="left" w:pos="960"/>
              </w:tabs>
              <w:rPr>
                <w:sz w:val="18"/>
                <w:szCs w:val="18"/>
              </w:rPr>
            </w:pPr>
            <w:r w:rsidRPr="00267B73">
              <w:rPr>
                <w:sz w:val="18"/>
                <w:szCs w:val="18"/>
              </w:rPr>
              <w:t>MAE:66.67</w:t>
            </w:r>
          </w:p>
          <w:p w14:paraId="14D39C61" w14:textId="77777777" w:rsidR="00AC3701" w:rsidRPr="00267B73" w:rsidRDefault="00AC3701" w:rsidP="00AC4EEB">
            <w:pPr>
              <w:tabs>
                <w:tab w:val="left" w:pos="960"/>
              </w:tabs>
              <w:rPr>
                <w:sz w:val="18"/>
                <w:szCs w:val="18"/>
              </w:rPr>
            </w:pPr>
            <w:r w:rsidRPr="00267B73">
              <w:rPr>
                <w:sz w:val="18"/>
                <w:szCs w:val="18"/>
              </w:rPr>
              <w:t>MSE:8603.4</w:t>
            </w:r>
          </w:p>
        </w:tc>
      </w:tr>
      <w:tr w:rsidR="00AC3701" w:rsidRPr="00267B73" w14:paraId="0EA3D22D" w14:textId="77777777" w:rsidTr="00AC4EEB">
        <w:trPr>
          <w:trHeight w:val="878"/>
        </w:trPr>
        <w:tc>
          <w:tcPr>
            <w:tcW w:w="2547" w:type="dxa"/>
          </w:tcPr>
          <w:p w14:paraId="7A0F6614" w14:textId="77777777" w:rsidR="00AC3701" w:rsidRPr="00975ABD" w:rsidRDefault="00AC3701" w:rsidP="00AC4EEB">
            <w:pPr>
              <w:tabs>
                <w:tab w:val="left" w:pos="960"/>
              </w:tabs>
              <w:rPr>
                <w:sz w:val="20"/>
              </w:rPr>
            </w:pPr>
            <w:r w:rsidRPr="00975ABD">
              <w:rPr>
                <w:sz w:val="20"/>
              </w:rPr>
              <w:t xml:space="preserve">Gradient Boosting </w:t>
            </w:r>
          </w:p>
        </w:tc>
        <w:tc>
          <w:tcPr>
            <w:tcW w:w="2551" w:type="dxa"/>
          </w:tcPr>
          <w:p w14:paraId="3BCBF471"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0.86</w:t>
            </w:r>
          </w:p>
          <w:p w14:paraId="1A6D718A"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1016.9</w:t>
            </w:r>
          </w:p>
          <w:p w14:paraId="73A9707B"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2464682.2</w:t>
            </w:r>
          </w:p>
        </w:tc>
        <w:tc>
          <w:tcPr>
            <w:tcW w:w="2977" w:type="dxa"/>
          </w:tcPr>
          <w:p w14:paraId="464D051C"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0.82</w:t>
            </w:r>
          </w:p>
          <w:p w14:paraId="13C9E8B4"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70.71</w:t>
            </w:r>
          </w:p>
          <w:p w14:paraId="43F0F996"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9799.4</w:t>
            </w:r>
          </w:p>
        </w:tc>
      </w:tr>
      <w:tr w:rsidR="00AC3701" w:rsidRPr="00267B73" w14:paraId="668F95A2" w14:textId="77777777" w:rsidTr="00AC4EEB">
        <w:trPr>
          <w:trHeight w:val="816"/>
        </w:trPr>
        <w:tc>
          <w:tcPr>
            <w:tcW w:w="2547" w:type="dxa"/>
          </w:tcPr>
          <w:p w14:paraId="3DC2C44A" w14:textId="77777777" w:rsidR="00AC3701" w:rsidRPr="00975ABD" w:rsidRDefault="00AC3701" w:rsidP="00AC4EEB">
            <w:pPr>
              <w:tabs>
                <w:tab w:val="left" w:pos="960"/>
              </w:tabs>
              <w:rPr>
                <w:sz w:val="20"/>
              </w:rPr>
            </w:pPr>
            <w:r w:rsidRPr="00975ABD">
              <w:rPr>
                <w:sz w:val="20"/>
              </w:rPr>
              <w:t>Extra Trees</w:t>
            </w:r>
          </w:p>
        </w:tc>
        <w:tc>
          <w:tcPr>
            <w:tcW w:w="2551" w:type="dxa"/>
          </w:tcPr>
          <w:p w14:paraId="73F130B5"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0.87</w:t>
            </w:r>
          </w:p>
          <w:p w14:paraId="06E68A31"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900.37</w:t>
            </w:r>
          </w:p>
          <w:p w14:paraId="555025C8"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2222611.46</w:t>
            </w:r>
          </w:p>
        </w:tc>
        <w:tc>
          <w:tcPr>
            <w:tcW w:w="2977" w:type="dxa"/>
          </w:tcPr>
          <w:p w14:paraId="7EC65B65"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0.81</w:t>
            </w:r>
          </w:p>
          <w:p w14:paraId="1AAD278E"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70.1</w:t>
            </w:r>
          </w:p>
          <w:p w14:paraId="7FD341C8"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10288.24</w:t>
            </w:r>
          </w:p>
        </w:tc>
      </w:tr>
      <w:tr w:rsidR="00AC3701" w:rsidRPr="00267B73" w14:paraId="092EF265" w14:textId="77777777" w:rsidTr="00AC4EEB">
        <w:trPr>
          <w:trHeight w:val="834"/>
        </w:trPr>
        <w:tc>
          <w:tcPr>
            <w:tcW w:w="2547" w:type="dxa"/>
          </w:tcPr>
          <w:p w14:paraId="2D6C4AFC" w14:textId="77777777" w:rsidR="00AC3701" w:rsidRPr="00975ABD" w:rsidRDefault="00AC3701" w:rsidP="00AC4EEB">
            <w:pPr>
              <w:tabs>
                <w:tab w:val="left" w:pos="960"/>
              </w:tabs>
              <w:rPr>
                <w:sz w:val="20"/>
              </w:rPr>
            </w:pPr>
            <w:r w:rsidRPr="00975ABD">
              <w:rPr>
                <w:sz w:val="20"/>
              </w:rPr>
              <w:t>Bayesian Ridge</w:t>
            </w:r>
          </w:p>
        </w:tc>
        <w:tc>
          <w:tcPr>
            <w:tcW w:w="2551" w:type="dxa"/>
          </w:tcPr>
          <w:p w14:paraId="2E8564F0"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0.7</w:t>
            </w:r>
          </w:p>
          <w:p w14:paraId="4E7E184A"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1714.85</w:t>
            </w:r>
          </w:p>
          <w:p w14:paraId="5676A533"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5178364.12</w:t>
            </w:r>
          </w:p>
        </w:tc>
        <w:tc>
          <w:tcPr>
            <w:tcW w:w="2977" w:type="dxa"/>
          </w:tcPr>
          <w:p w14:paraId="20AC78F6"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0.47</w:t>
            </w:r>
          </w:p>
          <w:p w14:paraId="13A92A45"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106.9</w:t>
            </w:r>
          </w:p>
          <w:p w14:paraId="5BC755AF"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29131.3</w:t>
            </w:r>
          </w:p>
        </w:tc>
      </w:tr>
      <w:tr w:rsidR="00AC3701" w:rsidRPr="00267B73" w14:paraId="07D05519" w14:textId="77777777" w:rsidTr="00AC4EEB">
        <w:trPr>
          <w:trHeight w:val="846"/>
        </w:trPr>
        <w:tc>
          <w:tcPr>
            <w:tcW w:w="2547" w:type="dxa"/>
          </w:tcPr>
          <w:p w14:paraId="6915BBAB" w14:textId="77777777" w:rsidR="00AC3701" w:rsidRPr="00975ABD" w:rsidRDefault="00AC3701" w:rsidP="00AC4EEB">
            <w:pPr>
              <w:tabs>
                <w:tab w:val="left" w:pos="960"/>
              </w:tabs>
              <w:rPr>
                <w:sz w:val="20"/>
              </w:rPr>
            </w:pPr>
            <w:r w:rsidRPr="00975ABD">
              <w:rPr>
                <w:sz w:val="20"/>
              </w:rPr>
              <w:t>Elastic Net CV</w:t>
            </w:r>
          </w:p>
        </w:tc>
        <w:tc>
          <w:tcPr>
            <w:tcW w:w="2551" w:type="dxa"/>
          </w:tcPr>
          <w:p w14:paraId="01CD8B0E" w14:textId="77777777" w:rsidR="00AC3701" w:rsidRPr="00267B73" w:rsidRDefault="00AC3701" w:rsidP="00AC4EEB">
            <w:pPr>
              <w:tabs>
                <w:tab w:val="left" w:pos="960"/>
              </w:tabs>
              <w:rPr>
                <w:sz w:val="18"/>
                <w:szCs w:val="18"/>
              </w:rPr>
            </w:pPr>
            <w:r w:rsidRPr="00267B73">
              <w:rPr>
                <w:sz w:val="18"/>
                <w:szCs w:val="18"/>
              </w:rPr>
              <w:t>R2:</w:t>
            </w:r>
            <w:r>
              <w:rPr>
                <w:sz w:val="18"/>
                <w:szCs w:val="18"/>
              </w:rPr>
              <w:t xml:space="preserve"> </w:t>
            </w:r>
            <w:r w:rsidRPr="00267B73">
              <w:rPr>
                <w:sz w:val="18"/>
                <w:szCs w:val="18"/>
              </w:rPr>
              <w:t>0.66</w:t>
            </w:r>
          </w:p>
          <w:p w14:paraId="455C5C32" w14:textId="77777777" w:rsidR="00AC3701" w:rsidRPr="00267B73" w:rsidRDefault="00AC3701" w:rsidP="00AC4EEB">
            <w:pPr>
              <w:tabs>
                <w:tab w:val="left" w:pos="960"/>
              </w:tabs>
              <w:rPr>
                <w:sz w:val="18"/>
                <w:szCs w:val="18"/>
              </w:rPr>
            </w:pPr>
            <w:r w:rsidRPr="00267B73">
              <w:rPr>
                <w:sz w:val="18"/>
                <w:szCs w:val="18"/>
              </w:rPr>
              <w:t>MAE:</w:t>
            </w:r>
            <w:r>
              <w:rPr>
                <w:sz w:val="18"/>
                <w:szCs w:val="18"/>
              </w:rPr>
              <w:t xml:space="preserve"> </w:t>
            </w:r>
            <w:r w:rsidRPr="00267B73">
              <w:rPr>
                <w:sz w:val="18"/>
                <w:szCs w:val="18"/>
              </w:rPr>
              <w:t>1831.29</w:t>
            </w:r>
          </w:p>
          <w:p w14:paraId="0349C848"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5841023.25</w:t>
            </w:r>
          </w:p>
        </w:tc>
        <w:tc>
          <w:tcPr>
            <w:tcW w:w="2977" w:type="dxa"/>
          </w:tcPr>
          <w:p w14:paraId="40951BAB" w14:textId="77777777" w:rsidR="00AC3701" w:rsidRPr="00267B73" w:rsidRDefault="00AC3701" w:rsidP="00AC4EEB">
            <w:pPr>
              <w:tabs>
                <w:tab w:val="left" w:pos="960"/>
              </w:tabs>
              <w:rPr>
                <w:sz w:val="18"/>
                <w:szCs w:val="18"/>
              </w:rPr>
            </w:pPr>
            <w:r w:rsidRPr="00267B73">
              <w:rPr>
                <w:sz w:val="18"/>
                <w:szCs w:val="18"/>
              </w:rPr>
              <w:t>R2: 0.35</w:t>
            </w:r>
          </w:p>
          <w:p w14:paraId="33533ABA" w14:textId="77777777" w:rsidR="00AC3701" w:rsidRPr="00267B73" w:rsidRDefault="00AC3701" w:rsidP="00AC4EEB">
            <w:pPr>
              <w:tabs>
                <w:tab w:val="left" w:pos="960"/>
              </w:tabs>
              <w:rPr>
                <w:sz w:val="18"/>
                <w:szCs w:val="18"/>
              </w:rPr>
            </w:pPr>
            <w:r w:rsidRPr="00267B73">
              <w:rPr>
                <w:sz w:val="18"/>
                <w:szCs w:val="18"/>
              </w:rPr>
              <w:t>MAE: 143.7</w:t>
            </w:r>
          </w:p>
          <w:p w14:paraId="1B00C69E" w14:textId="77777777" w:rsidR="00AC3701" w:rsidRPr="00267B73" w:rsidRDefault="00AC3701" w:rsidP="00AC4EEB">
            <w:pPr>
              <w:tabs>
                <w:tab w:val="left" w:pos="960"/>
              </w:tabs>
              <w:rPr>
                <w:sz w:val="18"/>
                <w:szCs w:val="18"/>
              </w:rPr>
            </w:pPr>
            <w:r w:rsidRPr="00267B73">
              <w:rPr>
                <w:sz w:val="18"/>
                <w:szCs w:val="18"/>
              </w:rPr>
              <w:t>MSE:</w:t>
            </w:r>
            <w:r>
              <w:rPr>
                <w:sz w:val="18"/>
                <w:szCs w:val="18"/>
              </w:rPr>
              <w:t xml:space="preserve"> </w:t>
            </w:r>
            <w:r w:rsidRPr="00267B73">
              <w:rPr>
                <w:sz w:val="18"/>
                <w:szCs w:val="18"/>
              </w:rPr>
              <w:t>36031.04</w:t>
            </w:r>
          </w:p>
        </w:tc>
      </w:tr>
    </w:tbl>
    <w:p w14:paraId="5E5D4E50" w14:textId="77777777" w:rsidR="00AC3701" w:rsidRDefault="00AC3701" w:rsidP="00AC3701">
      <w:r>
        <w:t>Applying machine learning models</w:t>
      </w:r>
    </w:p>
    <w:p w14:paraId="3C922FAD" w14:textId="77777777" w:rsidR="00AC3701" w:rsidRDefault="00AC3701" w:rsidP="00AC3701">
      <w:r>
        <w:t xml:space="preserve">In this coursework we have managed to use five different kinds of regression models that were applied to Bitcoin and Ethereum. As we can see from the table above the five models used in this coursework were: Random Forest Regressor, </w:t>
      </w:r>
      <w:proofErr w:type="spellStart"/>
      <w:r>
        <w:t>Gradeient</w:t>
      </w:r>
      <w:proofErr w:type="spellEnd"/>
      <w:r>
        <w:t xml:space="preserve"> </w:t>
      </w:r>
      <w:proofErr w:type="spellStart"/>
      <w:r>
        <w:t>Boostin</w:t>
      </w:r>
      <w:proofErr w:type="spellEnd"/>
      <w:r>
        <w:t>, Extra Trees, Bayesian Ridge and Elastic Net CV.</w:t>
      </w:r>
    </w:p>
    <w:p w14:paraId="4F3BC6CE" w14:textId="77777777" w:rsidR="00AC3701" w:rsidRDefault="00AC3701" w:rsidP="00AC3701">
      <w:r>
        <w:t xml:space="preserve">The R-squared value of a regression function shows how close the data is to the fitted regression line This means that in Bitcoin, the regression function Extra Trees had 87% of the data closely plotted against the fitted line. The Mean Absolute Error (MAE) can be defined as the measure of difference between two continuous variables. Simply put </w:t>
      </w:r>
      <w:r w:rsidRPr="00654B40">
        <w:t>Mean Absolute Error (MAE) is the average vertical distance between each point and the Y=X line</w:t>
      </w:r>
      <w:r>
        <w:t xml:space="preserve">. This value </w:t>
      </w:r>
      <w:proofErr w:type="gramStart"/>
      <w:r>
        <w:t>has to</w:t>
      </w:r>
      <w:proofErr w:type="gramEnd"/>
      <w:r>
        <w:t xml:space="preserve"> as low as possible for the regression to be claimed as suitable for a model. The MSE (Mean Square Error) measures the average of square of errors. In this case the MSE is 2222611.46.  In Bitcoin, we chose Extra Trees as our suitable regression function. </w:t>
      </w:r>
    </w:p>
    <w:p w14:paraId="4346A733" w14:textId="77777777" w:rsidR="00AC3701" w:rsidRDefault="00AC3701" w:rsidP="00AC3701">
      <w:r>
        <w:t xml:space="preserve">In Ethereum however, we have decided to go with Random Forest Regression. The R-squared value tells us that 84% of the points are close to the fitted regression line. The MAE value is 66.67 while the MSE is 8603.4 which tells us the average of square of errors. It can simply be defined as the difference between estimator and the estimated. </w:t>
      </w:r>
    </w:p>
    <w:p w14:paraId="08892B9E" w14:textId="77777777" w:rsidR="00AC3701" w:rsidRDefault="00AC3701" w:rsidP="00AC3701"/>
    <w:p w14:paraId="115B08F2" w14:textId="77777777" w:rsidR="00AC3701" w:rsidRDefault="00AC3701" w:rsidP="00AC3701">
      <w:r>
        <w:t xml:space="preserve">Price prediction </w:t>
      </w:r>
    </w:p>
    <w:tbl>
      <w:tblPr>
        <w:tblStyle w:val="TableGrid"/>
        <w:tblW w:w="0" w:type="auto"/>
        <w:tblLook w:val="04A0" w:firstRow="1" w:lastRow="0" w:firstColumn="1" w:lastColumn="0" w:noHBand="0" w:noVBand="1"/>
      </w:tblPr>
      <w:tblGrid>
        <w:gridCol w:w="9350"/>
      </w:tblGrid>
      <w:tr w:rsidR="00AC3701" w14:paraId="6273BB16" w14:textId="77777777" w:rsidTr="00AC4EEB">
        <w:tc>
          <w:tcPr>
            <w:tcW w:w="9350" w:type="dxa"/>
          </w:tcPr>
          <w:p w14:paraId="6C72D665" w14:textId="77777777" w:rsidR="00AC3701" w:rsidRDefault="00AC3701" w:rsidP="00AC4EEB">
            <w:r>
              <w:t xml:space="preserve">def </w:t>
            </w:r>
            <w:proofErr w:type="gramStart"/>
            <w:r>
              <w:t>prediction(</w:t>
            </w:r>
            <w:proofErr w:type="gramEnd"/>
            <w:r>
              <w:t xml:space="preserve">name, X, y, </w:t>
            </w:r>
            <w:proofErr w:type="spellStart"/>
            <w:r>
              <w:t>X_forecast</w:t>
            </w:r>
            <w:proofErr w:type="spellEnd"/>
            <w:r>
              <w:t>):</w:t>
            </w:r>
          </w:p>
          <w:p w14:paraId="0C97E086" w14:textId="77777777" w:rsidR="00AC3701" w:rsidRDefault="00AC3701" w:rsidP="00AC4EEB">
            <w:r>
              <w:t xml:space="preserve">    if name in ['BTC', 'ETH']:</w:t>
            </w:r>
          </w:p>
          <w:p w14:paraId="398D23A9" w14:textId="77777777" w:rsidR="00AC3701" w:rsidRDefault="00AC3701" w:rsidP="00AC4EEB">
            <w:r>
              <w:t xml:space="preserve">        model = </w:t>
            </w:r>
            <w:proofErr w:type="spellStart"/>
            <w:r>
              <w:t>RandomForestRegressor</w:t>
            </w:r>
            <w:proofErr w:type="spellEnd"/>
            <w:r>
              <w:t>(</w:t>
            </w:r>
            <w:proofErr w:type="spellStart"/>
            <w:r>
              <w:t>n_estimators</w:t>
            </w:r>
            <w:proofErr w:type="spellEnd"/>
            <w:r>
              <w:t>=200)</w:t>
            </w:r>
          </w:p>
          <w:p w14:paraId="769DDFF6" w14:textId="77777777" w:rsidR="00AC3701" w:rsidRDefault="00AC3701" w:rsidP="00AC4EEB">
            <w:r>
              <w:t xml:space="preserve">    else:</w:t>
            </w:r>
          </w:p>
          <w:p w14:paraId="21A5CAD8" w14:textId="77777777" w:rsidR="00AC3701" w:rsidRDefault="00AC3701" w:rsidP="00AC4EEB">
            <w:r>
              <w:t xml:space="preserve">        model = </w:t>
            </w:r>
            <w:proofErr w:type="spellStart"/>
            <w:proofErr w:type="gramStart"/>
            <w:r>
              <w:t>ExtraTreesRegressor</w:t>
            </w:r>
            <w:proofErr w:type="spellEnd"/>
            <w:r>
              <w:t>(</w:t>
            </w:r>
            <w:proofErr w:type="spellStart"/>
            <w:proofErr w:type="gramEnd"/>
            <w:r>
              <w:t>n_estimators</w:t>
            </w:r>
            <w:proofErr w:type="spellEnd"/>
            <w:r>
              <w:t xml:space="preserve">=500, </w:t>
            </w:r>
            <w:proofErr w:type="spellStart"/>
            <w:r>
              <w:t>min_samples_split</w:t>
            </w:r>
            <w:proofErr w:type="spellEnd"/>
            <w:r>
              <w:t>=5)</w:t>
            </w:r>
          </w:p>
          <w:p w14:paraId="7063784A" w14:textId="77777777" w:rsidR="00AC3701" w:rsidRDefault="00AC3701" w:rsidP="00AC4EEB">
            <w:r>
              <w:t xml:space="preserve">    </w:t>
            </w:r>
            <w:proofErr w:type="spellStart"/>
            <w:proofErr w:type="gramStart"/>
            <w:r>
              <w:t>model.fit</w:t>
            </w:r>
            <w:proofErr w:type="spellEnd"/>
            <w:r>
              <w:t>(</w:t>
            </w:r>
            <w:proofErr w:type="gramEnd"/>
            <w:r>
              <w:t>X, y)</w:t>
            </w:r>
          </w:p>
          <w:p w14:paraId="330A9516" w14:textId="77777777" w:rsidR="00AC3701" w:rsidRDefault="00AC3701" w:rsidP="00AC4EEB">
            <w:r>
              <w:t xml:space="preserve">    target = </w:t>
            </w:r>
            <w:proofErr w:type="spellStart"/>
            <w:proofErr w:type="gramStart"/>
            <w:r>
              <w:t>model.predict</w:t>
            </w:r>
            <w:proofErr w:type="spellEnd"/>
            <w:proofErr w:type="gramEnd"/>
            <w:r>
              <w:t>(</w:t>
            </w:r>
            <w:proofErr w:type="spellStart"/>
            <w:r>
              <w:t>X_forecast</w:t>
            </w:r>
            <w:proofErr w:type="spellEnd"/>
            <w:r>
              <w:t>)</w:t>
            </w:r>
          </w:p>
          <w:p w14:paraId="38063D8A" w14:textId="77777777" w:rsidR="00AC3701" w:rsidRDefault="00AC3701" w:rsidP="00AC4EEB">
            <w:r>
              <w:lastRenderedPageBreak/>
              <w:t xml:space="preserve">    return target</w:t>
            </w:r>
          </w:p>
        </w:tc>
      </w:tr>
    </w:tbl>
    <w:p w14:paraId="0CDD20AC" w14:textId="77777777" w:rsidR="00AC3701" w:rsidRDefault="00AC3701" w:rsidP="00AC3701"/>
    <w:p w14:paraId="1A3B2C9F" w14:textId="77777777" w:rsidR="00AC3701" w:rsidRDefault="00AC3701" w:rsidP="00AC3701">
      <w:r>
        <w:t xml:space="preserve">The prediction model was not accurate enough as they have not regarded the time series nature of the data. </w:t>
      </w:r>
    </w:p>
    <w:p w14:paraId="6B2B83D6" w14:textId="77777777" w:rsidR="00AC3701" w:rsidRDefault="00AC3701" w:rsidP="00AC3701">
      <w:r>
        <w:t xml:space="preserve">In order to improve the </w:t>
      </w:r>
      <w:proofErr w:type="gramStart"/>
      <w:r>
        <w:t>prediction</w:t>
      </w:r>
      <w:proofErr w:type="gramEnd"/>
      <w:r>
        <w:t xml:space="preserve"> we need to implement ARIMA. ARIMA stands for Autoregressive Integrated moving averages. ARIMA models is used in time series data to have a better understanding of the data and to further predict the future points of the series. </w:t>
      </w:r>
    </w:p>
    <w:p w14:paraId="7F6D8BCB" w14:textId="77777777" w:rsidR="00AC3701" w:rsidRDefault="00AC3701" w:rsidP="00AC3701">
      <w:r w:rsidRPr="00A4440D">
        <w:t>This information will help investors to predict the future exchange rate of Bitcoin and in the same time volatility need to be monitor closely. This action will help investors to gain better profit and reduce loss in investment decision.</w:t>
      </w:r>
    </w:p>
    <w:p w14:paraId="2898F00C" w14:textId="60F92C64" w:rsidR="00AC3701" w:rsidRDefault="00AC3701" w:rsidP="00AC3701">
      <w:r w:rsidRPr="00A4440D">
        <w:t xml:space="preserve">Volatility is a statistical measure of the dispersion of returns for a stock market. Volatility of stock markets has created much attention among investors because high volatility can bring high returns or losses to investors (Abu Bakar and </w:t>
      </w:r>
      <w:proofErr w:type="spellStart"/>
      <w:r w:rsidRPr="00A4440D">
        <w:t>Rosbi</w:t>
      </w:r>
      <w:proofErr w:type="spellEnd"/>
      <w:r w:rsidRPr="00A4440D">
        <w:t>, 2017). This situation creates a risk to investors, because a rational investor always makes an investment decision based on risk and return (Lee, et al., 2016).</w:t>
      </w:r>
    </w:p>
    <w:tbl>
      <w:tblPr>
        <w:tblStyle w:val="TableGrid"/>
        <w:tblW w:w="0" w:type="auto"/>
        <w:tblLook w:val="04A0" w:firstRow="1" w:lastRow="0" w:firstColumn="1" w:lastColumn="0" w:noHBand="0" w:noVBand="1"/>
      </w:tblPr>
      <w:tblGrid>
        <w:gridCol w:w="9350"/>
      </w:tblGrid>
      <w:tr w:rsidR="00AC3701" w14:paraId="1E3CBE19" w14:textId="77777777" w:rsidTr="00AC3701">
        <w:tc>
          <w:tcPr>
            <w:tcW w:w="9350" w:type="dxa"/>
          </w:tcPr>
          <w:p w14:paraId="0036C2D5" w14:textId="77777777" w:rsidR="00AC3701" w:rsidRDefault="00AC3701" w:rsidP="00AC3701">
            <w:r>
              <w:t>## Explain and Predict ARIMA</w:t>
            </w:r>
          </w:p>
          <w:p w14:paraId="4FDD284A" w14:textId="77777777" w:rsidR="00AC3701" w:rsidRDefault="00AC3701" w:rsidP="00AC3701">
            <w:r>
              <w:t xml:space="preserve">from </w:t>
            </w:r>
            <w:proofErr w:type="spellStart"/>
            <w:proofErr w:type="gramStart"/>
            <w:r>
              <w:t>statsmodels.tsa.arima</w:t>
            </w:r>
            <w:proofErr w:type="gramEnd"/>
            <w:r>
              <w:t>_model</w:t>
            </w:r>
            <w:proofErr w:type="spellEnd"/>
            <w:r>
              <w:t xml:space="preserve"> import ARIMA</w:t>
            </w:r>
          </w:p>
          <w:p w14:paraId="725F8097" w14:textId="77777777" w:rsidR="00AC3701" w:rsidRDefault="00AC3701" w:rsidP="00AC3701">
            <w:r>
              <w:t>#model = ARIMA(</w:t>
            </w:r>
            <w:proofErr w:type="gramStart"/>
            <w:r>
              <w:t>bitcoin[</w:t>
            </w:r>
            <w:proofErr w:type="gramEnd"/>
            <w:r>
              <w:t>0:-30], order=(43,1,0))</w:t>
            </w:r>
          </w:p>
          <w:p w14:paraId="54D503AF" w14:textId="77777777" w:rsidR="00AC3701" w:rsidRDefault="00AC3701" w:rsidP="00AC3701">
            <w:r>
              <w:t>model = ARIMA(</w:t>
            </w:r>
            <w:proofErr w:type="gramStart"/>
            <w:r>
              <w:t>bitcoin[</w:t>
            </w:r>
            <w:proofErr w:type="gramEnd"/>
            <w:r>
              <w:t>0:-30], order=(5,1,0))</w:t>
            </w:r>
          </w:p>
          <w:p w14:paraId="0AFB40E5" w14:textId="77777777" w:rsidR="00AC3701" w:rsidRDefault="00AC3701" w:rsidP="00AC3701">
            <w:proofErr w:type="spellStart"/>
            <w:r>
              <w:t>model_fit</w:t>
            </w:r>
            <w:proofErr w:type="spellEnd"/>
            <w:r>
              <w:t xml:space="preserve"> = </w:t>
            </w:r>
            <w:proofErr w:type="spellStart"/>
            <w:proofErr w:type="gramStart"/>
            <w:r>
              <w:t>model.fit</w:t>
            </w:r>
            <w:proofErr w:type="spellEnd"/>
            <w:r>
              <w:t>(</w:t>
            </w:r>
            <w:proofErr w:type="gramEnd"/>
            <w:r>
              <w:t>)</w:t>
            </w:r>
          </w:p>
          <w:p w14:paraId="63F54F61" w14:textId="77777777" w:rsidR="00AC3701" w:rsidRDefault="00AC3701" w:rsidP="00AC3701">
            <w:r>
              <w:t>print(</w:t>
            </w:r>
            <w:proofErr w:type="spellStart"/>
            <w:r>
              <w:t>model_</w:t>
            </w:r>
            <w:proofErr w:type="gramStart"/>
            <w:r>
              <w:t>fit.summary</w:t>
            </w:r>
            <w:proofErr w:type="spellEnd"/>
            <w:proofErr w:type="gramEnd"/>
            <w:r>
              <w:t>())</w:t>
            </w:r>
          </w:p>
          <w:p w14:paraId="54F3334C" w14:textId="77777777" w:rsidR="00AC3701" w:rsidRDefault="00AC3701" w:rsidP="00AC3701">
            <w:r>
              <w:t># plot residual errors</w:t>
            </w:r>
          </w:p>
          <w:p w14:paraId="1103DC81" w14:textId="77777777" w:rsidR="00AC3701" w:rsidRDefault="00AC3701" w:rsidP="00AC3701">
            <w:r>
              <w:t xml:space="preserve">residuals = </w:t>
            </w:r>
            <w:proofErr w:type="spellStart"/>
            <w:proofErr w:type="gramStart"/>
            <w:r>
              <w:t>pd.DataFrame</w:t>
            </w:r>
            <w:proofErr w:type="spellEnd"/>
            <w:proofErr w:type="gramEnd"/>
            <w:r>
              <w:t>(</w:t>
            </w:r>
            <w:proofErr w:type="spellStart"/>
            <w:r>
              <w:t>model_fit.resid</w:t>
            </w:r>
            <w:proofErr w:type="spellEnd"/>
            <w:r>
              <w:t>)</w:t>
            </w:r>
          </w:p>
          <w:p w14:paraId="5C2EF7EF" w14:textId="77777777" w:rsidR="00AC3701" w:rsidRDefault="00AC3701" w:rsidP="00AC3701">
            <w:proofErr w:type="spellStart"/>
            <w:proofErr w:type="gramStart"/>
            <w:r>
              <w:t>residuals.plot</w:t>
            </w:r>
            <w:proofErr w:type="spellEnd"/>
            <w:proofErr w:type="gramEnd"/>
            <w:r>
              <w:t>()</w:t>
            </w:r>
          </w:p>
          <w:p w14:paraId="10EA7913" w14:textId="77777777" w:rsidR="00AC3701" w:rsidRDefault="00AC3701" w:rsidP="00AC3701">
            <w:proofErr w:type="spellStart"/>
            <w:proofErr w:type="gramStart"/>
            <w:r>
              <w:t>plt.show</w:t>
            </w:r>
            <w:proofErr w:type="spellEnd"/>
            <w:proofErr w:type="gramEnd"/>
            <w:r>
              <w:t>()</w:t>
            </w:r>
          </w:p>
          <w:p w14:paraId="0E337AF0" w14:textId="77777777" w:rsidR="00AC3701" w:rsidRDefault="00AC3701" w:rsidP="00AC3701">
            <w:proofErr w:type="spellStart"/>
            <w:proofErr w:type="gramStart"/>
            <w:r>
              <w:t>residuals.plot</w:t>
            </w:r>
            <w:proofErr w:type="spellEnd"/>
            <w:proofErr w:type="gramEnd"/>
            <w:r>
              <w:t>(kind='</w:t>
            </w:r>
            <w:proofErr w:type="spellStart"/>
            <w:r>
              <w:t>kde</w:t>
            </w:r>
            <w:proofErr w:type="spellEnd"/>
            <w:r>
              <w:t>')</w:t>
            </w:r>
          </w:p>
          <w:p w14:paraId="68000308" w14:textId="77777777" w:rsidR="00AC3701" w:rsidRDefault="00AC3701" w:rsidP="00AC3701">
            <w:proofErr w:type="spellStart"/>
            <w:proofErr w:type="gramStart"/>
            <w:r>
              <w:t>plt.show</w:t>
            </w:r>
            <w:proofErr w:type="spellEnd"/>
            <w:proofErr w:type="gramEnd"/>
            <w:r>
              <w:t>()</w:t>
            </w:r>
          </w:p>
          <w:p w14:paraId="1BE0E84E" w14:textId="63812C6F" w:rsidR="00AC3701" w:rsidRDefault="00AC3701" w:rsidP="00AC3701">
            <w:r>
              <w:t>print(</w:t>
            </w:r>
            <w:proofErr w:type="spellStart"/>
            <w:r>
              <w:t>residuals.describe</w:t>
            </w:r>
            <w:proofErr w:type="spellEnd"/>
            <w:r>
              <w:t>())</w:t>
            </w:r>
            <w:bookmarkStart w:id="0" w:name="_GoBack"/>
            <w:bookmarkEnd w:id="0"/>
          </w:p>
        </w:tc>
      </w:tr>
    </w:tbl>
    <w:p w14:paraId="5228E679" w14:textId="77777777" w:rsidR="00AC3701" w:rsidRDefault="00AC3701" w:rsidP="00AC3701"/>
    <w:p w14:paraId="0E3DB53C" w14:textId="77777777" w:rsidR="00AC3701" w:rsidRDefault="00AC3701" w:rsidP="00AC3701"/>
    <w:p w14:paraId="705E6D1A" w14:textId="77777777" w:rsidR="00AC3701" w:rsidRDefault="00AC3701" w:rsidP="00AC3701">
      <w:r>
        <w:rPr>
          <w:noProof/>
        </w:rPr>
        <w:lastRenderedPageBreak/>
        <w:drawing>
          <wp:inline distT="0" distB="0" distL="0" distR="0" wp14:anchorId="27014441" wp14:editId="76A42A55">
            <wp:extent cx="5943600" cy="4264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4025"/>
                    </a:xfrm>
                    <a:prstGeom prst="rect">
                      <a:avLst/>
                    </a:prstGeom>
                  </pic:spPr>
                </pic:pic>
              </a:graphicData>
            </a:graphic>
          </wp:inline>
        </w:drawing>
      </w:r>
    </w:p>
    <w:p w14:paraId="718C6206" w14:textId="3F41D003" w:rsidR="00AC3701" w:rsidRDefault="00AC3701" w:rsidP="00AC3701">
      <w:r>
        <w:t>The above results show that total number of observations are 295. The sample selected is from 3</w:t>
      </w:r>
      <w:r w:rsidRPr="00AC3701">
        <w:rPr>
          <w:vertAlign w:val="superscript"/>
        </w:rPr>
        <w:t>rd</w:t>
      </w:r>
      <w:r>
        <w:t xml:space="preserve"> May 2017 till 21</w:t>
      </w:r>
      <w:r w:rsidRPr="00AC3701">
        <w:rPr>
          <w:vertAlign w:val="superscript"/>
        </w:rPr>
        <w:t>st</w:t>
      </w:r>
      <w:r>
        <w:t xml:space="preserve"> February 2018. The log likelihood is -2171.3. the z value is 0.938 of constant which means 0.9 standard deviations away from mean. While the p value is 0.349 which is the probability that we have falsely rejected the null hypothesis. </w:t>
      </w:r>
    </w:p>
    <w:p w14:paraId="31996975" w14:textId="659D5CAC" w:rsidR="00AC3701" w:rsidRDefault="00AC3701" w:rsidP="00AC3701">
      <w:r>
        <w:t>Stationary time series has constant mean, variance and other statistical properties over time. I</w:t>
      </w:r>
      <w:r>
        <w:t xml:space="preserve">n-order to </w:t>
      </w:r>
      <w:r>
        <w:t xml:space="preserve">check for stationarity in time series models, </w:t>
      </w:r>
      <w:r>
        <w:t>a</w:t>
      </w:r>
      <w:r>
        <w:t>ugm</w:t>
      </w:r>
      <w:r>
        <w:t>e</w:t>
      </w:r>
      <w:r>
        <w:t xml:space="preserve">nted Dicky-Fuller tests are run. This determines how </w:t>
      </w:r>
      <w:r>
        <w:t>s</w:t>
      </w:r>
      <w:r>
        <w:t xml:space="preserve">trongly a time series is defined by a trend. It uses autoregressive model and optimizes an information criterion across multiple different lag values. </w:t>
      </w:r>
    </w:p>
    <w:p w14:paraId="656F68EC" w14:textId="77777777" w:rsidR="00AC3701" w:rsidRPr="00AA782B" w:rsidRDefault="00AC3701" w:rsidP="00AC3701">
      <w:pPr>
        <w:rPr>
          <w:color w:val="000000" w:themeColor="text1"/>
        </w:rPr>
      </w:pPr>
      <w:r>
        <w:rPr>
          <w:bCs/>
          <w:color w:val="000000" w:themeColor="text1"/>
        </w:rPr>
        <w:t>An au</w:t>
      </w:r>
      <w:r w:rsidRPr="00AA782B">
        <w:rPr>
          <w:bCs/>
          <w:color w:val="000000" w:themeColor="text1"/>
        </w:rPr>
        <w:t>gmented Dickey–Fuller test</w:t>
      </w:r>
      <w:r w:rsidRPr="00AA782B">
        <w:rPr>
          <w:color w:val="000000" w:themeColor="text1"/>
        </w:rPr>
        <w:t> (</w:t>
      </w:r>
      <w:r w:rsidRPr="00AA782B">
        <w:rPr>
          <w:bCs/>
          <w:color w:val="000000" w:themeColor="text1"/>
        </w:rPr>
        <w:t>ADF</w:t>
      </w:r>
      <w:r w:rsidRPr="00AA782B">
        <w:rPr>
          <w:color w:val="000000" w:themeColor="text1"/>
        </w:rPr>
        <w:t>) tests the </w:t>
      </w:r>
      <w:hyperlink r:id="rId6" w:tooltip="Null hypothesis" w:history="1">
        <w:r w:rsidRPr="00AA782B">
          <w:rPr>
            <w:rStyle w:val="Hyperlink"/>
            <w:color w:val="000000" w:themeColor="text1"/>
            <w:u w:val="none"/>
          </w:rPr>
          <w:t>null hypothesis</w:t>
        </w:r>
      </w:hyperlink>
      <w:r w:rsidRPr="00AA782B">
        <w:rPr>
          <w:color w:val="000000" w:themeColor="text1"/>
        </w:rPr>
        <w:t> that a </w:t>
      </w:r>
      <w:hyperlink r:id="rId7" w:tooltip="Unit root" w:history="1">
        <w:r w:rsidRPr="00AA782B">
          <w:rPr>
            <w:rStyle w:val="Hyperlink"/>
            <w:color w:val="000000" w:themeColor="text1"/>
            <w:u w:val="none"/>
          </w:rPr>
          <w:t>unit root</w:t>
        </w:r>
      </w:hyperlink>
      <w:r w:rsidRPr="00AA782B">
        <w:rPr>
          <w:color w:val="000000" w:themeColor="text1"/>
        </w:rPr>
        <w:t> is present in a </w:t>
      </w:r>
      <w:hyperlink r:id="rId8" w:tooltip="Time series" w:history="1">
        <w:r w:rsidRPr="00AA782B">
          <w:rPr>
            <w:rStyle w:val="Hyperlink"/>
            <w:color w:val="000000" w:themeColor="text1"/>
            <w:u w:val="none"/>
          </w:rPr>
          <w:t>time series</w:t>
        </w:r>
      </w:hyperlink>
      <w:r w:rsidRPr="00AA782B">
        <w:rPr>
          <w:color w:val="000000" w:themeColor="text1"/>
        </w:rPr>
        <w:t> </w:t>
      </w:r>
      <w:hyperlink r:id="rId9" w:tooltip="Sample (statistics)" w:history="1">
        <w:r w:rsidRPr="00AA782B">
          <w:rPr>
            <w:rStyle w:val="Hyperlink"/>
            <w:color w:val="000000" w:themeColor="text1"/>
            <w:u w:val="none"/>
          </w:rPr>
          <w:t>sample</w:t>
        </w:r>
      </w:hyperlink>
      <w:r w:rsidRPr="00AA782B">
        <w:rPr>
          <w:color w:val="000000" w:themeColor="text1"/>
        </w:rPr>
        <w:t>. The </w:t>
      </w:r>
      <w:hyperlink r:id="rId10" w:tooltip="Alternative hypothesis" w:history="1">
        <w:r w:rsidRPr="00AA782B">
          <w:rPr>
            <w:rStyle w:val="Hyperlink"/>
            <w:color w:val="000000" w:themeColor="text1"/>
            <w:u w:val="none"/>
          </w:rPr>
          <w:t>alternative hypothesis</w:t>
        </w:r>
      </w:hyperlink>
      <w:r w:rsidRPr="00AA782B">
        <w:rPr>
          <w:color w:val="000000" w:themeColor="text1"/>
        </w:rPr>
        <w:t> is usually </w:t>
      </w:r>
      <w:hyperlink r:id="rId11" w:tooltip="Stationarity (statistics)" w:history="1">
        <w:r w:rsidRPr="00AA782B">
          <w:rPr>
            <w:rStyle w:val="Hyperlink"/>
            <w:color w:val="000000" w:themeColor="text1"/>
            <w:u w:val="none"/>
          </w:rPr>
          <w:t>stationarity</w:t>
        </w:r>
      </w:hyperlink>
      <w:r w:rsidRPr="00AA782B">
        <w:rPr>
          <w:color w:val="000000" w:themeColor="text1"/>
        </w:rPr>
        <w:t> or </w:t>
      </w:r>
      <w:hyperlink r:id="rId12" w:tooltip="Trend stationary" w:history="1">
        <w:r w:rsidRPr="00AA782B">
          <w:rPr>
            <w:rStyle w:val="Hyperlink"/>
            <w:color w:val="000000" w:themeColor="text1"/>
            <w:u w:val="none"/>
          </w:rPr>
          <w:t>trend-stationarity</w:t>
        </w:r>
      </w:hyperlink>
      <w:r w:rsidRPr="00AA782B">
        <w:rPr>
          <w:color w:val="000000" w:themeColor="text1"/>
        </w:rPr>
        <w:t>. </w:t>
      </w:r>
    </w:p>
    <w:p w14:paraId="7E190125" w14:textId="77777777" w:rsidR="00AC3701" w:rsidRDefault="00AC3701" w:rsidP="00AC3701">
      <w:pPr>
        <w:numPr>
          <w:ilvl w:val="0"/>
          <w:numId w:val="1"/>
        </w:numPr>
        <w:pBdr>
          <w:left w:val="single" w:sz="18" w:space="0" w:color="6CE26C"/>
        </w:pBdr>
        <w:shd w:val="clear" w:color="auto" w:fill="FFFFFF"/>
        <w:spacing w:after="0" w:line="210" w:lineRule="atLeast"/>
        <w:ind w:left="0"/>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from </w:t>
      </w:r>
      <w:proofErr w:type="spellStart"/>
      <w:proofErr w:type="gramStart"/>
      <w:r>
        <w:rPr>
          <w:rFonts w:ascii="Consolas" w:eastAsia="Times New Roman" w:hAnsi="Consolas" w:cs="Consolas"/>
          <w:color w:val="000000"/>
          <w:sz w:val="18"/>
          <w:szCs w:val="18"/>
          <w:bdr w:val="none" w:sz="0" w:space="0" w:color="auto" w:frame="1"/>
        </w:rPr>
        <w:t>statsmodels.tsa.stattools</w:t>
      </w:r>
      <w:proofErr w:type="spellEnd"/>
      <w:proofErr w:type="gramEnd"/>
      <w:r>
        <w:rPr>
          <w:rFonts w:ascii="Consolas" w:eastAsia="Times New Roman" w:hAnsi="Consolas" w:cs="Consolas"/>
          <w:color w:val="000000"/>
          <w:sz w:val="18"/>
          <w:szCs w:val="18"/>
          <w:bdr w:val="none" w:sz="0" w:space="0" w:color="auto" w:frame="1"/>
        </w:rPr>
        <w:t>  </w:t>
      </w:r>
    </w:p>
    <w:p w14:paraId="204DD95C" w14:textId="77777777" w:rsidR="00AC3701" w:rsidRPr="00DD6CA5" w:rsidRDefault="00AC3701" w:rsidP="00AC3701">
      <w:pPr>
        <w:numPr>
          <w:ilvl w:val="0"/>
          <w:numId w:val="1"/>
        </w:numPr>
        <w:pBdr>
          <w:left w:val="single" w:sz="18" w:space="0" w:color="6CE26C"/>
        </w:pBdr>
        <w:shd w:val="clear" w:color="auto" w:fill="F8F8F8"/>
        <w:spacing w:after="0" w:line="210" w:lineRule="atLeast"/>
        <w:ind w:left="0"/>
        <w:rPr>
          <w:rFonts w:ascii="Consolas" w:eastAsia="Times New Roman" w:hAnsi="Consolas" w:cs="Consolas"/>
          <w:color w:val="5C5C5C"/>
          <w:sz w:val="18"/>
          <w:szCs w:val="18"/>
        </w:rPr>
      </w:pPr>
      <w:r>
        <w:rPr>
          <w:rStyle w:val="keyword2"/>
          <w:rFonts w:ascii="Consolas" w:eastAsia="Times New Roman" w:hAnsi="Consolas" w:cs="Consolas"/>
          <w:sz w:val="18"/>
          <w:szCs w:val="18"/>
        </w:rPr>
        <w:t>import</w:t>
      </w:r>
      <w:r>
        <w:rPr>
          <w:rFonts w:ascii="Consolas" w:eastAsia="Times New Roman" w:hAnsi="Consolas" w:cs="Consolas"/>
          <w:color w:val="000000"/>
          <w:sz w:val="18"/>
          <w:szCs w:val="18"/>
          <w:bdr w:val="none" w:sz="0" w:space="0" w:color="auto" w:frame="1"/>
        </w:rPr>
        <w:t> adfuller X = </w:t>
      </w:r>
      <w:proofErr w:type="gramStart"/>
      <w:r>
        <w:rPr>
          <w:rFonts w:ascii="Consolas" w:eastAsia="Times New Roman" w:hAnsi="Consolas" w:cs="Consolas"/>
          <w:color w:val="000000"/>
          <w:sz w:val="18"/>
          <w:szCs w:val="18"/>
          <w:bdr w:val="none" w:sz="0" w:space="0" w:color="auto" w:frame="1"/>
        </w:rPr>
        <w:t>bitcoin[</w:t>
      </w:r>
      <w:proofErr w:type="gramEnd"/>
      <w:r>
        <w:rPr>
          <w:rFonts w:ascii="Consolas" w:eastAsia="Times New Roman" w:hAnsi="Consolas" w:cs="Consolas"/>
          <w:color w:val="000000"/>
          <w:sz w:val="18"/>
          <w:szCs w:val="18"/>
          <w:bdr w:val="none" w:sz="0" w:space="0" w:color="auto" w:frame="1"/>
        </w:rPr>
        <w:t>0: -30][</w:t>
      </w:r>
      <w:r>
        <w:rPr>
          <w:rStyle w:val="string2"/>
          <w:rFonts w:ascii="Consolas" w:eastAsia="Times New Roman" w:hAnsi="Consolas" w:cs="Consolas"/>
          <w:sz w:val="18"/>
          <w:szCs w:val="18"/>
        </w:rPr>
        <w:t>'daily_avg'</w:t>
      </w:r>
      <w:r>
        <w:rPr>
          <w:rFonts w:ascii="Consolas" w:eastAsia="Times New Roman" w:hAnsi="Consolas" w:cs="Consolas"/>
          <w:color w:val="000000"/>
          <w:sz w:val="18"/>
          <w:szCs w:val="18"/>
          <w:bdr w:val="none" w:sz="0" w:space="0" w:color="auto" w:frame="1"/>
        </w:rPr>
        <w:t>].values result = adfuller(X) </w:t>
      </w:r>
    </w:p>
    <w:p w14:paraId="65986E12" w14:textId="77777777" w:rsidR="00AC3701" w:rsidRPr="00DD6CA5" w:rsidRDefault="00AC3701" w:rsidP="00AC3701">
      <w:pPr>
        <w:numPr>
          <w:ilvl w:val="0"/>
          <w:numId w:val="1"/>
        </w:numPr>
        <w:pBdr>
          <w:left w:val="single" w:sz="18" w:space="0" w:color="6CE26C"/>
        </w:pBdr>
        <w:shd w:val="clear" w:color="auto" w:fill="F8F8F8"/>
        <w:spacing w:after="0" w:line="210" w:lineRule="atLeast"/>
        <w:ind w:left="0"/>
        <w:rPr>
          <w:rFonts w:ascii="Consolas" w:eastAsia="Times New Roman" w:hAnsi="Consolas" w:cs="Consolas"/>
          <w:color w:val="5C5C5C"/>
          <w:sz w:val="18"/>
          <w:szCs w:val="18"/>
        </w:rPr>
      </w:pPr>
      <w:proofErr w:type="gramStart"/>
      <w:r>
        <w:rPr>
          <w:rFonts w:ascii="Consolas" w:eastAsia="Times New Roman" w:hAnsi="Consolas" w:cs="Consolas"/>
          <w:color w:val="000000"/>
          <w:sz w:val="18"/>
          <w:szCs w:val="18"/>
          <w:bdr w:val="none" w:sz="0" w:space="0" w:color="auto" w:frame="1"/>
        </w:rPr>
        <w:t>print(</w:t>
      </w:r>
      <w:proofErr w:type="gramEnd"/>
      <w:r>
        <w:rPr>
          <w:rStyle w:val="string2"/>
          <w:rFonts w:ascii="Consolas" w:eastAsia="Times New Roman" w:hAnsi="Consolas" w:cs="Consolas"/>
          <w:sz w:val="18"/>
          <w:szCs w:val="18"/>
        </w:rPr>
        <w:t>'ADF Statistic: %f'</w:t>
      </w:r>
      <w:r>
        <w:rPr>
          <w:rFonts w:ascii="Consolas" w:eastAsia="Times New Roman" w:hAnsi="Consolas" w:cs="Consolas"/>
          <w:color w:val="000000"/>
          <w:sz w:val="18"/>
          <w:szCs w:val="18"/>
          <w:bdr w:val="none" w:sz="0" w:space="0" w:color="auto" w:frame="1"/>
        </w:rPr>
        <w:t> % result[0]) </w:t>
      </w:r>
    </w:p>
    <w:p w14:paraId="23C3859A" w14:textId="77777777" w:rsidR="00AC3701" w:rsidRPr="00DD6CA5" w:rsidRDefault="00AC3701" w:rsidP="00AC3701">
      <w:pPr>
        <w:numPr>
          <w:ilvl w:val="0"/>
          <w:numId w:val="1"/>
        </w:numPr>
        <w:pBdr>
          <w:left w:val="single" w:sz="18" w:space="0" w:color="6CE26C"/>
        </w:pBdr>
        <w:shd w:val="clear" w:color="auto" w:fill="F8F8F8"/>
        <w:spacing w:after="0" w:line="210" w:lineRule="atLeast"/>
        <w:ind w:left="0"/>
        <w:rPr>
          <w:rFonts w:ascii="Consolas" w:eastAsia="Times New Roman" w:hAnsi="Consolas" w:cs="Consolas"/>
          <w:color w:val="5C5C5C"/>
          <w:sz w:val="18"/>
          <w:szCs w:val="18"/>
        </w:rPr>
      </w:pPr>
      <w:proofErr w:type="gramStart"/>
      <w:r>
        <w:rPr>
          <w:rFonts w:ascii="Consolas" w:eastAsia="Times New Roman" w:hAnsi="Consolas" w:cs="Consolas"/>
          <w:color w:val="000000"/>
          <w:sz w:val="18"/>
          <w:szCs w:val="18"/>
          <w:bdr w:val="none" w:sz="0" w:space="0" w:color="auto" w:frame="1"/>
        </w:rPr>
        <w:t>print(</w:t>
      </w:r>
      <w:proofErr w:type="gramEnd"/>
      <w:r>
        <w:rPr>
          <w:rStyle w:val="string2"/>
          <w:rFonts w:ascii="Consolas" w:eastAsia="Times New Roman" w:hAnsi="Consolas" w:cs="Consolas"/>
          <w:sz w:val="18"/>
          <w:szCs w:val="18"/>
        </w:rPr>
        <w:t>'p-value: %f'</w:t>
      </w:r>
      <w:r>
        <w:rPr>
          <w:rFonts w:ascii="Consolas" w:eastAsia="Times New Roman" w:hAnsi="Consolas" w:cs="Consolas"/>
          <w:color w:val="000000"/>
          <w:sz w:val="18"/>
          <w:szCs w:val="18"/>
          <w:bdr w:val="none" w:sz="0" w:space="0" w:color="auto" w:frame="1"/>
        </w:rPr>
        <w:t> % result[1]) </w:t>
      </w:r>
    </w:p>
    <w:p w14:paraId="1EE92F5A" w14:textId="77777777" w:rsidR="00AC3701" w:rsidRPr="00DD6CA5" w:rsidRDefault="00AC3701" w:rsidP="00AC3701">
      <w:pPr>
        <w:numPr>
          <w:ilvl w:val="0"/>
          <w:numId w:val="1"/>
        </w:numPr>
        <w:pBdr>
          <w:left w:val="single" w:sz="18" w:space="0" w:color="6CE26C"/>
        </w:pBdr>
        <w:shd w:val="clear" w:color="auto" w:fill="F8F8F8"/>
        <w:spacing w:after="0" w:line="210" w:lineRule="atLeast"/>
        <w:ind w:left="0"/>
        <w:rPr>
          <w:rFonts w:ascii="Consolas" w:eastAsia="Times New Roman" w:hAnsi="Consolas" w:cs="Consolas"/>
          <w:color w:val="5C5C5C"/>
          <w:sz w:val="18"/>
          <w:szCs w:val="18"/>
        </w:rPr>
      </w:pPr>
      <w:proofErr w:type="gramStart"/>
      <w:r>
        <w:rPr>
          <w:rFonts w:ascii="Consolas" w:eastAsia="Times New Roman" w:hAnsi="Consolas" w:cs="Consolas"/>
          <w:color w:val="000000"/>
          <w:sz w:val="18"/>
          <w:szCs w:val="18"/>
          <w:bdr w:val="none" w:sz="0" w:space="0" w:color="auto" w:frame="1"/>
        </w:rPr>
        <w:t>print(</w:t>
      </w:r>
      <w:proofErr w:type="gramEnd"/>
      <w:r>
        <w:rPr>
          <w:rStyle w:val="string2"/>
          <w:rFonts w:ascii="Consolas" w:eastAsia="Times New Roman" w:hAnsi="Consolas" w:cs="Consolas"/>
          <w:sz w:val="18"/>
          <w:szCs w:val="18"/>
        </w:rPr>
        <w:t>'Critical Values:'</w:t>
      </w:r>
      <w:r>
        <w:rPr>
          <w:rFonts w:ascii="Consolas" w:eastAsia="Times New Roman" w:hAnsi="Consolas" w:cs="Consolas"/>
          <w:color w:val="000000"/>
          <w:sz w:val="18"/>
          <w:szCs w:val="18"/>
          <w:bdr w:val="none" w:sz="0" w:space="0" w:color="auto" w:frame="1"/>
        </w:rPr>
        <w:t>) </w:t>
      </w:r>
    </w:p>
    <w:p w14:paraId="72CA5154" w14:textId="77777777" w:rsidR="00AC3701" w:rsidRPr="00DD6CA5" w:rsidRDefault="00AC3701" w:rsidP="00AC3701">
      <w:pPr>
        <w:numPr>
          <w:ilvl w:val="0"/>
          <w:numId w:val="1"/>
        </w:numPr>
        <w:pBdr>
          <w:left w:val="single" w:sz="18" w:space="0" w:color="6CE26C"/>
        </w:pBdr>
        <w:shd w:val="clear" w:color="auto" w:fill="F8F8F8"/>
        <w:spacing w:after="0" w:line="210" w:lineRule="atLeast"/>
        <w:ind w:left="0"/>
        <w:rPr>
          <w:rFonts w:ascii="Consolas" w:eastAsia="Times New Roman" w:hAnsi="Consolas" w:cs="Consolas"/>
          <w:color w:val="5C5C5C"/>
          <w:sz w:val="18"/>
          <w:szCs w:val="18"/>
        </w:rPr>
      </w:pPr>
      <w:r>
        <w:rPr>
          <w:rStyle w:val="keyword2"/>
          <w:rFonts w:ascii="Consolas" w:eastAsia="Times New Roman" w:hAnsi="Consolas" w:cs="Consolas"/>
          <w:sz w:val="18"/>
          <w:szCs w:val="18"/>
        </w:rPr>
        <w:t>for</w:t>
      </w:r>
      <w:r>
        <w:rPr>
          <w:rFonts w:ascii="Consolas" w:eastAsia="Times New Roman" w:hAnsi="Consolas" w:cs="Consolas"/>
          <w:color w:val="000000"/>
          <w:sz w:val="18"/>
          <w:szCs w:val="18"/>
          <w:bdr w:val="none" w:sz="0" w:space="0" w:color="auto" w:frame="1"/>
        </w:rPr>
        <w:t> key, value </w:t>
      </w:r>
      <w:r>
        <w:rPr>
          <w:rStyle w:val="keyword2"/>
          <w:rFonts w:ascii="Consolas" w:eastAsia="Times New Roman" w:hAnsi="Consolas" w:cs="Consolas"/>
          <w:sz w:val="18"/>
          <w:szCs w:val="18"/>
        </w:rPr>
        <w:t>in</w:t>
      </w:r>
      <w:r>
        <w:rPr>
          <w:rFonts w:ascii="Consolas" w:eastAsia="Times New Roman" w:hAnsi="Consolas" w:cs="Consolas"/>
          <w:color w:val="000000"/>
          <w:sz w:val="18"/>
          <w:szCs w:val="18"/>
          <w:bdr w:val="none" w:sz="0" w:space="0" w:color="auto" w:frame="1"/>
        </w:rPr>
        <w:t> result[4</w:t>
      </w:r>
      <w:proofErr w:type="gramStart"/>
      <w:r>
        <w:rPr>
          <w:rFonts w:ascii="Consolas" w:eastAsia="Times New Roman" w:hAnsi="Consolas" w:cs="Consolas"/>
          <w:color w:val="000000"/>
          <w:sz w:val="18"/>
          <w:szCs w:val="18"/>
          <w:bdr w:val="none" w:sz="0" w:space="0" w:color="auto" w:frame="1"/>
        </w:rPr>
        <w:t>].items</w:t>
      </w:r>
      <w:proofErr w:type="gramEnd"/>
      <w:r>
        <w:rPr>
          <w:rFonts w:ascii="Consolas" w:eastAsia="Times New Roman" w:hAnsi="Consolas" w:cs="Consolas"/>
          <w:color w:val="000000"/>
          <w:sz w:val="18"/>
          <w:szCs w:val="18"/>
          <w:bdr w:val="none" w:sz="0" w:space="0" w:color="auto" w:frame="1"/>
        </w:rPr>
        <w:t>(): </w:t>
      </w:r>
    </w:p>
    <w:p w14:paraId="569F0836" w14:textId="77777777" w:rsidR="00AC3701" w:rsidRDefault="00AC3701" w:rsidP="00AC3701">
      <w:pPr>
        <w:numPr>
          <w:ilvl w:val="0"/>
          <w:numId w:val="1"/>
        </w:numPr>
        <w:pBdr>
          <w:left w:val="single" w:sz="18" w:space="0" w:color="6CE26C"/>
        </w:pBdr>
        <w:shd w:val="clear" w:color="auto" w:fill="F8F8F8"/>
        <w:spacing w:after="0" w:line="210" w:lineRule="atLeast"/>
        <w:ind w:left="0"/>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w:t>
      </w:r>
      <w:proofErr w:type="gramStart"/>
      <w:r>
        <w:rPr>
          <w:rFonts w:ascii="Consolas" w:eastAsia="Times New Roman" w:hAnsi="Consolas" w:cs="Consolas"/>
          <w:color w:val="000000"/>
          <w:sz w:val="18"/>
          <w:szCs w:val="18"/>
          <w:bdr w:val="none" w:sz="0" w:space="0" w:color="auto" w:frame="1"/>
        </w:rPr>
        <w:t>print(</w:t>
      </w:r>
      <w:proofErr w:type="gram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t%s</w:t>
      </w:r>
      <w:proofErr w:type="spellEnd"/>
      <w:r>
        <w:rPr>
          <w:rStyle w:val="string2"/>
          <w:rFonts w:ascii="Consolas" w:eastAsia="Times New Roman" w:hAnsi="Consolas" w:cs="Consolas"/>
          <w:sz w:val="18"/>
          <w:szCs w:val="18"/>
        </w:rPr>
        <w:t>: %.3f'</w:t>
      </w:r>
      <w:r>
        <w:rPr>
          <w:rFonts w:ascii="Consolas" w:eastAsia="Times New Roman" w:hAnsi="Consolas" w:cs="Consolas"/>
          <w:color w:val="000000"/>
          <w:sz w:val="18"/>
          <w:szCs w:val="18"/>
          <w:bdr w:val="none" w:sz="0" w:space="0" w:color="auto" w:frame="1"/>
        </w:rPr>
        <w:t> % (key, value))  </w:t>
      </w:r>
    </w:p>
    <w:p w14:paraId="2E0AF3D5" w14:textId="77777777" w:rsidR="00AC3701" w:rsidRDefault="00AC3701" w:rsidP="00AC3701"/>
    <w:p w14:paraId="753901A6" w14:textId="712EDB3E" w:rsidR="00AC3701" w:rsidRPr="008A551E" w:rsidRDefault="00AC3701" w:rsidP="00AC3701">
      <w:r>
        <w:t xml:space="preserve">The test shows that Bitcoin data present is stationary. </w:t>
      </w:r>
    </w:p>
    <w:p w14:paraId="4DF95188" w14:textId="77777777" w:rsidR="00AC3701" w:rsidRDefault="00AC3701"/>
    <w:sectPr w:rsidR="00AC37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D0A85"/>
    <w:multiLevelType w:val="multilevel"/>
    <w:tmpl w:val="9580C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01"/>
    <w:rsid w:val="00A11268"/>
    <w:rsid w:val="00AC3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D158"/>
  <w15:chartTrackingRefBased/>
  <w15:docId w15:val="{F3B33213-58A8-4450-BD1B-A6D2521D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701"/>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2">
    <w:name w:val="string2"/>
    <w:basedOn w:val="DefaultParagraphFont"/>
    <w:rsid w:val="00AC3701"/>
    <w:rPr>
      <w:color w:val="0000FF"/>
      <w:bdr w:val="none" w:sz="0" w:space="0" w:color="auto" w:frame="1"/>
    </w:rPr>
  </w:style>
  <w:style w:type="character" w:customStyle="1" w:styleId="keyword2">
    <w:name w:val="keyword2"/>
    <w:basedOn w:val="DefaultParagraphFont"/>
    <w:rsid w:val="00AC3701"/>
    <w:rPr>
      <w:b/>
      <w:bCs/>
      <w:color w:val="006699"/>
      <w:bdr w:val="none" w:sz="0" w:space="0" w:color="auto" w:frame="1"/>
    </w:rPr>
  </w:style>
  <w:style w:type="character" w:styleId="Hyperlink">
    <w:name w:val="Hyperlink"/>
    <w:basedOn w:val="DefaultParagraphFont"/>
    <w:uiPriority w:val="99"/>
    <w:unhideWhenUsed/>
    <w:rsid w:val="00AC3701"/>
    <w:rPr>
      <w:color w:val="0563C1" w:themeColor="hyperlink"/>
      <w:u w:val="single"/>
    </w:rPr>
  </w:style>
  <w:style w:type="table" w:styleId="TableGrid">
    <w:name w:val="Table Grid"/>
    <w:basedOn w:val="TableNormal"/>
    <w:uiPriority w:val="39"/>
    <w:rsid w:val="00AC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e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_root" TargetMode="External"/><Relationship Id="rId12" Type="http://schemas.openxmlformats.org/officeDocument/2006/relationships/hyperlink" Target="https://en.wikipedia.org/wiki/Trend_sta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ull_hypothesis" TargetMode="External"/><Relationship Id="rId11" Type="http://schemas.openxmlformats.org/officeDocument/2006/relationships/hyperlink" Target="https://en.wikipedia.org/wiki/Stationarity_(statistics)" TargetMode="External"/><Relationship Id="rId5" Type="http://schemas.openxmlformats.org/officeDocument/2006/relationships/image" Target="media/image1.png"/><Relationship Id="rId10" Type="http://schemas.openxmlformats.org/officeDocument/2006/relationships/hyperlink" Target="https://en.wikipedia.org/wiki/Alternative_hypothesis" TargetMode="External"/><Relationship Id="rId4" Type="http://schemas.openxmlformats.org/officeDocument/2006/relationships/webSettings" Target="webSettings.xml"/><Relationship Id="rId9" Type="http://schemas.openxmlformats.org/officeDocument/2006/relationships/hyperlink" Target="https://en.wikipedia.org/wiki/Sample_(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Asad Chughtai</dc:creator>
  <cp:keywords/>
  <dc:description/>
  <cp:lastModifiedBy>Daniyal Asad Chughtai</cp:lastModifiedBy>
  <cp:revision>2</cp:revision>
  <dcterms:created xsi:type="dcterms:W3CDTF">2018-04-13T03:12:00Z</dcterms:created>
  <dcterms:modified xsi:type="dcterms:W3CDTF">2018-04-13T03:12:00Z</dcterms:modified>
</cp:coreProperties>
</file>