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331"/>
        <w:gridCol w:w="3331"/>
        <w:gridCol w:w="3331"/>
      </w:tblGrid>
      <w:tr>
        <w:tc>
          <w:tcPr>
            <w:tcW w:type="dxa" w:w="3168"/>
            <w:shd w:fill="2F114F" w:val="clear"/>
            <w:tcBorders>
              <w:top w:val="single" w:sz="0" w:space="0" w:color="2F114F"/>
              <w:left w:val="single" w:sz="0" w:space="0" w:color="2F114F"/>
              <w:bottom w:val="single" w:sz="0" w:space="0" w:color="2F114F"/>
              <w:right w:val="single" w:sz="0" w:space="0" w:color="2F114F"/>
              <w:insideH w:val="single" w:sz="0" w:space="0" w:color="2F114F"/>
              <w:insideV w:val="single" w:sz="0" w:space="0" w:color="2F114F"/>
            </w:tcBorders>
            <w:tcMar>
              <w:top w:w="25" w:type="dxa"/>
              <w:start w:w="10" w:type="dxa"/>
              <w:bottom w:w="25" w:type="dxa"/>
              <w:end w:w="10" w:type="dxa"/>
            </w:tcMar>
          </w:tcPr>
          <w:p/>
        </w:tc>
        <w:tc>
          <w:tcPr>
            <w:tcW w:type="dxa" w:w="3168"/>
            <w:shd w:fill="8B44D9" w:val="clear"/>
            <w:tcBorders>
              <w:top w:val="single" w:sz="0" w:space="0" w:color="8B44D9"/>
              <w:left w:val="single" w:sz="0" w:space="0" w:color="8B44D9"/>
              <w:bottom w:val="single" w:sz="0" w:space="0" w:color="8B44D9"/>
              <w:right w:val="single" w:sz="0" w:space="0" w:color="8B44D9"/>
              <w:insideH w:val="single" w:sz="0" w:space="0" w:color="8B44D9"/>
              <w:insideV w:val="single" w:sz="0" w:space="0" w:color="8B44D9"/>
            </w:tcBorders>
            <w:tcMar>
              <w:top w:w="25" w:type="dxa"/>
              <w:start w:w="10" w:type="dxa"/>
              <w:bottom w:w="25" w:type="dxa"/>
              <w:end w:w="10" w:type="dxa"/>
            </w:tcMar>
          </w:tcPr>
          <w:p/>
        </w:tc>
        <w:tc>
          <w:tcPr>
            <w:tcW w:type="dxa" w:w="3168"/>
            <w:shd w:fill="C9861A" w:val="clear"/>
            <w:tcBorders>
              <w:top w:val="single" w:sz="0" w:space="0" w:color="C9861A"/>
              <w:left w:val="single" w:sz="0" w:space="0" w:color="C9861A"/>
              <w:bottom w:val="single" w:sz="0" w:space="0" w:color="C9861A"/>
              <w:right w:val="single" w:sz="0" w:space="0" w:color="C9861A"/>
              <w:insideH w:val="single" w:sz="0" w:space="0" w:color="C9861A"/>
              <w:insideV w:val="single" w:sz="0" w:space="0" w:color="C9861A"/>
            </w:tcBorders>
            <w:tcMar>
              <w:top w:w="25" w:type="dxa"/>
              <w:start w:w="10" w:type="dxa"/>
              <w:bottom w:w="25" w:type="dxa"/>
              <w:end w:w="10" w:type="dxa"/>
            </w:tcMar>
          </w:tcPr>
          <w:p/>
        </w:tc>
      </w:tr>
    </w:tbl>
    <w:p>
      <w:pPr>
        <w:spacing w:after="120"/>
      </w:pPr>
    </w:p>
    <w:p>
      <w:pPr>
        <w:pStyle w:val="Title"/>
        <w:spacing w:before="520" w:after="160"/>
        <w:jc w:val="left"/>
      </w:pPr>
      <w:r>
        <w:rPr>
          <w:rFonts w:ascii="Aptos" w:hAnsi="Aptos" w:eastAsia="Aptos"/>
          <w:b/>
          <w:i w:val="0"/>
          <w:color w:val="000000"/>
          <w:sz w:val="58"/>
        </w:rPr>
        <w:t>Mycelium Prototype Final Handoff</w:t>
      </w:r>
    </w:p>
    <w:p>
      <w:pPr>
        <w:spacing w:after="400"/>
      </w:pPr>
      <w:r>
        <w:rPr>
          <w:rFonts w:ascii="Aptos" w:hAnsi="Aptos" w:eastAsia="Aptos"/>
          <w:b w:val="0"/>
          <w:i w:val="0"/>
          <w:color w:val="000000"/>
          <w:sz w:val="30"/>
        </w:rPr>
        <w:t>Offline Authority Aware Booking Prototype</w:t>
      </w:r>
    </w:p>
    <w:p>
      <w:pPr>
        <w:spacing w:after="300" w:line="293" w:lineRule="auto"/>
      </w:pPr>
      <w:r>
        <w:rPr>
          <w:rFonts w:ascii="Aptos" w:hAnsi="Aptos" w:eastAsia="Aptos"/>
          <w:b w:val="0"/>
          <w:i w:val="0"/>
          <w:color w:val="000000"/>
          <w:sz w:val="24"/>
        </w:rPr>
        <w:t>This handoff records the final Mycelium prototype and its supplied source pack. The prototype watches simulated booking opportunities, completes reversible preparation, and pauses when a person owns the next decision. It is built for a deterministic offline demo with visible provenance and an append only audit trace.</w:t>
      </w:r>
    </w:p>
    <w:tbl>
      <w:tblPr>
        <w:tblW w:type="auto" w:w="0"/>
        <w:tblLayout w:type="fixed"/>
        <w:tblLook w:firstColumn="1" w:firstRow="1" w:lastColumn="0" w:lastRow="0" w:noHBand="0" w:noVBand="1" w:val="04A0"/>
      </w:tblPr>
      <w:tblGrid>
        <w:gridCol w:w="4997"/>
        <w:gridCol w:w="4997"/>
      </w:tblGrid>
      <w:tr>
        <w:tc>
          <w:tcPr>
            <w:tcW w:type="dxa" w:w="2592"/>
            <w:shd w:fill="EDE6F3"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Mar>
              <w:top w:w="115" w:type="dxa"/>
              <w:start w:w="125" w:type="dxa"/>
              <w:bottom w:w="115" w:type="dxa"/>
              <w:end w:w="125" w:type="dxa"/>
            </w:tcMar>
          </w:tcPr>
          <w:p>
            <w:pPr>
              <w:spacing w:after="0"/>
            </w:pPr>
            <w:r>
              <w:rPr>
                <w:rFonts w:ascii="Aptos" w:hAnsi="Aptos" w:eastAsia="Aptos"/>
                <w:b/>
                <w:i w:val="0"/>
                <w:color w:val="130621"/>
                <w:sz w:val="20"/>
              </w:rPr>
              <w:t>Delivery</w:t>
            </w:r>
          </w:p>
        </w:tc>
        <w:tc>
          <w:tcPr>
            <w:tcW w:type="dxa" w:w="6912"/>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Mar>
              <w:top w:w="115" w:type="dxa"/>
              <w:start w:w="125" w:type="dxa"/>
              <w:bottom w:w="115" w:type="dxa"/>
              <w:end w:w="125" w:type="dxa"/>
            </w:tcMar>
          </w:tcPr>
          <w:p>
            <w:pPr>
              <w:spacing w:after="0"/>
            </w:pPr>
            <w:r>
              <w:rPr>
                <w:rFonts w:ascii="Aptos" w:hAnsi="Aptos" w:eastAsia="Aptos"/>
                <w:b w:val="0"/>
                <w:i w:val="0"/>
                <w:color w:val="000000"/>
                <w:sz w:val="20"/>
              </w:rPr>
              <w:t>Static browser prototype and final handoff</w:t>
            </w:r>
          </w:p>
        </w:tc>
      </w:tr>
      <w:tr>
        <w:tc>
          <w:tcPr>
            <w:tcW w:type="dxa" w:w="2592"/>
            <w:shd w:fill="EDE6F3"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Mar>
              <w:top w:w="115" w:type="dxa"/>
              <w:start w:w="125" w:type="dxa"/>
              <w:bottom w:w="115" w:type="dxa"/>
              <w:end w:w="125" w:type="dxa"/>
            </w:tcMar>
          </w:tcPr>
          <w:p>
            <w:pPr>
              <w:spacing w:after="0"/>
            </w:pPr>
            <w:r>
              <w:rPr>
                <w:rFonts w:ascii="Aptos" w:hAnsi="Aptos" w:eastAsia="Aptos"/>
                <w:b/>
                <w:i w:val="0"/>
                <w:color w:val="130621"/>
                <w:sz w:val="20"/>
              </w:rPr>
              <w:t>Decision model</w:t>
            </w:r>
          </w:p>
        </w:tc>
        <w:tc>
          <w:tcPr>
            <w:tcW w:type="dxa" w:w="6912"/>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Mar>
              <w:top w:w="115" w:type="dxa"/>
              <w:start w:w="125" w:type="dxa"/>
              <w:bottom w:w="115" w:type="dxa"/>
              <w:end w:w="125" w:type="dxa"/>
            </w:tcMar>
          </w:tcPr>
          <w:p>
            <w:pPr>
              <w:spacing w:after="0"/>
            </w:pPr>
            <w:r>
              <w:rPr>
                <w:rFonts w:ascii="Aptos" w:hAnsi="Aptos" w:eastAsia="Aptos"/>
                <w:b w:val="0"/>
                <w:i w:val="0"/>
                <w:color w:val="000000"/>
                <w:sz w:val="20"/>
              </w:rPr>
              <w:t>Authority graph consent envelope and policy trace</w:t>
            </w:r>
          </w:p>
        </w:tc>
      </w:tr>
      <w:tr>
        <w:tc>
          <w:tcPr>
            <w:tcW w:type="dxa" w:w="2592"/>
            <w:shd w:fill="EDE6F3"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Mar>
              <w:top w:w="115" w:type="dxa"/>
              <w:start w:w="125" w:type="dxa"/>
              <w:bottom w:w="115" w:type="dxa"/>
              <w:end w:w="125" w:type="dxa"/>
            </w:tcMar>
          </w:tcPr>
          <w:p>
            <w:pPr>
              <w:spacing w:after="0"/>
            </w:pPr>
            <w:r>
              <w:rPr>
                <w:rFonts w:ascii="Aptos" w:hAnsi="Aptos" w:eastAsia="Aptos"/>
                <w:b/>
                <w:i w:val="0"/>
                <w:color w:val="130621"/>
                <w:sz w:val="20"/>
              </w:rPr>
              <w:t>Data posture</w:t>
            </w:r>
          </w:p>
        </w:tc>
        <w:tc>
          <w:tcPr>
            <w:tcW w:type="dxa" w:w="6912"/>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Mar>
              <w:top w:w="115" w:type="dxa"/>
              <w:start w:w="125" w:type="dxa"/>
              <w:bottom w:w="115" w:type="dxa"/>
              <w:end w:w="125" w:type="dxa"/>
            </w:tcMar>
          </w:tcPr>
          <w:p>
            <w:pPr>
              <w:spacing w:after="0"/>
            </w:pPr>
            <w:r>
              <w:rPr>
                <w:rFonts w:ascii="Aptos" w:hAnsi="Aptos" w:eastAsia="Aptos"/>
                <w:b w:val="0"/>
                <w:i w:val="0"/>
                <w:color w:val="000000"/>
                <w:sz w:val="20"/>
              </w:rPr>
              <w:t>LOCAL and SIMULATED labels visible throughout</w:t>
            </w:r>
          </w:p>
        </w:tc>
      </w:tr>
      <w:tr>
        <w:tc>
          <w:tcPr>
            <w:tcW w:type="dxa" w:w="2592"/>
            <w:shd w:fill="EDE6F3"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Mar>
              <w:top w:w="115" w:type="dxa"/>
              <w:start w:w="125" w:type="dxa"/>
              <w:bottom w:w="115" w:type="dxa"/>
              <w:end w:w="125" w:type="dxa"/>
            </w:tcMar>
          </w:tcPr>
          <w:p>
            <w:pPr>
              <w:spacing w:after="0"/>
            </w:pPr>
            <w:r>
              <w:rPr>
                <w:rFonts w:ascii="Aptos" w:hAnsi="Aptos" w:eastAsia="Aptos"/>
                <w:b/>
                <w:i w:val="0"/>
                <w:color w:val="130621"/>
                <w:sz w:val="20"/>
              </w:rPr>
              <w:t>Primary review path</w:t>
            </w:r>
          </w:p>
        </w:tc>
        <w:tc>
          <w:tcPr>
            <w:tcW w:type="dxa" w:w="6912"/>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vAlign w:val="center"/>
            <w:tcMar>
              <w:top w:w="115" w:type="dxa"/>
              <w:start w:w="125" w:type="dxa"/>
              <w:bottom w:w="115" w:type="dxa"/>
              <w:end w:w="125" w:type="dxa"/>
            </w:tcMar>
          </w:tcPr>
          <w:p>
            <w:pPr>
              <w:spacing w:after="0"/>
            </w:pPr>
            <w:r>
              <w:rPr>
                <w:rFonts w:ascii="Aptos" w:hAnsi="Aptos" w:eastAsia="Aptos"/>
                <w:b w:val="0"/>
                <w:i w:val="0"/>
                <w:color w:val="000000"/>
                <w:sz w:val="20"/>
              </w:rPr>
              <w:t>Scenario S2 one dimension outside the envelope</w:t>
            </w:r>
          </w:p>
        </w:tc>
      </w:tr>
    </w:tbl>
    <w:p>
      <w:pPr>
        <w:spacing w:after="280"/>
      </w:pPr>
    </w:p>
    <w:p>
      <w:pPr>
        <w:spacing w:before="160" w:after="0"/>
      </w:pPr>
      <w:r>
        <w:rPr>
          <w:rFonts w:ascii="Aptos" w:hAnsi="Aptos" w:eastAsia="Aptos"/>
          <w:b/>
          <w:i w:val="0"/>
          <w:color w:val="2F114F"/>
          <w:sz w:val="19"/>
        </w:rPr>
        <w:t xml:space="preserve">Scope note  </w:t>
      </w:r>
      <w:r>
        <w:rPr>
          <w:rFonts w:ascii="Aptos" w:hAnsi="Aptos" w:eastAsia="Aptos"/>
          <w:b w:val="0"/>
          <w:i w:val="0"/>
          <w:color w:val="53515A"/>
          <w:sz w:val="19"/>
        </w:rPr>
        <w:t>The appended source pack is reference material. Its fixture data is not presented as live inventory, payments, research, or production performance evidence.</w:t>
      </w:r>
    </w:p>
    <w:p>
      <w:r>
        <w:br w:type="page"/>
      </w:r>
    </w:p>
    <w:p>
      <w:pPr>
        <w:pStyle w:val="Heading1"/>
        <w:keepNext/>
        <w:spacing w:before="300" w:after="120"/>
      </w:pPr>
      <w:r>
        <w:rPr>
          <w:rFonts w:ascii="Aptos Display" w:hAnsi="Aptos Display" w:eastAsia="Aptos"/>
          <w:b/>
          <w:i w:val="0"/>
          <w:color w:val="000000"/>
          <w:sz w:val="30"/>
        </w:rPr>
        <w:t>Prototype Summary</w:t>
      </w:r>
    </w:p>
    <w:p>
      <w:pPr>
        <w:spacing w:after="120" w:line="283" w:lineRule="auto"/>
      </w:pPr>
      <w:r>
        <w:rPr>
          <w:rFonts w:ascii="Aptos" w:hAnsi="Aptos" w:eastAsia="Aptos"/>
          <w:b w:val="0"/>
          <w:i w:val="0"/>
          <w:color w:val="000000"/>
          <w:sz w:val="21"/>
        </w:rPr>
        <w:t>Mycelium gives an autonomous booking assistant a bounded role. It can search, compare, watch, and prepare a transaction, but it does not treat a person’s preferences, identity, money, or irreversible commitment as interchangeable authority. The active decision is computed from scenario fixtures and the current append only event log.</w:t>
      </w:r>
    </w:p>
    <w:p>
      <w:pPr>
        <w:pStyle w:val="Heading2"/>
        <w:keepNext/>
        <w:spacing w:before="200" w:after="120"/>
      </w:pPr>
      <w:r>
        <w:rPr>
          <w:rFonts w:ascii="Aptos" w:hAnsi="Aptos" w:eastAsia="Aptos"/>
          <w:b/>
          <w:i w:val="0"/>
          <w:color w:val="000000"/>
          <w:sz w:val="23"/>
        </w:rPr>
        <w:t>What A Reviewer Can Test</w:t>
      </w:r>
    </w:p>
    <w:p>
      <w:pPr>
        <w:pStyle w:val="ListBullet"/>
        <w:spacing w:after="60" w:line="264" w:lineRule="auto"/>
      </w:pPr>
      <w:r>
        <w:rPr>
          <w:rFonts w:ascii="Aptos" w:hAnsi="Aptos" w:eastAsia="Aptos"/>
          <w:b w:val="0"/>
          <w:i w:val="0"/>
          <w:color w:val="000000"/>
          <w:sz w:val="20"/>
        </w:rPr>
        <w:t>Select any deterministic scenario from S1 through S10, including an inside envelope confirmation, cross owner money lock, budget refusal, healthcare scheduling case, revocation, and ambiguous voice reply.</w:t>
      </w:r>
    </w:p>
    <w:p>
      <w:pPr>
        <w:pStyle w:val="ListBullet"/>
        <w:spacing w:after="60" w:line="264" w:lineRule="auto"/>
      </w:pPr>
      <w:r>
        <w:rPr>
          <w:rFonts w:ascii="Aptos" w:hAnsi="Aptos" w:eastAsia="Aptos"/>
          <w:b w:val="0"/>
          <w:i w:val="0"/>
          <w:color w:val="000000"/>
          <w:sz w:val="20"/>
        </w:rPr>
        <w:t>Open Authority Lab and change ownership, consent, identity mapping, reachability, fares, times, and budget. The visible verdict and rule trace recompute from the local policy.</w:t>
      </w:r>
    </w:p>
    <w:p>
      <w:pPr>
        <w:pStyle w:val="ListBullet"/>
        <w:spacing w:after="60" w:line="264" w:lineRule="auto"/>
      </w:pPr>
      <w:r>
        <w:rPr>
          <w:rFonts w:ascii="Aptos" w:hAnsi="Aptos" w:eastAsia="Aptos"/>
          <w:b w:val="0"/>
          <w:i w:val="0"/>
          <w:color w:val="000000"/>
          <w:sz w:val="20"/>
        </w:rPr>
        <w:t>Inspect Agent Brain and scrub the event sequence. The same replayed events produce the current decision object and audit timeline.</w:t>
      </w:r>
    </w:p>
    <w:p>
      <w:pPr>
        <w:pStyle w:val="ListBullet"/>
        <w:spacing w:after="60" w:line="264" w:lineRule="auto"/>
      </w:pPr>
      <w:r>
        <w:rPr>
          <w:rFonts w:ascii="Aptos" w:hAnsi="Aptos" w:eastAsia="Aptos"/>
          <w:b w:val="0"/>
          <w:i w:val="0"/>
          <w:color w:val="000000"/>
          <w:sz w:val="20"/>
        </w:rPr>
        <w:t>Complete an approval flow to reach the pre capture guards and Decision Receipt. Payment and inventory are clearly labelled simulated.</w:t>
      </w:r>
    </w:p>
    <w:p>
      <w:pPr>
        <w:pStyle w:val="Heading2"/>
        <w:keepNext/>
        <w:spacing w:before="200" w:after="120"/>
      </w:pPr>
      <w:r>
        <w:rPr>
          <w:rFonts w:ascii="Aptos" w:hAnsi="Aptos" w:eastAsia="Aptos"/>
          <w:b/>
          <w:i w:val="0"/>
          <w:color w:val="000000"/>
          <w:sz w:val="23"/>
        </w:rPr>
        <w:t>Decision Lifecycle</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1066"/>
            <w:vAlign w:val="center"/>
            <w:shd w:fill="2F114F" w:val="clear"/>
            <w:tcBorders>
              <w:top w:val="single" w:sz="8" w:space="0" w:color="2F114F"/>
              <w:left w:val="single" w:sz="8" w:space="0" w:color="2F114F"/>
              <w:bottom w:val="single" w:sz="8" w:space="0" w:color="2F114F"/>
              <w:right w:val="single" w:sz="8" w:space="0" w:color="2F114F"/>
              <w:insideH w:val="single" w:sz="8" w:space="0" w:color="2F114F"/>
              <w:insideV w:val="single" w:sz="8" w:space="0" w:color="2F114F"/>
            </w:tcBorders>
            <w:tcMar>
              <w:top w:w="95" w:type="dxa"/>
              <w:start w:w="110" w:type="dxa"/>
              <w:bottom w:w="95" w:type="dxa"/>
              <w:end w:w="110" w:type="dxa"/>
            </w:tcMar>
          </w:tcPr>
          <w:p>
            <w:pPr>
              <w:keepLines/>
              <w:spacing w:after="0"/>
              <w:jc w:val="left"/>
            </w:pPr>
            <w:r>
              <w:rPr>
                <w:rFonts w:ascii="Aptos" w:hAnsi="Aptos" w:eastAsia="Aptos"/>
                <w:b/>
                <w:i w:val="0"/>
                <w:color w:val="FFFFFF"/>
                <w:sz w:val="17"/>
              </w:rPr>
              <w:t>Step</w:t>
            </w:r>
          </w:p>
        </w:tc>
        <w:tc>
          <w:tcPr>
            <w:tcW w:type="dxa" w:w="5141"/>
            <w:vAlign w:val="center"/>
            <w:shd w:fill="2F114F" w:val="clear"/>
            <w:tcBorders>
              <w:top w:val="single" w:sz="8" w:space="0" w:color="2F114F"/>
              <w:left w:val="single" w:sz="8" w:space="0" w:color="2F114F"/>
              <w:bottom w:val="single" w:sz="8" w:space="0" w:color="2F114F"/>
              <w:right w:val="single" w:sz="8" w:space="0" w:color="2F114F"/>
              <w:insideH w:val="single" w:sz="8" w:space="0" w:color="2F114F"/>
              <w:insideV w:val="single" w:sz="8" w:space="0" w:color="2F114F"/>
            </w:tcBorders>
            <w:tcMar>
              <w:top w:w="95" w:type="dxa"/>
              <w:start w:w="110" w:type="dxa"/>
              <w:bottom w:w="95" w:type="dxa"/>
              <w:end w:w="110" w:type="dxa"/>
            </w:tcMar>
          </w:tcPr>
          <w:p>
            <w:pPr>
              <w:keepLines/>
              <w:spacing w:after="0"/>
              <w:jc w:val="left"/>
            </w:pPr>
            <w:r>
              <w:rPr>
                <w:rFonts w:ascii="Aptos" w:hAnsi="Aptos" w:eastAsia="Aptos"/>
                <w:b/>
                <w:i w:val="0"/>
                <w:color w:val="FFFFFF"/>
                <w:sz w:val="17"/>
              </w:rPr>
              <w:t>Prototype behaviour</w:t>
            </w:r>
          </w:p>
        </w:tc>
        <w:tc>
          <w:tcPr>
            <w:tcW w:type="dxa" w:w="2966"/>
            <w:vAlign w:val="center"/>
            <w:shd w:fill="2F114F" w:val="clear"/>
            <w:tcBorders>
              <w:top w:val="single" w:sz="8" w:space="0" w:color="2F114F"/>
              <w:left w:val="single" w:sz="8" w:space="0" w:color="2F114F"/>
              <w:bottom w:val="single" w:sz="8" w:space="0" w:color="2F114F"/>
              <w:right w:val="single" w:sz="8" w:space="0" w:color="2F114F"/>
              <w:insideH w:val="single" w:sz="8" w:space="0" w:color="2F114F"/>
              <w:insideV w:val="single" w:sz="8" w:space="0" w:color="2F114F"/>
            </w:tcBorders>
            <w:tcMar>
              <w:top w:w="95" w:type="dxa"/>
              <w:start w:w="110" w:type="dxa"/>
              <w:bottom w:w="95" w:type="dxa"/>
              <w:end w:w="110" w:type="dxa"/>
            </w:tcMar>
          </w:tcPr>
          <w:p>
            <w:pPr>
              <w:keepLines/>
              <w:spacing w:after="0"/>
              <w:jc w:val="left"/>
            </w:pPr>
            <w:r>
              <w:rPr>
                <w:rFonts w:ascii="Aptos" w:hAnsi="Aptos" w:eastAsia="Aptos"/>
                <w:b/>
                <w:i w:val="0"/>
                <w:color w:val="FFFFFF"/>
                <w:sz w:val="17"/>
              </w:rPr>
              <w:t>Evidence surface</w:t>
            </w:r>
          </w:p>
        </w:tc>
      </w:tr>
      <w:tr>
        <w:tc>
          <w:tcPr>
            <w:tcW w:type="dxa" w:w="1066"/>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Detect</w:t>
            </w:r>
          </w:p>
        </w:tc>
        <w:tc>
          <w:tcPr>
            <w:tcW w:type="dxa" w:w="5141"/>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A simulated opportunity is found during a watch.</w:t>
            </w:r>
          </w:p>
        </w:tc>
        <w:tc>
          <w:tcPr>
            <w:tcW w:type="dxa" w:w="2966"/>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Watch console and event trace</w:t>
            </w:r>
          </w:p>
        </w:tc>
      </w:tr>
      <w:tr>
        <w:tc>
          <w:tcPr>
            <w:tcW w:type="dxa" w:w="1066"/>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Evaluate</w:t>
            </w:r>
          </w:p>
        </w:tc>
        <w:tc>
          <w:tcPr>
            <w:tcW w:type="dxa" w:w="5141"/>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The policy resolves the domain owner and checks bounded consent.</w:t>
            </w:r>
          </w:p>
        </w:tc>
        <w:tc>
          <w:tcPr>
            <w:tcW w:type="dxa" w:w="2966"/>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Rule trace and decision object</w:t>
            </w:r>
          </w:p>
        </w:tc>
      </w:tr>
      <w:tr>
        <w:tc>
          <w:tcPr>
            <w:tcW w:type="dxa" w:w="1066"/>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Prepare</w:t>
            </w:r>
          </w:p>
        </w:tc>
        <w:tc>
          <w:tcPr>
            <w:tcW w:type="dxa" w:w="5141"/>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The prototype stages reversible work and a free temporary hold.</w:t>
            </w:r>
          </w:p>
        </w:tc>
        <w:tc>
          <w:tcPr>
            <w:tcW w:type="dxa" w:w="2966"/>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Prepared transaction state</w:t>
            </w:r>
          </w:p>
        </w:tc>
      </w:tr>
      <w:tr>
        <w:tc>
          <w:tcPr>
            <w:tcW w:type="dxa" w:w="1066"/>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Pause or proceed</w:t>
            </w:r>
          </w:p>
        </w:tc>
        <w:tc>
          <w:tcPr>
            <w:tcW w:type="dxa" w:w="5141"/>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A qualifying envelope can execute. An unresolved or cross owner decision asks or locks.</w:t>
            </w:r>
          </w:p>
        </w:tc>
        <w:tc>
          <w:tcPr>
            <w:tcW w:type="dxa" w:w="2966"/>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Approver pane and authority lock</w:t>
            </w:r>
          </w:p>
        </w:tc>
      </w:tr>
      <w:tr>
        <w:tc>
          <w:tcPr>
            <w:tcW w:type="dxa" w:w="1066"/>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Guard</w:t>
            </w:r>
          </w:p>
        </w:tc>
        <w:tc>
          <w:tcPr>
            <w:tcW w:type="dxa" w:w="5141"/>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Identity and envelope validity are checked before capture.</w:t>
            </w:r>
          </w:p>
        </w:tc>
        <w:tc>
          <w:tcPr>
            <w:tcW w:type="dxa" w:w="2966"/>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Pre capture guards and audit events</w:t>
            </w:r>
          </w:p>
        </w:tc>
      </w:tr>
      <w:tr>
        <w:tc>
          <w:tcPr>
            <w:tcW w:type="dxa" w:w="1066"/>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Record</w:t>
            </w:r>
          </w:p>
        </w:tc>
        <w:tc>
          <w:tcPr>
            <w:tcW w:type="dxa" w:w="5141"/>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The receipt names the decision owner and the final state.</w:t>
            </w:r>
          </w:p>
        </w:tc>
        <w:tc>
          <w:tcPr>
            <w:tcW w:type="dxa" w:w="2966"/>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Decision Receipt</w:t>
            </w:r>
          </w:p>
        </w:tc>
      </w:tr>
    </w:tbl>
    <w:p>
      <w:pPr>
        <w:spacing w:after="40"/>
      </w:pPr>
    </w:p>
    <w:p>
      <w:pPr>
        <w:pStyle w:val="Heading1"/>
        <w:keepNext/>
        <w:spacing w:before="300" w:after="120"/>
      </w:pPr>
      <w:r>
        <w:rPr>
          <w:rFonts w:ascii="Aptos Display" w:hAnsi="Aptos Display" w:eastAsia="Aptos"/>
          <w:b/>
          <w:i w:val="0"/>
          <w:color w:val="000000"/>
          <w:sz w:val="30"/>
        </w:rPr>
        <w:t>Scenario Coverage</w:t>
      </w:r>
    </w:p>
    <w:p>
      <w:pPr>
        <w:spacing w:after="120" w:line="283" w:lineRule="auto"/>
      </w:pPr>
      <w:r>
        <w:rPr>
          <w:rFonts w:ascii="Aptos" w:hAnsi="Aptos" w:eastAsia="Aptos"/>
          <w:b w:val="0"/>
          <w:i w:val="0"/>
          <w:color w:val="000000"/>
          <w:sz w:val="21"/>
        </w:rPr>
        <w:t>The ten scenario fixtures are review cases, not claims about real users or services. They expose different authority and safety decisions through one consistent interaction model.</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792"/>
            <w:vAlign w:val="center"/>
            <w:shd w:fill="2F114F" w:val="clear"/>
            <w:tcBorders>
              <w:top w:val="single" w:sz="8" w:space="0" w:color="2F114F"/>
              <w:left w:val="single" w:sz="8" w:space="0" w:color="2F114F"/>
              <w:bottom w:val="single" w:sz="8" w:space="0" w:color="2F114F"/>
              <w:right w:val="single" w:sz="8" w:space="0" w:color="2F114F"/>
              <w:insideH w:val="single" w:sz="8" w:space="0" w:color="2F114F"/>
              <w:insideV w:val="single" w:sz="8" w:space="0" w:color="2F114F"/>
            </w:tcBorders>
            <w:tcMar>
              <w:top w:w="95" w:type="dxa"/>
              <w:start w:w="110" w:type="dxa"/>
              <w:bottom w:w="95" w:type="dxa"/>
              <w:end w:w="110" w:type="dxa"/>
            </w:tcMar>
          </w:tcPr>
          <w:p>
            <w:pPr>
              <w:keepLines/>
              <w:spacing w:after="0"/>
              <w:jc w:val="left"/>
            </w:pPr>
            <w:r>
              <w:rPr>
                <w:rFonts w:ascii="Aptos" w:hAnsi="Aptos" w:eastAsia="Aptos"/>
                <w:b/>
                <w:i w:val="0"/>
                <w:color w:val="FFFFFF"/>
                <w:sz w:val="17"/>
              </w:rPr>
              <w:t>ID</w:t>
            </w:r>
          </w:p>
        </w:tc>
        <w:tc>
          <w:tcPr>
            <w:tcW w:type="dxa" w:w="2952"/>
            <w:vAlign w:val="center"/>
            <w:shd w:fill="2F114F" w:val="clear"/>
            <w:tcBorders>
              <w:top w:val="single" w:sz="8" w:space="0" w:color="2F114F"/>
              <w:left w:val="single" w:sz="8" w:space="0" w:color="2F114F"/>
              <w:bottom w:val="single" w:sz="8" w:space="0" w:color="2F114F"/>
              <w:right w:val="single" w:sz="8" w:space="0" w:color="2F114F"/>
              <w:insideH w:val="single" w:sz="8" w:space="0" w:color="2F114F"/>
              <w:insideV w:val="single" w:sz="8" w:space="0" w:color="2F114F"/>
            </w:tcBorders>
            <w:tcMar>
              <w:top w:w="95" w:type="dxa"/>
              <w:start w:w="110" w:type="dxa"/>
              <w:bottom w:w="95" w:type="dxa"/>
              <w:end w:w="110" w:type="dxa"/>
            </w:tcMar>
          </w:tcPr>
          <w:p>
            <w:pPr>
              <w:keepLines/>
              <w:spacing w:after="0"/>
              <w:jc w:val="left"/>
            </w:pPr>
            <w:r>
              <w:rPr>
                <w:rFonts w:ascii="Aptos" w:hAnsi="Aptos" w:eastAsia="Aptos"/>
                <w:b/>
                <w:i w:val="0"/>
                <w:color w:val="FFFFFF"/>
                <w:sz w:val="17"/>
              </w:rPr>
              <w:t>Fixture</w:t>
            </w:r>
          </w:p>
        </w:tc>
        <w:tc>
          <w:tcPr>
            <w:tcW w:type="dxa" w:w="5429"/>
            <w:vAlign w:val="center"/>
            <w:shd w:fill="2F114F" w:val="clear"/>
            <w:tcBorders>
              <w:top w:val="single" w:sz="8" w:space="0" w:color="2F114F"/>
              <w:left w:val="single" w:sz="8" w:space="0" w:color="2F114F"/>
              <w:bottom w:val="single" w:sz="8" w:space="0" w:color="2F114F"/>
              <w:right w:val="single" w:sz="8" w:space="0" w:color="2F114F"/>
              <w:insideH w:val="single" w:sz="8" w:space="0" w:color="2F114F"/>
              <w:insideV w:val="single" w:sz="8" w:space="0" w:color="2F114F"/>
            </w:tcBorders>
            <w:tcMar>
              <w:top w:w="95" w:type="dxa"/>
              <w:start w:w="110" w:type="dxa"/>
              <w:bottom w:w="95" w:type="dxa"/>
              <w:end w:w="110" w:type="dxa"/>
            </w:tcMar>
          </w:tcPr>
          <w:p>
            <w:pPr>
              <w:keepLines/>
              <w:spacing w:after="0"/>
              <w:jc w:val="left"/>
            </w:pPr>
            <w:r>
              <w:rPr>
                <w:rFonts w:ascii="Aptos" w:hAnsi="Aptos" w:eastAsia="Aptos"/>
                <w:b/>
                <w:i w:val="0"/>
                <w:color w:val="FFFFFF"/>
                <w:sz w:val="17"/>
              </w:rPr>
              <w:t>Expected policy result</w:t>
            </w:r>
          </w:p>
        </w:tc>
      </w:tr>
      <w:tr>
        <w:tc>
          <w:tcPr>
            <w:tcW w:type="dxa" w:w="792"/>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S1</w:t>
            </w:r>
          </w:p>
        </w:tc>
        <w:tc>
          <w:tcPr>
            <w:tcW w:type="dxa" w:w="2952"/>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Inside the envelope</w:t>
            </w:r>
          </w:p>
        </w:tc>
        <w:tc>
          <w:tcPr>
            <w:tcW w:type="dxa" w:w="5429"/>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Confirm under recorded consent</w:t>
            </w:r>
          </w:p>
        </w:tc>
      </w:tr>
      <w:tr>
        <w:tc>
          <w:tcPr>
            <w:tcW w:type="dxa" w:w="792"/>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S2</w:t>
            </w:r>
          </w:p>
        </w:tc>
        <w:tc>
          <w:tcPr>
            <w:tcW w:type="dxa" w:w="2952"/>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One dimension outside</w:t>
            </w:r>
          </w:p>
        </w:tc>
        <w:tc>
          <w:tcPr>
            <w:tcW w:type="dxa" w:w="5429"/>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Ask Dad about the 22 20 departure</w:t>
            </w:r>
          </w:p>
        </w:tc>
      </w:tr>
      <w:tr>
        <w:tc>
          <w:tcPr>
            <w:tcW w:type="dxa" w:w="792"/>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S3</w:t>
            </w:r>
          </w:p>
        </w:tc>
        <w:tc>
          <w:tcPr>
            <w:tcW w:type="dxa" w:w="2952"/>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Approver unreachable</w:t>
            </w:r>
          </w:p>
        </w:tc>
        <w:tc>
          <w:tcPr>
            <w:tcW w:type="dxa" w:w="5429"/>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Release using the declared fallback</w:t>
            </w:r>
          </w:p>
        </w:tc>
      </w:tr>
      <w:tr>
        <w:tc>
          <w:tcPr>
            <w:tcW w:type="dxa" w:w="792"/>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S4</w:t>
            </w:r>
          </w:p>
        </w:tc>
        <w:tc>
          <w:tcPr>
            <w:tcW w:type="dxa" w:w="2952"/>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Slot expires</w:t>
            </w:r>
          </w:p>
        </w:tc>
        <w:tc>
          <w:tcPr>
            <w:tcW w:type="dxa" w:w="5429"/>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Release the free hold and keep watching</w:t>
            </w:r>
          </w:p>
        </w:tc>
      </w:tr>
      <w:tr>
        <w:tc>
          <w:tcPr>
            <w:tcW w:type="dxa" w:w="792"/>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S5</w:t>
            </w:r>
          </w:p>
        </w:tc>
        <w:tc>
          <w:tcPr>
            <w:tcW w:type="dxa" w:w="2952"/>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Money decision</w:t>
            </w:r>
          </w:p>
        </w:tc>
        <w:tc>
          <w:tcPr>
            <w:tcW w:type="dxa" w:w="5429"/>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Lock because the booker is not the money owner</w:t>
            </w:r>
          </w:p>
        </w:tc>
      </w:tr>
      <w:tr>
        <w:tc>
          <w:tcPr>
            <w:tcW w:type="dxa" w:w="792"/>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S6</w:t>
            </w:r>
          </w:p>
        </w:tc>
        <w:tc>
          <w:tcPr>
            <w:tcW w:type="dxa" w:w="2952"/>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Budget breach</w:t>
            </w:r>
          </w:p>
        </w:tc>
        <w:tc>
          <w:tcPr>
            <w:tcW w:type="dxa" w:w="5429"/>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Refuse above the hard ceiling</w:t>
            </w:r>
          </w:p>
        </w:tc>
      </w:tr>
      <w:tr>
        <w:tc>
          <w:tcPr>
            <w:tcW w:type="dxa" w:w="792"/>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S7</w:t>
            </w:r>
          </w:p>
        </w:tc>
        <w:tc>
          <w:tcPr>
            <w:tcW w:type="dxa" w:w="2952"/>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Two qualifying slots</w:t>
            </w:r>
          </w:p>
        </w:tc>
        <w:tc>
          <w:tcPr>
            <w:tcW w:type="dxa" w:w="5429"/>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Ask rather than choose a tie</w:t>
            </w:r>
          </w:p>
        </w:tc>
      </w:tr>
      <w:tr>
        <w:tc>
          <w:tcPr>
            <w:tcW w:type="dxa" w:w="792"/>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S8</w:t>
            </w:r>
          </w:p>
        </w:tc>
        <w:tc>
          <w:tcPr>
            <w:tcW w:type="dxa" w:w="2952"/>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Healthcare scheduling</w:t>
            </w:r>
          </w:p>
        </w:tc>
        <w:tc>
          <w:tcPr>
            <w:tcW w:type="dxa" w:w="5429"/>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Ask Amma about her appointment time</w:t>
            </w:r>
          </w:p>
        </w:tc>
      </w:tr>
      <w:tr>
        <w:tc>
          <w:tcPr>
            <w:tcW w:type="dxa" w:w="792"/>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S9</w:t>
            </w:r>
          </w:p>
        </w:tc>
        <w:tc>
          <w:tcPr>
            <w:tcW w:type="dxa" w:w="2952"/>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Revoked mid flight</w:t>
            </w:r>
          </w:p>
        </w:tc>
        <w:tc>
          <w:tcPr>
            <w:tcW w:type="dxa" w:w="5429"/>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Void the mandate before capture</w:t>
            </w:r>
          </w:p>
        </w:tc>
      </w:tr>
      <w:tr>
        <w:tc>
          <w:tcPr>
            <w:tcW w:type="dxa" w:w="792"/>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S10</w:t>
            </w:r>
          </w:p>
        </w:tc>
        <w:tc>
          <w:tcPr>
            <w:tcW w:type="dxa" w:w="2952"/>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Ambiguous voice reply</w:t>
            </w:r>
          </w:p>
        </w:tc>
        <w:tc>
          <w:tcPr>
            <w:tcW w:type="dxa" w:w="5429"/>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Re ask one decision dimension</w:t>
            </w:r>
          </w:p>
        </w:tc>
      </w:tr>
    </w:tbl>
    <w:p>
      <w:pPr>
        <w:spacing w:after="40"/>
      </w:pPr>
    </w:p>
    <w:p>
      <w:pPr>
        <w:pStyle w:val="Heading1"/>
        <w:keepNext/>
        <w:spacing w:before="300" w:after="120"/>
      </w:pPr>
      <w:r>
        <w:rPr>
          <w:rFonts w:ascii="Aptos Display" w:hAnsi="Aptos Display" w:eastAsia="Aptos"/>
          <w:b/>
          <w:i w:val="0"/>
          <w:color w:val="000000"/>
          <w:sz w:val="30"/>
        </w:rPr>
        <w:t>Policy And Audit Integrity</w:t>
      </w:r>
    </w:p>
    <w:p>
      <w:pPr>
        <w:spacing w:after="120" w:line="283" w:lineRule="auto"/>
      </w:pPr>
      <w:r>
        <w:rPr>
          <w:rFonts w:ascii="Aptos" w:hAnsi="Aptos" w:eastAsia="Aptos"/>
          <w:b w:val="0"/>
          <w:i w:val="0"/>
          <w:color w:val="000000"/>
          <w:sz w:val="21"/>
        </w:rPr>
        <w:t>The supplied engine source defines a policy family from R1 through R15. The final prototype exposes its corresponding authority checks through the live rule trace. It keeps a separate distinction between reversible work, bounded consent, and money or commitment decisions that require the correct owner.</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1829"/>
            <w:vAlign w:val="center"/>
            <w:shd w:fill="2F114F" w:val="clear"/>
            <w:tcBorders>
              <w:top w:val="single" w:sz="8" w:space="0" w:color="2F114F"/>
              <w:left w:val="single" w:sz="8" w:space="0" w:color="2F114F"/>
              <w:bottom w:val="single" w:sz="8" w:space="0" w:color="2F114F"/>
              <w:right w:val="single" w:sz="8" w:space="0" w:color="2F114F"/>
              <w:insideH w:val="single" w:sz="8" w:space="0" w:color="2F114F"/>
              <w:insideV w:val="single" w:sz="8" w:space="0" w:color="2F114F"/>
            </w:tcBorders>
            <w:tcMar>
              <w:top w:w="95" w:type="dxa"/>
              <w:start w:w="110" w:type="dxa"/>
              <w:bottom w:w="95" w:type="dxa"/>
              <w:end w:w="110" w:type="dxa"/>
            </w:tcMar>
          </w:tcPr>
          <w:p>
            <w:pPr>
              <w:keepLines/>
              <w:spacing w:after="0"/>
              <w:jc w:val="left"/>
            </w:pPr>
            <w:r>
              <w:rPr>
                <w:rFonts w:ascii="Aptos" w:hAnsi="Aptos" w:eastAsia="Aptos"/>
                <w:b/>
                <w:i w:val="0"/>
                <w:color w:val="FFFFFF"/>
                <w:sz w:val="17"/>
              </w:rPr>
              <w:t>Control</w:t>
            </w:r>
          </w:p>
        </w:tc>
        <w:tc>
          <w:tcPr>
            <w:tcW w:type="dxa" w:w="5976"/>
            <w:vAlign w:val="center"/>
            <w:shd w:fill="2F114F" w:val="clear"/>
            <w:tcBorders>
              <w:top w:val="single" w:sz="8" w:space="0" w:color="2F114F"/>
              <w:left w:val="single" w:sz="8" w:space="0" w:color="2F114F"/>
              <w:bottom w:val="single" w:sz="8" w:space="0" w:color="2F114F"/>
              <w:right w:val="single" w:sz="8" w:space="0" w:color="2F114F"/>
              <w:insideH w:val="single" w:sz="8" w:space="0" w:color="2F114F"/>
              <w:insideV w:val="single" w:sz="8" w:space="0" w:color="2F114F"/>
            </w:tcBorders>
            <w:tcMar>
              <w:top w:w="95" w:type="dxa"/>
              <w:start w:w="110" w:type="dxa"/>
              <w:bottom w:w="95" w:type="dxa"/>
              <w:end w:w="110" w:type="dxa"/>
            </w:tcMar>
          </w:tcPr>
          <w:p>
            <w:pPr>
              <w:keepLines/>
              <w:spacing w:after="0"/>
              <w:jc w:val="left"/>
            </w:pPr>
            <w:r>
              <w:rPr>
                <w:rFonts w:ascii="Aptos" w:hAnsi="Aptos" w:eastAsia="Aptos"/>
                <w:b/>
                <w:i w:val="0"/>
                <w:color w:val="FFFFFF"/>
                <w:sz w:val="17"/>
              </w:rPr>
              <w:t>How it appears in the prototype</w:t>
            </w:r>
          </w:p>
        </w:tc>
        <w:tc>
          <w:tcPr>
            <w:tcW w:type="dxa" w:w="1368"/>
            <w:vAlign w:val="center"/>
            <w:shd w:fill="2F114F" w:val="clear"/>
            <w:tcBorders>
              <w:top w:val="single" w:sz="8" w:space="0" w:color="2F114F"/>
              <w:left w:val="single" w:sz="8" w:space="0" w:color="2F114F"/>
              <w:bottom w:val="single" w:sz="8" w:space="0" w:color="2F114F"/>
              <w:right w:val="single" w:sz="8" w:space="0" w:color="2F114F"/>
              <w:insideH w:val="single" w:sz="8" w:space="0" w:color="2F114F"/>
              <w:insideV w:val="single" w:sz="8" w:space="0" w:color="2F114F"/>
            </w:tcBorders>
            <w:tcMar>
              <w:top w:w="95" w:type="dxa"/>
              <w:start w:w="110" w:type="dxa"/>
              <w:bottom w:w="95" w:type="dxa"/>
              <w:end w:w="110" w:type="dxa"/>
            </w:tcMar>
          </w:tcPr>
          <w:p>
            <w:pPr>
              <w:keepLines/>
              <w:spacing w:after="0"/>
              <w:jc w:val="left"/>
            </w:pPr>
            <w:r>
              <w:rPr>
                <w:rFonts w:ascii="Aptos" w:hAnsi="Aptos" w:eastAsia="Aptos"/>
                <w:b/>
                <w:i w:val="0"/>
                <w:color w:val="FFFFFF"/>
                <w:sz w:val="17"/>
              </w:rPr>
              <w:t>Provenance</w:t>
            </w:r>
          </w:p>
        </w:tc>
      </w:tr>
      <w:tr>
        <w:tc>
          <w:tcPr>
            <w:tcW w:type="dxa" w:w="1829"/>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Decision authority</w:t>
            </w:r>
          </w:p>
        </w:tc>
        <w:tc>
          <w:tcPr>
            <w:tcW w:type="dxa" w:w="5976"/>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Seven decision domains identify an owner for discovery, selection, schedule, identity, money, commitment, and disclosure.</w:t>
            </w:r>
          </w:p>
        </w:tc>
        <w:tc>
          <w:tcPr>
            <w:tcW w:type="dxa" w:w="1368"/>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LOCAL</w:t>
            </w:r>
          </w:p>
        </w:tc>
      </w:tr>
      <w:tr>
        <w:tc>
          <w:tcPr>
            <w:tcW w:type="dxa" w:w="1829"/>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Consent envelope</w:t>
            </w:r>
          </w:p>
        </w:tc>
        <w:tc>
          <w:tcPr>
            <w:tcW w:type="dxa" w:w="5976"/>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A recorded boundary checks fare, class, departure time, and cancellation against the fixture opportunity.</w:t>
            </w:r>
          </w:p>
        </w:tc>
        <w:tc>
          <w:tcPr>
            <w:tcW w:type="dxa" w:w="1368"/>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LOCAL</w:t>
            </w:r>
          </w:p>
        </w:tc>
      </w:tr>
      <w:tr>
        <w:tc>
          <w:tcPr>
            <w:tcW w:type="dxa" w:w="1829"/>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Opportunity and payment</w:t>
            </w:r>
          </w:p>
        </w:tc>
        <w:tc>
          <w:tcPr>
            <w:tcW w:type="dxa" w:w="5976"/>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Rail inventory, holds, mandate states, payment capture, and voice delivery are demo fixtures.</w:t>
            </w:r>
          </w:p>
        </w:tc>
        <w:tc>
          <w:tcPr>
            <w:tcW w:type="dxa" w:w="1368"/>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SIMULATED</w:t>
            </w:r>
          </w:p>
        </w:tc>
      </w:tr>
      <w:tr>
        <w:tc>
          <w:tcPr>
            <w:tcW w:type="dxa" w:w="1829"/>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Audit trace</w:t>
            </w:r>
          </w:p>
        </w:tc>
        <w:tc>
          <w:tcPr>
            <w:tcW w:type="dxa" w:w="5976"/>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User visible state changes append an event before the interface re renders.</w:t>
            </w:r>
          </w:p>
        </w:tc>
        <w:tc>
          <w:tcPr>
            <w:tcW w:type="dxa" w:w="1368"/>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LOCAL</w:t>
            </w:r>
          </w:p>
        </w:tc>
      </w:tr>
      <w:tr>
        <w:tc>
          <w:tcPr>
            <w:tcW w:type="dxa" w:w="1829"/>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Replay</w:t>
            </w:r>
          </w:p>
        </w:tc>
        <w:tc>
          <w:tcPr>
            <w:tcW w:type="dxa" w:w="5976"/>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The trace can be scrubbed to recompute a prior point in the same event sequence.</w:t>
            </w:r>
          </w:p>
        </w:tc>
        <w:tc>
          <w:tcPr>
            <w:tcW w:type="dxa" w:w="1368"/>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LOCAL</w:t>
            </w:r>
          </w:p>
        </w:tc>
      </w:tr>
    </w:tbl>
    <w:p>
      <w:pPr>
        <w:spacing w:after="40"/>
      </w:pPr>
    </w:p>
    <w:p>
      <w:pPr>
        <w:pStyle w:val="Heading2"/>
        <w:keepNext/>
        <w:spacing w:before="200" w:after="120"/>
      </w:pPr>
      <w:r>
        <w:rPr>
          <w:rFonts w:ascii="Aptos" w:hAnsi="Aptos" w:eastAsia="Aptos"/>
          <w:b/>
          <w:i w:val="0"/>
          <w:color w:val="000000"/>
          <w:sz w:val="23"/>
        </w:rPr>
        <w:t>Visible Constraints</w:t>
      </w:r>
    </w:p>
    <w:p>
      <w:pPr>
        <w:spacing w:after="120" w:line="283" w:lineRule="auto"/>
      </w:pPr>
      <w:r>
        <w:rPr>
          <w:rFonts w:ascii="Aptos" w:hAnsi="Aptos" w:eastAsia="Aptos"/>
          <w:b w:val="0"/>
          <w:i w:val="0"/>
          <w:color w:val="000000"/>
          <w:sz w:val="21"/>
        </w:rPr>
        <w:t>The delivery deliberately makes its limits visible. It has no live API dependency, it does not claim production inventory or payment execution, and it does not present fixture values as research or business results. The interface uses LOCAL and SIMULATED badges so a reviewer can distinguish the policy demonstration from a live service.</w:t>
      </w:r>
    </w:p>
    <w:p>
      <w:pPr>
        <w:pStyle w:val="Heading2"/>
        <w:keepNext/>
        <w:spacing w:before="200" w:after="120"/>
      </w:pPr>
      <w:r>
        <w:rPr>
          <w:rFonts w:ascii="Aptos" w:hAnsi="Aptos" w:eastAsia="Aptos"/>
          <w:b/>
          <w:i w:val="0"/>
          <w:color w:val="000000"/>
          <w:sz w:val="23"/>
        </w:rPr>
        <w:t>Static Prototype Adaptation</w:t>
      </w:r>
    </w:p>
    <w:p>
      <w:pPr>
        <w:spacing w:after="120" w:line="283" w:lineRule="auto"/>
      </w:pPr>
      <w:r>
        <w:rPr>
          <w:rFonts w:ascii="Aptos" w:hAnsi="Aptos" w:eastAsia="Aptos"/>
          <w:b w:val="0"/>
          <w:i w:val="0"/>
          <w:color w:val="000000"/>
          <w:sz w:val="21"/>
        </w:rPr>
        <w:t>The source pack describes a React and TypeScript build plan. This delivery is a self contained static HTML, CSS, and JavaScript prototype so it can run offline without installing a toolchain or contacting a service. The source pack is retained in the final delivery as reference material; the runtime behaviour is implemented in the static application files.</w:t>
      </w:r>
    </w:p>
    <w:p>
      <w:pPr>
        <w:pStyle w:val="Heading1"/>
        <w:keepNext/>
        <w:spacing w:before="300" w:after="120"/>
      </w:pPr>
      <w:r>
        <w:rPr>
          <w:rFonts w:ascii="Aptos Display" w:hAnsi="Aptos Display" w:eastAsia="Aptos"/>
          <w:b/>
          <w:i w:val="0"/>
          <w:color w:val="000000"/>
          <w:sz w:val="30"/>
        </w:rPr>
        <w:t>Visual Direction</w:t>
      </w:r>
    </w:p>
    <w:p>
      <w:pPr>
        <w:spacing w:after="120" w:line="283" w:lineRule="auto"/>
      </w:pPr>
      <w:r>
        <w:rPr>
          <w:rFonts w:ascii="Aptos" w:hAnsi="Aptos" w:eastAsia="Aptos"/>
          <w:b w:val="0"/>
          <w:i w:val="0"/>
          <w:color w:val="000000"/>
          <w:sz w:val="21"/>
        </w:rPr>
        <w:t>Mycelium uses a light booker surface above and a dark authority surface below. Colour carries decision meaning: violet identifies authority, ochre identifies money, cyan identifies time, rose identifies refusal, and mint identifies confirmed or safe states. The opening and authority lock moments use inline SVG characters and props so the visual layer remains inside the offline bundle.</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shd w:fill="2F114F" w:val="clear"/>
            <w:tcBorders>
              <w:top w:val="single" w:sz="8" w:space="0" w:color="2F114F"/>
              <w:left w:val="single" w:sz="8" w:space="0" w:color="2F114F"/>
              <w:bottom w:val="single" w:sz="8" w:space="0" w:color="2F114F"/>
              <w:right w:val="single" w:sz="8" w:space="0" w:color="2F114F"/>
              <w:insideH w:val="single" w:sz="8" w:space="0" w:color="2F114F"/>
              <w:insideV w:val="single" w:sz="8" w:space="0" w:color="2F114F"/>
            </w:tcBorders>
            <w:tcMar>
              <w:top w:w="95" w:type="dxa"/>
              <w:start w:w="110" w:type="dxa"/>
              <w:bottom w:w="95" w:type="dxa"/>
              <w:end w:w="110" w:type="dxa"/>
            </w:tcMar>
          </w:tcPr>
          <w:p>
            <w:pPr>
              <w:keepLines/>
              <w:spacing w:after="0"/>
              <w:jc w:val="left"/>
            </w:pPr>
            <w:r>
              <w:rPr>
                <w:rFonts w:ascii="Aptos" w:hAnsi="Aptos" w:eastAsia="Aptos"/>
                <w:b/>
                <w:i w:val="0"/>
                <w:color w:val="FFFFFF"/>
                <w:sz w:val="17"/>
              </w:rPr>
              <w:t>Semantic role</w:t>
            </w:r>
          </w:p>
        </w:tc>
        <w:tc>
          <w:tcPr>
            <w:tcW w:type="dxa" w:w="2520"/>
            <w:vAlign w:val="center"/>
            <w:shd w:fill="2F114F" w:val="clear"/>
            <w:tcBorders>
              <w:top w:val="single" w:sz="8" w:space="0" w:color="2F114F"/>
              <w:left w:val="single" w:sz="8" w:space="0" w:color="2F114F"/>
              <w:bottom w:val="single" w:sz="8" w:space="0" w:color="2F114F"/>
              <w:right w:val="single" w:sz="8" w:space="0" w:color="2F114F"/>
              <w:insideH w:val="single" w:sz="8" w:space="0" w:color="2F114F"/>
              <w:insideV w:val="single" w:sz="8" w:space="0" w:color="2F114F"/>
            </w:tcBorders>
            <w:tcMar>
              <w:top w:w="95" w:type="dxa"/>
              <w:start w:w="110" w:type="dxa"/>
              <w:bottom w:w="95" w:type="dxa"/>
              <w:end w:w="110" w:type="dxa"/>
            </w:tcMar>
          </w:tcPr>
          <w:p>
            <w:pPr>
              <w:keepLines/>
              <w:spacing w:after="0"/>
              <w:jc w:val="left"/>
            </w:pPr>
            <w:r>
              <w:rPr>
                <w:rFonts w:ascii="Aptos" w:hAnsi="Aptos" w:eastAsia="Aptos"/>
                <w:b/>
                <w:i w:val="0"/>
                <w:color w:val="FFFFFF"/>
                <w:sz w:val="17"/>
              </w:rPr>
              <w:t>Visual treatment</w:t>
            </w:r>
          </w:p>
        </w:tc>
        <w:tc>
          <w:tcPr>
            <w:tcW w:type="dxa" w:w="4853"/>
            <w:vAlign w:val="center"/>
            <w:shd w:fill="2F114F" w:val="clear"/>
            <w:tcBorders>
              <w:top w:val="single" w:sz="8" w:space="0" w:color="2F114F"/>
              <w:left w:val="single" w:sz="8" w:space="0" w:color="2F114F"/>
              <w:bottom w:val="single" w:sz="8" w:space="0" w:color="2F114F"/>
              <w:right w:val="single" w:sz="8" w:space="0" w:color="2F114F"/>
              <w:insideH w:val="single" w:sz="8" w:space="0" w:color="2F114F"/>
              <w:insideV w:val="single" w:sz="8" w:space="0" w:color="2F114F"/>
            </w:tcBorders>
            <w:tcMar>
              <w:top w:w="95" w:type="dxa"/>
              <w:start w:w="110" w:type="dxa"/>
              <w:bottom w:w="95" w:type="dxa"/>
              <w:end w:w="110" w:type="dxa"/>
            </w:tcMar>
          </w:tcPr>
          <w:p>
            <w:pPr>
              <w:keepLines/>
              <w:spacing w:after="0"/>
              <w:jc w:val="left"/>
            </w:pPr>
            <w:r>
              <w:rPr>
                <w:rFonts w:ascii="Aptos" w:hAnsi="Aptos" w:eastAsia="Aptos"/>
                <w:b/>
                <w:i w:val="0"/>
                <w:color w:val="FFFFFF"/>
                <w:sz w:val="17"/>
              </w:rPr>
              <w:t>Used for</w:t>
            </w:r>
          </w:p>
        </w:tc>
      </w:tr>
      <w:tr>
        <w:tc>
          <w:tcPr>
            <w:tcW w:type="dxa" w:w="1800"/>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Authority</w:t>
            </w:r>
          </w:p>
        </w:tc>
        <w:tc>
          <w:tcPr>
            <w:tcW w:type="dxa" w:w="2520"/>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Violet plum</w:t>
            </w:r>
          </w:p>
        </w:tc>
        <w:tc>
          <w:tcPr>
            <w:tcW w:type="dxa" w:w="4853"/>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Owners and consent boundaries</w:t>
            </w:r>
          </w:p>
        </w:tc>
      </w:tr>
      <w:tr>
        <w:tc>
          <w:tcPr>
            <w:tcW w:type="dxa" w:w="1800"/>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Money</w:t>
            </w:r>
          </w:p>
        </w:tc>
        <w:tc>
          <w:tcPr>
            <w:tcW w:type="dxa" w:w="2520"/>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Ocher gold</w:t>
            </w:r>
          </w:p>
        </w:tc>
        <w:tc>
          <w:tcPr>
            <w:tcW w:type="dxa" w:w="4853"/>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Payment rail and money owner</w:t>
            </w:r>
          </w:p>
        </w:tc>
      </w:tr>
      <w:tr>
        <w:tc>
          <w:tcPr>
            <w:tcW w:type="dxa" w:w="1800"/>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Time</w:t>
            </w:r>
          </w:p>
        </w:tc>
        <w:tc>
          <w:tcPr>
            <w:tcW w:type="dxa" w:w="2520"/>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Cyan</w:t>
            </w:r>
          </w:p>
        </w:tc>
        <w:tc>
          <w:tcPr>
            <w:tcW w:type="dxa" w:w="4853"/>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Hold countdown and timing constraints</w:t>
            </w:r>
          </w:p>
        </w:tc>
      </w:tr>
      <w:tr>
        <w:tc>
          <w:tcPr>
            <w:tcW w:type="dxa" w:w="1800"/>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Refusal</w:t>
            </w:r>
          </w:p>
        </w:tc>
        <w:tc>
          <w:tcPr>
            <w:tcW w:type="dxa" w:w="2520"/>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Rose</w:t>
            </w:r>
          </w:p>
        </w:tc>
        <w:tc>
          <w:tcPr>
            <w:tcW w:type="dxa" w:w="4853"/>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Budget refusal and invalid actions</w:t>
            </w:r>
          </w:p>
        </w:tc>
      </w:tr>
      <w:tr>
        <w:tc>
          <w:tcPr>
            <w:tcW w:type="dxa" w:w="1800"/>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Confirmation</w:t>
            </w:r>
          </w:p>
        </w:tc>
        <w:tc>
          <w:tcPr>
            <w:tcW w:type="dxa" w:w="2520"/>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Mint</w:t>
            </w:r>
          </w:p>
        </w:tc>
        <w:tc>
          <w:tcPr>
            <w:tcW w:type="dxa" w:w="4853"/>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Confirmed actions and passing guards</w:t>
            </w:r>
          </w:p>
        </w:tc>
      </w:tr>
    </w:tbl>
    <w:p>
      <w:pPr>
        <w:spacing w:after="40"/>
      </w:pPr>
    </w:p>
    <w:p>
      <w:pPr>
        <w:pStyle w:val="Heading1"/>
        <w:keepNext/>
        <w:spacing w:before="300" w:after="120"/>
      </w:pPr>
      <w:r>
        <w:rPr>
          <w:rFonts w:ascii="Aptos Display" w:hAnsi="Aptos Display" w:eastAsia="Aptos"/>
          <w:b/>
          <w:i w:val="0"/>
          <w:color w:val="000000"/>
          <w:sz w:val="30"/>
        </w:rPr>
        <w:t>Demo Guide</w:t>
      </w:r>
    </w:p>
    <w:p>
      <w:pPr>
        <w:spacing w:after="120" w:line="283" w:lineRule="auto"/>
      </w:pPr>
      <w:r>
        <w:rPr>
          <w:rFonts w:ascii="Aptos" w:hAnsi="Aptos" w:eastAsia="Aptos"/>
          <w:b w:val="0"/>
          <w:i w:val="0"/>
          <w:color w:val="000000"/>
          <w:sz w:val="21"/>
        </w:rPr>
        <w:t>Start with S1 to show that the assistant can complete a fully bounded booking without an approval request. Then switch to S2. It contains a fare, class, and cancellation condition that pass, while the 22 20 departure falls outside the approved window. The app prepares the transaction but leaves money with Dad and asks only about the unresolved time.</w:t>
      </w:r>
    </w:p>
    <w:p>
      <w:pPr>
        <w:pStyle w:val="Heading2"/>
        <w:keepNext/>
        <w:spacing w:before="200" w:after="120"/>
      </w:pPr>
      <w:r>
        <w:rPr>
          <w:rFonts w:ascii="Aptos" w:hAnsi="Aptos" w:eastAsia="Aptos"/>
          <w:b/>
          <w:i w:val="0"/>
          <w:color w:val="000000"/>
          <w:sz w:val="23"/>
        </w:rPr>
        <w:t>Suggested Review Sequence</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720"/>
            <w:vAlign w:val="center"/>
            <w:shd w:fill="2F114F" w:val="clear"/>
            <w:tcBorders>
              <w:top w:val="single" w:sz="8" w:space="0" w:color="2F114F"/>
              <w:left w:val="single" w:sz="8" w:space="0" w:color="2F114F"/>
              <w:bottom w:val="single" w:sz="8" w:space="0" w:color="2F114F"/>
              <w:right w:val="single" w:sz="8" w:space="0" w:color="2F114F"/>
              <w:insideH w:val="single" w:sz="8" w:space="0" w:color="2F114F"/>
              <w:insideV w:val="single" w:sz="8" w:space="0" w:color="2F114F"/>
            </w:tcBorders>
            <w:tcMar>
              <w:top w:w="95" w:type="dxa"/>
              <w:start w:w="110" w:type="dxa"/>
              <w:bottom w:w="95" w:type="dxa"/>
              <w:end w:w="110" w:type="dxa"/>
            </w:tcMar>
          </w:tcPr>
          <w:p>
            <w:pPr>
              <w:keepLines/>
              <w:spacing w:after="0"/>
              <w:jc w:val="left"/>
            </w:pPr>
            <w:r>
              <w:rPr>
                <w:rFonts w:ascii="Aptos" w:hAnsi="Aptos" w:eastAsia="Aptos"/>
                <w:b/>
                <w:i w:val="0"/>
                <w:color w:val="FFFFFF"/>
                <w:sz w:val="17"/>
              </w:rPr>
              <w:t>Moment</w:t>
            </w:r>
          </w:p>
        </w:tc>
        <w:tc>
          <w:tcPr>
            <w:tcW w:type="dxa" w:w="2232"/>
            <w:vAlign w:val="center"/>
            <w:shd w:fill="2F114F" w:val="clear"/>
            <w:tcBorders>
              <w:top w:val="single" w:sz="8" w:space="0" w:color="2F114F"/>
              <w:left w:val="single" w:sz="8" w:space="0" w:color="2F114F"/>
              <w:bottom w:val="single" w:sz="8" w:space="0" w:color="2F114F"/>
              <w:right w:val="single" w:sz="8" w:space="0" w:color="2F114F"/>
              <w:insideH w:val="single" w:sz="8" w:space="0" w:color="2F114F"/>
              <w:insideV w:val="single" w:sz="8" w:space="0" w:color="2F114F"/>
            </w:tcBorders>
            <w:tcMar>
              <w:top w:w="95" w:type="dxa"/>
              <w:start w:w="110" w:type="dxa"/>
              <w:bottom w:w="95" w:type="dxa"/>
              <w:end w:w="110" w:type="dxa"/>
            </w:tcMar>
          </w:tcPr>
          <w:p>
            <w:pPr>
              <w:keepLines/>
              <w:spacing w:after="0"/>
              <w:jc w:val="left"/>
            </w:pPr>
            <w:r>
              <w:rPr>
                <w:rFonts w:ascii="Aptos" w:hAnsi="Aptos" w:eastAsia="Aptos"/>
                <w:b/>
                <w:i w:val="0"/>
                <w:color w:val="FFFFFF"/>
                <w:sz w:val="17"/>
              </w:rPr>
              <w:t>Action</w:t>
            </w:r>
          </w:p>
        </w:tc>
        <w:tc>
          <w:tcPr>
            <w:tcW w:type="dxa" w:w="6221"/>
            <w:vAlign w:val="center"/>
            <w:shd w:fill="2F114F" w:val="clear"/>
            <w:tcBorders>
              <w:top w:val="single" w:sz="8" w:space="0" w:color="2F114F"/>
              <w:left w:val="single" w:sz="8" w:space="0" w:color="2F114F"/>
              <w:bottom w:val="single" w:sz="8" w:space="0" w:color="2F114F"/>
              <w:right w:val="single" w:sz="8" w:space="0" w:color="2F114F"/>
              <w:insideH w:val="single" w:sz="8" w:space="0" w:color="2F114F"/>
              <w:insideV w:val="single" w:sz="8" w:space="0" w:color="2F114F"/>
            </w:tcBorders>
            <w:tcMar>
              <w:top w:w="95" w:type="dxa"/>
              <w:start w:w="110" w:type="dxa"/>
              <w:bottom w:w="95" w:type="dxa"/>
              <w:end w:w="110" w:type="dxa"/>
            </w:tcMar>
          </w:tcPr>
          <w:p>
            <w:pPr>
              <w:keepLines/>
              <w:spacing w:after="0"/>
              <w:jc w:val="left"/>
            </w:pPr>
            <w:r>
              <w:rPr>
                <w:rFonts w:ascii="Aptos" w:hAnsi="Aptos" w:eastAsia="Aptos"/>
                <w:b/>
                <w:i w:val="0"/>
                <w:color w:val="FFFFFF"/>
                <w:sz w:val="17"/>
              </w:rPr>
              <w:t>What the reviewer should observe</w:t>
            </w:r>
          </w:p>
        </w:tc>
      </w:tr>
      <w:tr>
        <w:tc>
          <w:tcPr>
            <w:tcW w:type="dxa" w:w="720"/>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1</w:t>
            </w:r>
          </w:p>
        </w:tc>
        <w:tc>
          <w:tcPr>
            <w:tcW w:type="dxa" w:w="2232"/>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Choose S1</w:t>
            </w:r>
          </w:p>
        </w:tc>
        <w:tc>
          <w:tcPr>
            <w:tcW w:type="dxa" w:w="6221"/>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The consent envelope covers the fixture and confirmation can continue without interrupting Dad.</w:t>
            </w:r>
          </w:p>
        </w:tc>
      </w:tr>
      <w:tr>
        <w:tc>
          <w:tcPr>
            <w:tcW w:type="dxa" w:w="720"/>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2</w:t>
            </w:r>
          </w:p>
        </w:tc>
        <w:tc>
          <w:tcPr>
            <w:tcW w:type="dxa" w:w="2232"/>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Choose S2</w:t>
            </w:r>
          </w:p>
        </w:tc>
        <w:tc>
          <w:tcPr>
            <w:tcW w:type="dxa" w:w="6221"/>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One timing condition fails. The interface shows the narrow question rather than a broad booking form.</w:t>
            </w:r>
          </w:p>
        </w:tc>
      </w:tr>
      <w:tr>
        <w:tc>
          <w:tcPr>
            <w:tcW w:type="dxa" w:w="720"/>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3</w:t>
            </w:r>
          </w:p>
        </w:tc>
        <w:tc>
          <w:tcPr>
            <w:tcW w:type="dxa" w:w="2232"/>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Open Authority Lab</w:t>
            </w:r>
          </w:p>
        </w:tc>
        <w:tc>
          <w:tcPr>
            <w:tcW w:type="dxa" w:w="6221"/>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Give the booker money authority, then restore it. The verdict changes with the selected authority.</w:t>
            </w:r>
          </w:p>
        </w:tc>
      </w:tr>
      <w:tr>
        <w:tc>
          <w:tcPr>
            <w:tcW w:type="dxa" w:w="720"/>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4</w:t>
            </w:r>
          </w:p>
        </w:tc>
        <w:tc>
          <w:tcPr>
            <w:tcW w:type="dxa" w:w="2232"/>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Run revocation attack</w:t>
            </w:r>
          </w:p>
        </w:tc>
        <w:tc>
          <w:tcPr>
            <w:tcW w:type="dxa" w:w="6221"/>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The mandate voids before capture because validity is checked at the final step.</w:t>
            </w:r>
          </w:p>
        </w:tc>
      </w:tr>
      <w:tr>
        <w:tc>
          <w:tcPr>
            <w:tcW w:type="dxa" w:w="720"/>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5</w:t>
            </w:r>
          </w:p>
        </w:tc>
        <w:tc>
          <w:tcPr>
            <w:tcW w:type="dxa" w:w="2232"/>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Open Agent Brain</w:t>
            </w:r>
          </w:p>
        </w:tc>
        <w:tc>
          <w:tcPr>
            <w:tcW w:type="dxa" w:w="6221"/>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The append only event list and replay control expose the same decision history used by the interface.</w:t>
            </w:r>
          </w:p>
        </w:tc>
      </w:tr>
      <w:tr>
        <w:tc>
          <w:tcPr>
            <w:tcW w:type="dxa" w:w="720"/>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6</w:t>
            </w:r>
          </w:p>
        </w:tc>
        <w:tc>
          <w:tcPr>
            <w:tcW w:type="dxa" w:w="2232"/>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Open Decision Receipt</w:t>
            </w:r>
          </w:p>
        </w:tc>
        <w:tc>
          <w:tcPr>
            <w:tcW w:type="dxa" w:w="6221"/>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The receipt states who decided the critical steps and whether the booking fixture was confirmed.</w:t>
            </w:r>
          </w:p>
        </w:tc>
      </w:tr>
    </w:tbl>
    <w:p>
      <w:pPr>
        <w:spacing w:after="40"/>
      </w:pPr>
    </w:p>
    <w:p>
      <w:pPr>
        <w:pStyle w:val="Heading2"/>
        <w:keepNext/>
        <w:spacing w:before="200" w:after="120"/>
      </w:pPr>
      <w:r>
        <w:rPr>
          <w:rFonts w:ascii="Aptos" w:hAnsi="Aptos" w:eastAsia="Aptos"/>
          <w:b/>
          <w:i w:val="0"/>
          <w:color w:val="000000"/>
          <w:sz w:val="23"/>
        </w:rPr>
        <w:t>Controls</w:t>
      </w:r>
    </w:p>
    <w:p>
      <w:pPr>
        <w:pStyle w:val="ListBullet"/>
        <w:spacing w:after="60" w:line="264" w:lineRule="auto"/>
      </w:pPr>
      <w:r>
        <w:rPr>
          <w:rFonts w:ascii="Aptos" w:hAnsi="Aptos" w:eastAsia="Aptos"/>
          <w:b w:val="0"/>
          <w:i w:val="0"/>
          <w:color w:val="000000"/>
          <w:sz w:val="20"/>
        </w:rPr>
        <w:t>Scenario picker in the header selects S1 through S10. Keyboard keys 1 through 9 select S1 through S9, and 0 selects S10.</w:t>
      </w:r>
    </w:p>
    <w:p>
      <w:pPr>
        <w:pStyle w:val="ListBullet"/>
        <w:spacing w:after="60" w:line="264" w:lineRule="auto"/>
      </w:pPr>
      <w:r>
        <w:rPr>
          <w:rFonts w:ascii="Aptos" w:hAnsi="Aptos" w:eastAsia="Aptos"/>
          <w:b w:val="0"/>
          <w:i w:val="0"/>
          <w:color w:val="000000"/>
          <w:sz w:val="20"/>
        </w:rPr>
        <w:t>Authority Lab exposes ownership, consent, identity mapping, reachability, envelope values, found values, budget, and five attack presets.</w:t>
      </w:r>
    </w:p>
    <w:p>
      <w:pPr>
        <w:pStyle w:val="ListBullet"/>
        <w:spacing w:after="60" w:line="264" w:lineRule="auto"/>
      </w:pPr>
      <w:r>
        <w:rPr>
          <w:rFonts w:ascii="Aptos" w:hAnsi="Aptos" w:eastAsia="Aptos"/>
          <w:b w:val="0"/>
          <w:i w:val="0"/>
          <w:color w:val="000000"/>
          <w:sz w:val="20"/>
        </w:rPr>
        <w:t>Agent Brain includes an event replay slider. Decision Receipt and Trust Surfaces are available from the primary navigation.</w:t>
      </w:r>
    </w:p>
    <w:p>
      <w:pPr>
        <w:pStyle w:val="ListBullet"/>
        <w:spacing w:after="60" w:line="264" w:lineRule="auto"/>
      </w:pPr>
      <w:r>
        <w:rPr>
          <w:rFonts w:ascii="Aptos" w:hAnsi="Aptos" w:eastAsia="Aptos"/>
          <w:b w:val="0"/>
          <w:i w:val="0"/>
          <w:color w:val="000000"/>
          <w:sz w:val="20"/>
        </w:rPr>
        <w:t>Press P outside an input to toggle projector mode. This change also becomes an audit event.</w:t>
      </w:r>
    </w:p>
    <w:p>
      <w:pPr>
        <w:pStyle w:val="Heading1"/>
        <w:keepNext/>
        <w:spacing w:before="300" w:after="120"/>
      </w:pPr>
      <w:r>
        <w:rPr>
          <w:rFonts w:ascii="Aptos Display" w:hAnsi="Aptos Display" w:eastAsia="Aptos"/>
          <w:b/>
          <w:i w:val="0"/>
          <w:color w:val="000000"/>
          <w:sz w:val="30"/>
        </w:rPr>
        <w:t>Delivery Contents</w:t>
      </w:r>
    </w:p>
    <w:tbl>
      <w:tblPr>
        <w:tblStyle w:val="TableGrid"/>
        <w:tblW w:type="auto" w:w="0"/>
        <w:tblLayout w:type="fixed"/>
        <w:tblLook w:firstColumn="1" w:firstRow="1" w:lastColumn="0" w:lastRow="0" w:noHBand="0" w:noVBand="1" w:val="04A0"/>
      </w:tblPr>
      <w:tblGrid>
        <w:gridCol w:w="4997"/>
        <w:gridCol w:w="4997"/>
      </w:tblGrid>
      <w:tr>
        <w:trPr>
          <w:tblHeader w:val="true"/>
        </w:trPr>
        <w:tc>
          <w:tcPr>
            <w:tcW w:type="dxa" w:w="3312"/>
            <w:vAlign w:val="center"/>
            <w:shd w:fill="2F114F" w:val="clear"/>
            <w:tcBorders>
              <w:top w:val="single" w:sz="8" w:space="0" w:color="2F114F"/>
              <w:left w:val="single" w:sz="8" w:space="0" w:color="2F114F"/>
              <w:bottom w:val="single" w:sz="8" w:space="0" w:color="2F114F"/>
              <w:right w:val="single" w:sz="8" w:space="0" w:color="2F114F"/>
              <w:insideH w:val="single" w:sz="8" w:space="0" w:color="2F114F"/>
              <w:insideV w:val="single" w:sz="8" w:space="0" w:color="2F114F"/>
            </w:tcBorders>
            <w:tcMar>
              <w:top w:w="95" w:type="dxa"/>
              <w:start w:w="110" w:type="dxa"/>
              <w:bottom w:w="95" w:type="dxa"/>
              <w:end w:w="110" w:type="dxa"/>
            </w:tcMar>
          </w:tcPr>
          <w:p>
            <w:pPr>
              <w:keepLines/>
              <w:spacing w:after="0"/>
              <w:jc w:val="left"/>
            </w:pPr>
            <w:r>
              <w:rPr>
                <w:rFonts w:ascii="Aptos" w:hAnsi="Aptos" w:eastAsia="Aptos"/>
                <w:b/>
                <w:i w:val="0"/>
                <w:color w:val="FFFFFF"/>
                <w:sz w:val="17"/>
              </w:rPr>
              <w:t>Path</w:t>
            </w:r>
          </w:p>
        </w:tc>
        <w:tc>
          <w:tcPr>
            <w:tcW w:type="dxa" w:w="5861"/>
            <w:vAlign w:val="center"/>
            <w:shd w:fill="2F114F" w:val="clear"/>
            <w:tcBorders>
              <w:top w:val="single" w:sz="8" w:space="0" w:color="2F114F"/>
              <w:left w:val="single" w:sz="8" w:space="0" w:color="2F114F"/>
              <w:bottom w:val="single" w:sz="8" w:space="0" w:color="2F114F"/>
              <w:right w:val="single" w:sz="8" w:space="0" w:color="2F114F"/>
              <w:insideH w:val="single" w:sz="8" w:space="0" w:color="2F114F"/>
              <w:insideV w:val="single" w:sz="8" w:space="0" w:color="2F114F"/>
            </w:tcBorders>
            <w:tcMar>
              <w:top w:w="95" w:type="dxa"/>
              <w:start w:w="110" w:type="dxa"/>
              <w:bottom w:w="95" w:type="dxa"/>
              <w:end w:w="110" w:type="dxa"/>
            </w:tcMar>
          </w:tcPr>
          <w:p>
            <w:pPr>
              <w:keepLines/>
              <w:spacing w:after="0"/>
              <w:jc w:val="left"/>
            </w:pPr>
            <w:r>
              <w:rPr>
                <w:rFonts w:ascii="Aptos" w:hAnsi="Aptos" w:eastAsia="Aptos"/>
                <w:b/>
                <w:i w:val="0"/>
                <w:color w:val="FFFFFF"/>
                <w:sz w:val="17"/>
              </w:rPr>
              <w:t>Purpose</w:t>
            </w:r>
          </w:p>
        </w:tc>
      </w:tr>
      <w:tr>
        <w:tc>
          <w:tcPr>
            <w:tcW w:type="dxa" w:w="3312"/>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index html</w:t>
            </w:r>
          </w:p>
        </w:tc>
        <w:tc>
          <w:tcPr>
            <w:tcW w:type="dxa" w:w="5861"/>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Static application entry point</w:t>
            </w:r>
          </w:p>
        </w:tc>
      </w:tr>
      <w:tr>
        <w:tc>
          <w:tcPr>
            <w:tcW w:type="dxa" w:w="3312"/>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styles css</w:t>
            </w:r>
          </w:p>
        </w:tc>
        <w:tc>
          <w:tcPr>
            <w:tcW w:type="dxa" w:w="5861"/>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Responsive visual system and semantic colour treatment</w:t>
            </w:r>
          </w:p>
        </w:tc>
      </w:tr>
      <w:tr>
        <w:tc>
          <w:tcPr>
            <w:tcW w:type="dxa" w:w="3312"/>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script js</w:t>
            </w:r>
          </w:p>
        </w:tc>
        <w:tc>
          <w:tcPr>
            <w:tcW w:type="dxa" w:w="5861"/>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Fixtures event log policy decisions scenarios and UI rendering</w:t>
            </w:r>
          </w:p>
        </w:tc>
      </w:tr>
      <w:tr>
        <w:tc>
          <w:tcPr>
            <w:tcW w:type="dxa" w:w="3312"/>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docs ART DIRECTION md</w:t>
            </w:r>
          </w:p>
        </w:tc>
        <w:tc>
          <w:tcPr>
            <w:tcW w:type="dxa" w:w="5861"/>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Brand visual and illustration direction</w:t>
            </w:r>
          </w:p>
        </w:tc>
      </w:tr>
      <w:tr>
        <w:tc>
          <w:tcPr>
            <w:tcW w:type="dxa" w:w="3312"/>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docs source pack</w:t>
            </w:r>
          </w:p>
        </w:tc>
        <w:tc>
          <w:tcPr>
            <w:tcW w:type="dxa" w:w="5861"/>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Supplied engine fixtures and feature reference documents</w:t>
            </w:r>
          </w:p>
        </w:tc>
      </w:tr>
      <w:tr>
        <w:tc>
          <w:tcPr>
            <w:tcW w:type="dxa" w:w="3312"/>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README md</w:t>
            </w:r>
          </w:p>
        </w:tc>
        <w:tc>
          <w:tcPr>
            <w:tcW w:type="dxa" w:w="5861"/>
            <w:vAlign w:val="center"/>
            <w:shd w:fill="F7F3FA"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Local launch and reviewer controls</w:t>
            </w:r>
          </w:p>
        </w:tc>
      </w:tr>
      <w:tr>
        <w:tc>
          <w:tcPr>
            <w:tcW w:type="dxa" w:w="3312"/>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Mycelium Final Handoff docx</w:t>
            </w:r>
          </w:p>
        </w:tc>
        <w:tc>
          <w:tcPr>
            <w:tcW w:type="dxa" w:w="5861"/>
            <w:vAlign w:val="center"/>
            <w:shd w:fill="FFFFFF" w:val="clear"/>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95" w:type="dxa"/>
              <w:start w:w="110" w:type="dxa"/>
              <w:bottom w:w="95" w:type="dxa"/>
              <w:end w:w="110" w:type="dxa"/>
            </w:tcMar>
          </w:tcPr>
          <w:p>
            <w:pPr>
              <w:keepLines/>
              <w:spacing w:after="0" w:line="254" w:lineRule="auto"/>
            </w:pPr>
            <w:r>
              <w:rPr>
                <w:rFonts w:ascii="Aptos" w:hAnsi="Aptos" w:eastAsia="Aptos"/>
                <w:b w:val="0"/>
                <w:i w:val="0"/>
                <w:color w:val="000000"/>
                <w:sz w:val="17"/>
              </w:rPr>
              <w:t>This final review document</w:t>
            </w:r>
          </w:p>
        </w:tc>
      </w:tr>
    </w:tbl>
    <w:p>
      <w:pPr>
        <w:spacing w:after="40"/>
      </w:pPr>
    </w:p>
    <w:p>
      <w:pPr>
        <w:spacing w:before="240" w:after="0" w:line="283" w:lineRule="auto"/>
      </w:pPr>
      <w:r>
        <w:rPr>
          <w:rFonts w:ascii="Aptos" w:hAnsi="Aptos" w:eastAsia="Aptos"/>
          <w:b w:val="0"/>
          <w:i w:val="0"/>
          <w:color w:val="000000"/>
          <w:sz w:val="21"/>
        </w:rPr>
        <w:t>The final package is ready for local review. It demonstrates a specific safety proposition: the agent can move quickly around a booking while preserving the person who owns the decision.</w:t>
      </w:r>
    </w:p>
    <w:sectPr w:rsidR="00FC693F" w:rsidRPr="0006063C" w:rsidSect="00034616">
      <w:footerReference w:type="default" r:id="rId9"/>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right"/>
    </w:pPr>
    <w:r>
      <w:rPr>
        <w:rFonts w:ascii="Aptos" w:hAnsi="Aptos" w:eastAsia="Aptos"/>
        <w:b w:val="0"/>
        <w:i w:val="0"/>
        <w:color w:val="53515A"/>
        <w:sz w:val="16"/>
      </w:rPr>
      <w:t>Mycelium prototype handoff  |  Offline demo</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Mycelium Prototype Final Handoff</dc:title>
  <dc:subject>Offline authority aware booking prototype</dc:subject>
  <dc:creator>Mycelium prototype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