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5.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B75F3" w14:textId="77777777" w:rsidR="008F6A13" w:rsidRPr="00FF68F4" w:rsidRDefault="008F6A13" w:rsidP="001614F0">
      <w:pPr>
        <w:rPr>
          <w:rFonts w:ascii="Times New Roman" w:hAnsi="Times New Roman" w:cs="Times New Roman"/>
          <w:sz w:val="24"/>
          <w:szCs w:val="24"/>
        </w:rPr>
      </w:pPr>
    </w:p>
    <w:p w14:paraId="79F7F141" w14:textId="77777777" w:rsidR="008F6A13" w:rsidRPr="00FF68F4" w:rsidRDefault="008F6A13" w:rsidP="001614F0">
      <w:pPr>
        <w:rPr>
          <w:rFonts w:ascii="Times New Roman" w:hAnsi="Times New Roman" w:cs="Times New Roman"/>
          <w:sz w:val="24"/>
          <w:szCs w:val="24"/>
        </w:rPr>
      </w:pPr>
    </w:p>
    <w:p w14:paraId="73B11340" w14:textId="77777777" w:rsidR="008F6A13" w:rsidRPr="00FF68F4" w:rsidRDefault="008F6A13" w:rsidP="001614F0">
      <w:pPr>
        <w:rPr>
          <w:rFonts w:ascii="Times New Roman" w:hAnsi="Times New Roman" w:cs="Times New Roman"/>
          <w:sz w:val="24"/>
          <w:szCs w:val="24"/>
        </w:rPr>
      </w:pPr>
    </w:p>
    <w:p w14:paraId="5059B205" w14:textId="561C3664" w:rsidR="001663A1" w:rsidRPr="00FF68F4" w:rsidRDefault="001663A1" w:rsidP="001614F0">
      <w:pPr>
        <w:rPr>
          <w:rFonts w:ascii="Times New Roman" w:hAnsi="Times New Roman" w:cs="Times New Roman"/>
          <w:sz w:val="24"/>
          <w:szCs w:val="24"/>
        </w:rPr>
      </w:pPr>
      <w:r w:rsidRPr="00FF68F4">
        <w:rPr>
          <w:rFonts w:ascii="Times New Roman" w:hAnsi="Times New Roman" w:cs="Times New Roman"/>
          <w:sz w:val="24"/>
          <w:szCs w:val="24"/>
        </w:rPr>
        <w:t xml:space="preserve">                                                  ÜLKE ANALİZİ-TOPLAM TALEP</w:t>
      </w:r>
    </w:p>
    <w:p w14:paraId="74F03255" w14:textId="77777777" w:rsidR="00FF68F4" w:rsidRDefault="001663A1" w:rsidP="001614F0">
      <w:pPr>
        <w:rPr>
          <w:rFonts w:ascii="Times New Roman" w:hAnsi="Times New Roman" w:cs="Times New Roman"/>
          <w:sz w:val="24"/>
          <w:szCs w:val="24"/>
        </w:rPr>
      </w:pPr>
      <w:r w:rsidRPr="00FF68F4">
        <w:rPr>
          <w:rFonts w:ascii="Times New Roman" w:hAnsi="Times New Roman" w:cs="Times New Roman"/>
          <w:sz w:val="24"/>
          <w:szCs w:val="24"/>
        </w:rPr>
        <w:t xml:space="preserve">Toplam talep, makro boyutlarda enflasyon, büyüme, işsizlik gibi verileri etkileyen en önemli ekonomik değişkenlerdendir. Öyle ki toplam talep, ekonominin enflasyon sarmalına girdiği ya da büyüme gösterdiği dönemlerde yaşanan gelişmelerin nasıl yorumlanacağını </w:t>
      </w:r>
      <w:r w:rsidR="00FF68F4">
        <w:rPr>
          <w:rFonts w:ascii="Times New Roman" w:hAnsi="Times New Roman" w:cs="Times New Roman"/>
          <w:sz w:val="24"/>
          <w:szCs w:val="24"/>
        </w:rPr>
        <w:t xml:space="preserve">ya da </w:t>
      </w:r>
      <w:r w:rsidRPr="00FF68F4">
        <w:rPr>
          <w:rFonts w:ascii="Times New Roman" w:hAnsi="Times New Roman" w:cs="Times New Roman"/>
          <w:sz w:val="24"/>
          <w:szCs w:val="24"/>
        </w:rPr>
        <w:t xml:space="preserve"> nasıl önlem alınacağı konusunda </w:t>
      </w:r>
      <w:r w:rsidR="00FF68F4">
        <w:rPr>
          <w:rFonts w:ascii="Times New Roman" w:hAnsi="Times New Roman" w:cs="Times New Roman"/>
          <w:sz w:val="24"/>
          <w:szCs w:val="24"/>
        </w:rPr>
        <w:t>izlenecek yolu belirleyebilir</w:t>
      </w:r>
      <w:r w:rsidRPr="00FF68F4">
        <w:rPr>
          <w:rFonts w:ascii="Times New Roman" w:hAnsi="Times New Roman" w:cs="Times New Roman"/>
          <w:sz w:val="24"/>
          <w:szCs w:val="24"/>
        </w:rPr>
        <w:t xml:space="preserve">. Mesela şu anda </w:t>
      </w:r>
      <w:r w:rsidR="00FF68F4" w:rsidRPr="00FF68F4">
        <w:rPr>
          <w:rFonts w:ascii="Times New Roman" w:hAnsi="Times New Roman" w:cs="Times New Roman"/>
          <w:sz w:val="24"/>
          <w:szCs w:val="24"/>
        </w:rPr>
        <w:t>Türkiye’nin</w:t>
      </w:r>
      <w:r w:rsidRPr="00FF68F4">
        <w:rPr>
          <w:rFonts w:ascii="Times New Roman" w:hAnsi="Times New Roman" w:cs="Times New Roman"/>
          <w:sz w:val="24"/>
          <w:szCs w:val="24"/>
        </w:rPr>
        <w:t xml:space="preserve"> yaşadığı enflasyon krizinin kısa vadede çözümlerinden birisi toplam talep (AD) eğrisinin sola kaydırılmasıdır. Çünkü toplam arz eğrisi (A</w:t>
      </w:r>
      <w:r w:rsidR="00FF68F4">
        <w:rPr>
          <w:rFonts w:ascii="Times New Roman" w:hAnsi="Times New Roman" w:cs="Times New Roman"/>
          <w:sz w:val="24"/>
          <w:szCs w:val="24"/>
        </w:rPr>
        <w:t>S</w:t>
      </w:r>
      <w:r w:rsidRPr="00FF68F4">
        <w:rPr>
          <w:rFonts w:ascii="Times New Roman" w:hAnsi="Times New Roman" w:cs="Times New Roman"/>
          <w:sz w:val="24"/>
          <w:szCs w:val="24"/>
        </w:rPr>
        <w:t xml:space="preserve">) kısa dönemde kolaylıkla değişen bir ekonomik gösterge değildir. </w:t>
      </w:r>
      <w:r w:rsidR="00966667" w:rsidRPr="00FF68F4">
        <w:rPr>
          <w:rFonts w:ascii="Times New Roman" w:hAnsi="Times New Roman" w:cs="Times New Roman"/>
          <w:sz w:val="24"/>
          <w:szCs w:val="24"/>
        </w:rPr>
        <w:t>Merkez Bankasının “yeni ekonomi modeli” adı altında politika faizini düşürmesi hem dövizde güvensizlik yaratırken hem de ekonomik aktörleri talebe yönelterek AD eğrisinin sağa kaymasına neden olmuştur.</w:t>
      </w:r>
      <w:r w:rsidR="00FF68F4">
        <w:rPr>
          <w:rFonts w:ascii="Times New Roman" w:hAnsi="Times New Roman" w:cs="Times New Roman"/>
          <w:sz w:val="24"/>
          <w:szCs w:val="24"/>
        </w:rPr>
        <w:t xml:space="preserve"> Bu durum da enflasyon krizini ortaya çıkarmıştır.</w:t>
      </w:r>
    </w:p>
    <w:p w14:paraId="1EA0E6CE" w14:textId="070074DA" w:rsidR="008F6A13" w:rsidRPr="00FF68F4" w:rsidRDefault="00966667" w:rsidP="001614F0">
      <w:pPr>
        <w:rPr>
          <w:rFonts w:ascii="Times New Roman" w:hAnsi="Times New Roman" w:cs="Times New Roman"/>
          <w:sz w:val="24"/>
          <w:szCs w:val="24"/>
        </w:rPr>
      </w:pPr>
      <w:r w:rsidRPr="00FF68F4">
        <w:rPr>
          <w:rFonts w:ascii="Times New Roman" w:hAnsi="Times New Roman" w:cs="Times New Roman"/>
          <w:sz w:val="24"/>
          <w:szCs w:val="24"/>
        </w:rPr>
        <w:t xml:space="preserve"> Bu çalışmamızda toplam talebin diğer makro değişkenleri nasıl etkilediğini gözlemledik. Veri bulmanın zorluğu ve özellikle Türkiye’nin son yıllarda yaptığı özelleştirme hamlesi sebebiyle özel-kamu ayrımlı verilere ulaşmanın </w:t>
      </w:r>
      <w:r w:rsidR="00FF68F4">
        <w:rPr>
          <w:rFonts w:ascii="Times New Roman" w:hAnsi="Times New Roman" w:cs="Times New Roman"/>
          <w:sz w:val="24"/>
          <w:szCs w:val="24"/>
        </w:rPr>
        <w:t xml:space="preserve">külfeti </w:t>
      </w:r>
      <w:r w:rsidRPr="00FF68F4">
        <w:rPr>
          <w:rFonts w:ascii="Times New Roman" w:hAnsi="Times New Roman" w:cs="Times New Roman"/>
          <w:sz w:val="24"/>
          <w:szCs w:val="24"/>
        </w:rPr>
        <w:t>sebebiyle bu çalışmaya Türkiye’yi konu edinmek oldukça zor oldu. Veri bulamamanın zorluklarına bir örnek:</w:t>
      </w:r>
    </w:p>
    <w:p w14:paraId="662DBB85" w14:textId="77777777" w:rsidR="008F6A13" w:rsidRPr="00FF68F4" w:rsidRDefault="008F6A13" w:rsidP="001614F0">
      <w:pPr>
        <w:rPr>
          <w:rFonts w:ascii="Times New Roman" w:hAnsi="Times New Roman" w:cs="Times New Roman"/>
          <w:sz w:val="24"/>
          <w:szCs w:val="24"/>
        </w:rPr>
      </w:pPr>
    </w:p>
    <w:p w14:paraId="58376D75" w14:textId="686E8170" w:rsidR="008F6A13" w:rsidRPr="00FF68F4" w:rsidRDefault="00966667" w:rsidP="001614F0">
      <w:pPr>
        <w:rPr>
          <w:rFonts w:ascii="Times New Roman" w:hAnsi="Times New Roman" w:cs="Times New Roman"/>
          <w:sz w:val="24"/>
          <w:szCs w:val="24"/>
        </w:rPr>
      </w:pPr>
      <w:r w:rsidRPr="00FF68F4">
        <w:rPr>
          <w:rFonts w:ascii="Times New Roman" w:hAnsi="Times New Roman" w:cs="Times New Roman"/>
          <w:noProof/>
          <w:sz w:val="24"/>
          <w:szCs w:val="24"/>
        </w:rPr>
        <w:drawing>
          <wp:inline distT="0" distB="0" distL="0" distR="0" wp14:anchorId="37D88AC4" wp14:editId="09504B89">
            <wp:extent cx="5753100" cy="297942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53100" cy="2979420"/>
                    </a:xfrm>
                    <a:prstGeom prst="rect">
                      <a:avLst/>
                    </a:prstGeom>
                    <a:noFill/>
                    <a:ln>
                      <a:noFill/>
                    </a:ln>
                  </pic:spPr>
                </pic:pic>
              </a:graphicData>
            </a:graphic>
          </wp:inline>
        </w:drawing>
      </w:r>
    </w:p>
    <w:p w14:paraId="72688824" w14:textId="17EDEE26" w:rsidR="00966667" w:rsidRPr="00FF68F4" w:rsidRDefault="00966667" w:rsidP="001614F0">
      <w:pPr>
        <w:rPr>
          <w:rFonts w:ascii="Times New Roman" w:hAnsi="Times New Roman" w:cs="Times New Roman"/>
          <w:sz w:val="24"/>
          <w:szCs w:val="24"/>
        </w:rPr>
      </w:pPr>
      <w:r w:rsidRPr="00FF68F4">
        <w:rPr>
          <w:rFonts w:ascii="Times New Roman" w:hAnsi="Times New Roman" w:cs="Times New Roman"/>
          <w:sz w:val="24"/>
          <w:szCs w:val="24"/>
        </w:rPr>
        <w:t>GFCF verilerinin kamu</w:t>
      </w:r>
      <w:r w:rsidR="00FF68F4">
        <w:rPr>
          <w:rFonts w:ascii="Times New Roman" w:hAnsi="Times New Roman" w:cs="Times New Roman"/>
          <w:sz w:val="24"/>
          <w:szCs w:val="24"/>
        </w:rPr>
        <w:t>-</w:t>
      </w:r>
      <w:r w:rsidRPr="00FF68F4">
        <w:rPr>
          <w:rFonts w:ascii="Times New Roman" w:hAnsi="Times New Roman" w:cs="Times New Roman"/>
          <w:sz w:val="24"/>
          <w:szCs w:val="24"/>
        </w:rPr>
        <w:t>özel ayrımlı olarak sadece OECD’yi buldum fakat Almanya’nın GFCF kamu-özel ayrımlı verisine ulaşılabilirken (yukarıda görüldüğü gibi)</w:t>
      </w:r>
      <w:r w:rsidR="00B925FA" w:rsidRPr="00FF68F4">
        <w:rPr>
          <w:rFonts w:ascii="Times New Roman" w:hAnsi="Times New Roman" w:cs="Times New Roman"/>
          <w:sz w:val="24"/>
          <w:szCs w:val="24"/>
        </w:rPr>
        <w:t xml:space="preserve"> Türkiye örneğine </w:t>
      </w:r>
      <w:r w:rsidR="00B925FA" w:rsidRPr="00FF68F4">
        <w:rPr>
          <w:rFonts w:ascii="Times New Roman" w:hAnsi="Times New Roman" w:cs="Times New Roman"/>
          <w:sz w:val="24"/>
          <w:szCs w:val="24"/>
        </w:rPr>
        <w:lastRenderedPageBreak/>
        <w:t>ulaşırken site hata veriyor.(aşağıdaki resim)</w:t>
      </w:r>
      <w:r w:rsidR="00B925FA" w:rsidRPr="00FF68F4">
        <w:rPr>
          <w:rFonts w:ascii="Times New Roman" w:hAnsi="Times New Roman" w:cs="Times New Roman"/>
          <w:noProof/>
          <w:sz w:val="24"/>
          <w:szCs w:val="24"/>
        </w:rPr>
        <w:drawing>
          <wp:inline distT="0" distB="0" distL="0" distR="0" wp14:anchorId="47E1C1F4" wp14:editId="26D8C1A3">
            <wp:extent cx="5753100" cy="28956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100" cy="2895600"/>
                    </a:xfrm>
                    <a:prstGeom prst="rect">
                      <a:avLst/>
                    </a:prstGeom>
                    <a:noFill/>
                    <a:ln>
                      <a:noFill/>
                    </a:ln>
                  </pic:spPr>
                </pic:pic>
              </a:graphicData>
            </a:graphic>
          </wp:inline>
        </w:drawing>
      </w:r>
    </w:p>
    <w:p w14:paraId="04DEC9A0" w14:textId="77777777" w:rsidR="00B925FA" w:rsidRPr="00FF68F4" w:rsidRDefault="00B925FA" w:rsidP="001614F0">
      <w:pPr>
        <w:rPr>
          <w:rFonts w:ascii="Times New Roman" w:hAnsi="Times New Roman" w:cs="Times New Roman"/>
          <w:sz w:val="24"/>
          <w:szCs w:val="24"/>
        </w:rPr>
      </w:pPr>
    </w:p>
    <w:p w14:paraId="2D86CED8" w14:textId="3526A3E0" w:rsidR="00B925FA" w:rsidRPr="00FF68F4" w:rsidRDefault="00B925FA" w:rsidP="001614F0">
      <w:pPr>
        <w:rPr>
          <w:rFonts w:ascii="Times New Roman" w:hAnsi="Times New Roman" w:cs="Times New Roman"/>
          <w:sz w:val="24"/>
          <w:szCs w:val="24"/>
        </w:rPr>
      </w:pPr>
      <w:r w:rsidRPr="00FF68F4">
        <w:rPr>
          <w:rFonts w:ascii="Times New Roman" w:hAnsi="Times New Roman" w:cs="Times New Roman"/>
          <w:sz w:val="24"/>
          <w:szCs w:val="24"/>
        </w:rPr>
        <w:t>Ayrıca verilerin çoğu</w:t>
      </w:r>
      <w:r w:rsidR="000A7277">
        <w:rPr>
          <w:rFonts w:ascii="Times New Roman" w:hAnsi="Times New Roman" w:cs="Times New Roman"/>
          <w:sz w:val="24"/>
          <w:szCs w:val="24"/>
        </w:rPr>
        <w:t>nun</w:t>
      </w:r>
      <w:r w:rsidRPr="00FF68F4">
        <w:rPr>
          <w:rFonts w:ascii="Times New Roman" w:hAnsi="Times New Roman" w:cs="Times New Roman"/>
          <w:sz w:val="24"/>
          <w:szCs w:val="24"/>
        </w:rPr>
        <w:t xml:space="preserve"> TL </w:t>
      </w:r>
      <w:r w:rsidR="000A7277">
        <w:rPr>
          <w:rFonts w:ascii="Times New Roman" w:hAnsi="Times New Roman" w:cs="Times New Roman"/>
          <w:sz w:val="24"/>
          <w:szCs w:val="24"/>
        </w:rPr>
        <w:t xml:space="preserve">olması </w:t>
      </w:r>
      <w:r w:rsidRPr="00FF68F4">
        <w:rPr>
          <w:rFonts w:ascii="Times New Roman" w:hAnsi="Times New Roman" w:cs="Times New Roman"/>
          <w:sz w:val="24"/>
          <w:szCs w:val="24"/>
        </w:rPr>
        <w:t xml:space="preserve">ve döviz değişkenliği sebebiyle pek de sağlıklı yorumlama yapılamıyor. Fakat yine de çalışmamızda önemli sonuçlara ulaşabiliyoruz. Örneğin 1b. Reel GSYH Pay Grafikleri kısmının dışa açıklık grafiğine baktığımızda, 2008 krizi sonrası ihracat ve ithalatın eş olarak azalış gösterdiğini görüyoruz. Buradan 2008 krizi sonrası dünya genelinde yaşanan krizin AD ve AS eğrilerinin sola kayışında etkili olduğu sonucunu çıkartabiliriz. Bir de döviz kuru politikasının da bunda etkisi vardır. Fakat derste de söylenildiği gibi </w:t>
      </w:r>
      <w:r w:rsidR="007D1D51" w:rsidRPr="00FF68F4">
        <w:rPr>
          <w:rFonts w:ascii="Times New Roman" w:hAnsi="Times New Roman" w:cs="Times New Roman"/>
          <w:sz w:val="24"/>
          <w:szCs w:val="24"/>
        </w:rPr>
        <w:t xml:space="preserve">dış ticarette Y olarak adlandırdığımız gelir kalemi döviz kuru kaleminden daha belirleyici bir rol oynar. Buradan da 2008 krizinin aslında Y=gelir kısmında da daraltıcı rol oynadığı sonucunu çıkartabiliriz. </w:t>
      </w:r>
      <w:r w:rsidR="007D1D51" w:rsidRPr="00FF68F4">
        <w:rPr>
          <w:rFonts w:ascii="Times New Roman" w:hAnsi="Times New Roman" w:cs="Times New Roman"/>
          <w:noProof/>
          <w:sz w:val="24"/>
          <w:szCs w:val="24"/>
        </w:rPr>
        <w:drawing>
          <wp:inline distT="0" distB="0" distL="0" distR="0" wp14:anchorId="57E2D654" wp14:editId="6DB83987">
            <wp:extent cx="5486400" cy="3200400"/>
            <wp:effectExtent l="0" t="0" r="0" b="0"/>
            <wp:docPr id="3" name="Grafik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3FDE9D4" w14:textId="77777777" w:rsidR="00B925FA" w:rsidRPr="00FF68F4" w:rsidRDefault="00B925FA" w:rsidP="001614F0">
      <w:pPr>
        <w:rPr>
          <w:rFonts w:ascii="Times New Roman" w:hAnsi="Times New Roman" w:cs="Times New Roman"/>
          <w:sz w:val="24"/>
          <w:szCs w:val="24"/>
        </w:rPr>
      </w:pPr>
    </w:p>
    <w:p w14:paraId="7EFD7F59" w14:textId="3E0ED8D0" w:rsidR="00FF68F4" w:rsidRPr="00FF68F4" w:rsidRDefault="007D1D51" w:rsidP="001614F0">
      <w:pPr>
        <w:rPr>
          <w:rFonts w:ascii="Times New Roman" w:hAnsi="Times New Roman" w:cs="Times New Roman"/>
          <w:sz w:val="24"/>
          <w:szCs w:val="24"/>
        </w:rPr>
      </w:pPr>
      <w:r w:rsidRPr="00FF68F4">
        <w:rPr>
          <w:rFonts w:ascii="Times New Roman" w:hAnsi="Times New Roman" w:cs="Times New Roman"/>
          <w:sz w:val="24"/>
          <w:szCs w:val="24"/>
        </w:rPr>
        <w:lastRenderedPageBreak/>
        <w:t xml:space="preserve">Yukarıda 2008 krizi sonrası AD-AS grafiğinin değişimini içeren bir çalışma yaptım. AD’ </w:t>
      </w:r>
      <w:proofErr w:type="spellStart"/>
      <w:r w:rsidRPr="00FF68F4">
        <w:rPr>
          <w:rFonts w:ascii="Times New Roman" w:hAnsi="Times New Roman" w:cs="Times New Roman"/>
          <w:sz w:val="24"/>
          <w:szCs w:val="24"/>
        </w:rPr>
        <w:t>nin</w:t>
      </w:r>
      <w:proofErr w:type="spellEnd"/>
      <w:r w:rsidRPr="00FF68F4">
        <w:rPr>
          <w:rFonts w:ascii="Times New Roman" w:hAnsi="Times New Roman" w:cs="Times New Roman"/>
          <w:sz w:val="24"/>
          <w:szCs w:val="24"/>
        </w:rPr>
        <w:t xml:space="preserve"> kriz sebebiyle AD 2 konumuna gelmesi</w:t>
      </w:r>
      <w:r w:rsidR="000A7277">
        <w:rPr>
          <w:rFonts w:ascii="Times New Roman" w:hAnsi="Times New Roman" w:cs="Times New Roman"/>
          <w:sz w:val="24"/>
          <w:szCs w:val="24"/>
        </w:rPr>
        <w:t xml:space="preserve"> gelirde daraltıcı bir etki yaratmıştır bu durumun da  </w:t>
      </w:r>
      <w:r w:rsidRPr="00FF68F4">
        <w:rPr>
          <w:rFonts w:ascii="Times New Roman" w:hAnsi="Times New Roman" w:cs="Times New Roman"/>
          <w:sz w:val="24"/>
          <w:szCs w:val="24"/>
        </w:rPr>
        <w:t xml:space="preserve"> </w:t>
      </w:r>
      <w:r w:rsidR="00FF68F4" w:rsidRPr="00FF68F4">
        <w:rPr>
          <w:rFonts w:ascii="Times New Roman" w:hAnsi="Times New Roman" w:cs="Times New Roman"/>
          <w:sz w:val="24"/>
          <w:szCs w:val="24"/>
        </w:rPr>
        <w:t>ihracat ve ihracat rakamlarını olumsuz etkilediği görülüyor.</w:t>
      </w:r>
      <w:r w:rsidR="000A7277">
        <w:rPr>
          <w:rFonts w:ascii="Times New Roman" w:hAnsi="Times New Roman" w:cs="Times New Roman"/>
          <w:sz w:val="24"/>
          <w:szCs w:val="24"/>
        </w:rPr>
        <w:t xml:space="preserve"> Zaten 2008 krizinin Türkiye’yi diğer yaşadığı krizlerden daha fazla etkilemesinin sebebi Türkiye’nin daha önce hiçbir döneminde olmadığı kadar ihracat ve ithalat seviyesine ulaşmasıdır.</w:t>
      </w:r>
    </w:p>
    <w:p w14:paraId="7BDDE870" w14:textId="56B00224" w:rsidR="007D1D51" w:rsidRPr="00FF68F4" w:rsidRDefault="007D1D51" w:rsidP="001614F0">
      <w:pPr>
        <w:rPr>
          <w:rFonts w:ascii="Times New Roman" w:hAnsi="Times New Roman" w:cs="Times New Roman"/>
          <w:sz w:val="24"/>
          <w:szCs w:val="24"/>
        </w:rPr>
      </w:pPr>
      <w:r w:rsidRPr="00FF68F4">
        <w:rPr>
          <w:rFonts w:ascii="Times New Roman" w:hAnsi="Times New Roman" w:cs="Times New Roman"/>
          <w:noProof/>
          <w:sz w:val="24"/>
          <w:szCs w:val="24"/>
        </w:rPr>
        <w:drawing>
          <wp:inline distT="0" distB="0" distL="0" distR="0" wp14:anchorId="394EF70B" wp14:editId="0B48EDDA">
            <wp:extent cx="5760720" cy="3451860"/>
            <wp:effectExtent l="0" t="0" r="0" b="0"/>
            <wp:docPr id="4" name="Grafik 4">
              <a:extLst xmlns:a="http://schemas.openxmlformats.org/drawingml/2006/main">
                <a:ext uri="{FF2B5EF4-FFF2-40B4-BE49-F238E27FC236}">
                  <a16:creationId xmlns:a16="http://schemas.microsoft.com/office/drawing/2014/main" id="{00000000-0008-0000-03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B9ED983" w14:textId="34875A09" w:rsidR="00B925FA" w:rsidRPr="00FF68F4" w:rsidRDefault="00FF68F4" w:rsidP="001614F0">
      <w:pPr>
        <w:rPr>
          <w:rFonts w:ascii="Times New Roman" w:hAnsi="Times New Roman" w:cs="Times New Roman"/>
          <w:sz w:val="24"/>
          <w:szCs w:val="24"/>
        </w:rPr>
      </w:pPr>
      <w:r w:rsidRPr="00FF68F4">
        <w:rPr>
          <w:rFonts w:ascii="Times New Roman" w:hAnsi="Times New Roman" w:cs="Times New Roman"/>
          <w:sz w:val="24"/>
          <w:szCs w:val="24"/>
        </w:rPr>
        <w:t>AD eğrisindeki değişim ayrıca 1.d katkı grafikleri kısmanda da görülüyor. (Aşağıdaki grafik)</w:t>
      </w:r>
    </w:p>
    <w:p w14:paraId="72DB7438" w14:textId="01F01FB9" w:rsidR="00FF68F4" w:rsidRPr="00FF68F4" w:rsidRDefault="00FF68F4" w:rsidP="001614F0">
      <w:pPr>
        <w:rPr>
          <w:rFonts w:ascii="Times New Roman" w:hAnsi="Times New Roman" w:cs="Times New Roman"/>
          <w:sz w:val="24"/>
          <w:szCs w:val="24"/>
        </w:rPr>
      </w:pPr>
      <w:r w:rsidRPr="00FF68F4">
        <w:rPr>
          <w:rFonts w:ascii="Times New Roman" w:hAnsi="Times New Roman" w:cs="Times New Roman"/>
          <w:noProof/>
          <w:sz w:val="24"/>
          <w:szCs w:val="24"/>
        </w:rPr>
        <w:drawing>
          <wp:inline distT="0" distB="0" distL="0" distR="0" wp14:anchorId="73FDA3B1" wp14:editId="21B0F0DB">
            <wp:extent cx="5760720" cy="3040380"/>
            <wp:effectExtent l="0" t="0" r="0" b="7620"/>
            <wp:docPr id="5" name="Grafik 5">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5AED6FB" w14:textId="1B34C35A" w:rsidR="00B925FA" w:rsidRDefault="00FF68F4" w:rsidP="001614F0">
      <w:pPr>
        <w:rPr>
          <w:rFonts w:ascii="Times New Roman" w:hAnsi="Times New Roman" w:cs="Times New Roman"/>
          <w:sz w:val="24"/>
          <w:szCs w:val="24"/>
        </w:rPr>
      </w:pPr>
      <w:r w:rsidRPr="00FF68F4">
        <w:rPr>
          <w:rFonts w:ascii="Times New Roman" w:hAnsi="Times New Roman" w:cs="Times New Roman"/>
          <w:sz w:val="24"/>
          <w:szCs w:val="24"/>
        </w:rPr>
        <w:t xml:space="preserve">2008 krizi sonrası GSYH’nin de talep şoku sebebiyle daraldığı gözlemleniyor. Mesela bunun bir benzerini de COVİD döneminde gözlemlemiştik. </w:t>
      </w:r>
      <w:r w:rsidR="000A7277">
        <w:rPr>
          <w:rFonts w:ascii="Times New Roman" w:hAnsi="Times New Roman" w:cs="Times New Roman"/>
          <w:sz w:val="24"/>
          <w:szCs w:val="24"/>
        </w:rPr>
        <w:t xml:space="preserve">COVİD döneminde de benzer bir tabloyla karşılaşmıştık ve ekonomi belirli çeyreklerde negatif büyüme katetmişti. Tabi ki orada AD eğrisi yukarıdaki gibi değil daha yüksek bir şekilde sola kaymıştır. (Aşağıda </w:t>
      </w:r>
      <w:r w:rsidR="000A7277">
        <w:rPr>
          <w:rFonts w:ascii="Times New Roman" w:hAnsi="Times New Roman" w:cs="Times New Roman"/>
          <w:sz w:val="24"/>
          <w:szCs w:val="24"/>
        </w:rPr>
        <w:lastRenderedPageBreak/>
        <w:t>tahmini olarak gösterdim) COVİD sonrasında ise normalleşme ile beraber dünyada enflasyon artışının sebeplerinden birisi de ertelenen tüketimin normalleşme ile beraber açığa çıkmasıdır.</w:t>
      </w:r>
    </w:p>
    <w:p w14:paraId="23313714" w14:textId="321ABB61" w:rsidR="000A7277" w:rsidRPr="00FF68F4" w:rsidRDefault="000A7277" w:rsidP="001614F0">
      <w:pPr>
        <w:rPr>
          <w:rFonts w:ascii="Times New Roman" w:hAnsi="Times New Roman" w:cs="Times New Roman"/>
          <w:sz w:val="24"/>
          <w:szCs w:val="24"/>
        </w:rPr>
      </w:pPr>
      <w:r w:rsidRPr="00FF68F4">
        <w:rPr>
          <w:rFonts w:ascii="Times New Roman" w:hAnsi="Times New Roman" w:cs="Times New Roman"/>
          <w:noProof/>
          <w:sz w:val="24"/>
          <w:szCs w:val="24"/>
        </w:rPr>
        <w:drawing>
          <wp:inline distT="0" distB="0" distL="0" distR="0" wp14:anchorId="46934C28" wp14:editId="7A499FAE">
            <wp:extent cx="5486400" cy="3200400"/>
            <wp:effectExtent l="0" t="0" r="0" b="0"/>
            <wp:docPr id="7" name="Grafik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1AC7256" w14:textId="536D2932" w:rsidR="00B925FA" w:rsidRPr="00FF68F4" w:rsidRDefault="00FF68F4" w:rsidP="001614F0">
      <w:pPr>
        <w:rPr>
          <w:rFonts w:ascii="Times New Roman" w:hAnsi="Times New Roman" w:cs="Times New Roman"/>
          <w:sz w:val="24"/>
          <w:szCs w:val="24"/>
        </w:rPr>
      </w:pPr>
      <w:r w:rsidRPr="00FF68F4">
        <w:rPr>
          <w:rFonts w:ascii="Times New Roman" w:hAnsi="Times New Roman" w:cs="Times New Roman"/>
          <w:sz w:val="24"/>
          <w:szCs w:val="24"/>
        </w:rPr>
        <w:t xml:space="preserve">Son olarak da 2008 sonrası kamu sektörünün ekonomi içinde büyümeye katkısının daraldığı gözlemleniyor. 3.a özel yatım grafikleri kısmında aşağıdaki grafikte aşağı yönlü bir trend gözlemleniyor. Tabii ki bunda yapılan özelleştirmelerin de etkisi yadsınamaz. </w:t>
      </w:r>
    </w:p>
    <w:p w14:paraId="2F8B4324" w14:textId="11564F50" w:rsidR="00FF68F4" w:rsidRPr="00FF68F4" w:rsidRDefault="00FF68F4" w:rsidP="001614F0">
      <w:pPr>
        <w:rPr>
          <w:rFonts w:ascii="Times New Roman" w:hAnsi="Times New Roman" w:cs="Times New Roman"/>
          <w:sz w:val="24"/>
          <w:szCs w:val="24"/>
        </w:rPr>
      </w:pPr>
      <w:r w:rsidRPr="00FF68F4">
        <w:rPr>
          <w:rFonts w:ascii="Times New Roman" w:hAnsi="Times New Roman" w:cs="Times New Roman"/>
          <w:sz w:val="24"/>
          <w:szCs w:val="24"/>
        </w:rPr>
        <w:t>Kamunun ekonomi içindeki payının azalması G kalemini yani kamu harcamalarını azalttığı için aslında GSYH içinde olumsuz etkiye sahip olabilir ancak enflasyon kontrolünde önemli</w:t>
      </w:r>
      <w:r w:rsidR="000A7277">
        <w:rPr>
          <w:rFonts w:ascii="Times New Roman" w:hAnsi="Times New Roman" w:cs="Times New Roman"/>
          <w:sz w:val="24"/>
          <w:szCs w:val="24"/>
        </w:rPr>
        <w:t xml:space="preserve"> </w:t>
      </w:r>
      <w:r w:rsidRPr="00FF68F4">
        <w:rPr>
          <w:rFonts w:ascii="Times New Roman" w:hAnsi="Times New Roman" w:cs="Times New Roman"/>
          <w:sz w:val="24"/>
          <w:szCs w:val="24"/>
        </w:rPr>
        <w:lastRenderedPageBreak/>
        <w:t>bir rol oynamaktadır.</w:t>
      </w:r>
      <w:r w:rsidRPr="00FF68F4">
        <w:rPr>
          <w:rFonts w:ascii="Times New Roman" w:hAnsi="Times New Roman" w:cs="Times New Roman"/>
          <w:noProof/>
          <w:sz w:val="24"/>
          <w:szCs w:val="24"/>
        </w:rPr>
        <w:drawing>
          <wp:inline distT="0" distB="0" distL="0" distR="0" wp14:anchorId="30928B2A" wp14:editId="07B8A4C2">
            <wp:extent cx="5760720" cy="4069080"/>
            <wp:effectExtent l="0" t="0" r="0" b="7620"/>
            <wp:docPr id="6" name="Grafik 6">
              <a:extLst xmlns:a="http://schemas.openxmlformats.org/drawingml/2006/main">
                <a:ext uri="{FF2B5EF4-FFF2-40B4-BE49-F238E27FC236}">
                  <a16:creationId xmlns:a16="http://schemas.microsoft.com/office/drawing/2014/main" id="{00000000-0008-0000-09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F9D7521" w14:textId="4B915646" w:rsidR="00B925FA" w:rsidRPr="00FF68F4" w:rsidRDefault="00FF68F4" w:rsidP="001614F0">
      <w:pPr>
        <w:rPr>
          <w:rFonts w:ascii="Times New Roman" w:hAnsi="Times New Roman" w:cs="Times New Roman"/>
          <w:sz w:val="24"/>
          <w:szCs w:val="24"/>
          <w:u w:val="single"/>
        </w:rPr>
      </w:pPr>
      <w:r w:rsidRPr="00FF68F4">
        <w:rPr>
          <w:rFonts w:ascii="Times New Roman" w:hAnsi="Times New Roman" w:cs="Times New Roman"/>
          <w:sz w:val="24"/>
          <w:szCs w:val="24"/>
          <w:u w:val="single"/>
        </w:rPr>
        <w:t>Çalışmamda kullandığım veriler</w:t>
      </w:r>
    </w:p>
    <w:p w14:paraId="55CABD03" w14:textId="76BB61AA" w:rsidR="00BB063B" w:rsidRPr="00FF68F4" w:rsidRDefault="00000000" w:rsidP="001614F0">
      <w:pPr>
        <w:rPr>
          <w:rFonts w:ascii="Times New Roman" w:hAnsi="Times New Roman" w:cs="Times New Roman"/>
          <w:sz w:val="24"/>
          <w:szCs w:val="24"/>
        </w:rPr>
      </w:pPr>
      <w:hyperlink r:id="rId11" w:history="1">
        <w:r w:rsidR="00FF68F4" w:rsidRPr="00FF68F4">
          <w:rPr>
            <w:rStyle w:val="Hyperlink"/>
            <w:rFonts w:ascii="Times New Roman" w:hAnsi="Times New Roman" w:cs="Times New Roman"/>
            <w:sz w:val="24"/>
            <w:szCs w:val="24"/>
          </w:rPr>
          <w:t>https://fred.stlouisfed.org/series/NGDPRSAXDCTRQ</w:t>
        </w:r>
      </w:hyperlink>
    </w:p>
    <w:p w14:paraId="067346ED" w14:textId="6E0BDAD9" w:rsidR="00B93915" w:rsidRPr="00FF68F4" w:rsidRDefault="00000000" w:rsidP="001614F0">
      <w:pPr>
        <w:rPr>
          <w:rFonts w:ascii="Times New Roman" w:hAnsi="Times New Roman" w:cs="Times New Roman"/>
          <w:sz w:val="24"/>
          <w:szCs w:val="24"/>
        </w:rPr>
      </w:pPr>
      <w:hyperlink r:id="rId12" w:history="1">
        <w:r w:rsidR="00B93915" w:rsidRPr="00FF68F4">
          <w:rPr>
            <w:rStyle w:val="Hyperlink"/>
            <w:rFonts w:ascii="Times New Roman" w:hAnsi="Times New Roman" w:cs="Times New Roman"/>
            <w:sz w:val="24"/>
            <w:szCs w:val="24"/>
          </w:rPr>
          <w:t>https://fred.stlouisfed.org/series/TURPFCEQDSMEI</w:t>
        </w:r>
      </w:hyperlink>
    </w:p>
    <w:p w14:paraId="3A0783B5" w14:textId="220DB596" w:rsidR="00B93915" w:rsidRPr="00FF68F4" w:rsidRDefault="00000000" w:rsidP="001614F0">
      <w:pPr>
        <w:rPr>
          <w:rFonts w:ascii="Times New Roman" w:hAnsi="Times New Roman" w:cs="Times New Roman"/>
          <w:sz w:val="24"/>
          <w:szCs w:val="24"/>
        </w:rPr>
      </w:pPr>
      <w:hyperlink r:id="rId13" w:history="1">
        <w:r w:rsidR="00D83CEF" w:rsidRPr="00FF68F4">
          <w:rPr>
            <w:rStyle w:val="Hyperlink"/>
            <w:rFonts w:ascii="Times New Roman" w:hAnsi="Times New Roman" w:cs="Times New Roman"/>
            <w:sz w:val="24"/>
            <w:szCs w:val="24"/>
          </w:rPr>
          <w:t>https://fred.stlouisfed.org/series/IGDXEDTRM086NEST</w:t>
        </w:r>
      </w:hyperlink>
    </w:p>
    <w:p w14:paraId="721CE5AB" w14:textId="5FE2C714" w:rsidR="00D83CEF" w:rsidRPr="00FF68F4" w:rsidRDefault="00000000" w:rsidP="001614F0">
      <w:pPr>
        <w:rPr>
          <w:rFonts w:ascii="Times New Roman" w:hAnsi="Times New Roman" w:cs="Times New Roman"/>
          <w:sz w:val="24"/>
          <w:szCs w:val="24"/>
        </w:rPr>
      </w:pPr>
      <w:hyperlink r:id="rId14" w:history="1">
        <w:r w:rsidR="00D83CEF" w:rsidRPr="00FF68F4">
          <w:rPr>
            <w:rStyle w:val="Hyperlink"/>
            <w:rFonts w:ascii="Times New Roman" w:hAnsi="Times New Roman" w:cs="Times New Roman"/>
            <w:sz w:val="24"/>
            <w:szCs w:val="24"/>
          </w:rPr>
          <w:t>https://fred.stlouisfed.org/series/NAEXKP02TRQ189S</w:t>
        </w:r>
      </w:hyperlink>
    </w:p>
    <w:p w14:paraId="486A83D4" w14:textId="39182747" w:rsidR="00D83CEF" w:rsidRPr="00FF68F4" w:rsidRDefault="00000000" w:rsidP="001614F0">
      <w:pPr>
        <w:rPr>
          <w:rFonts w:ascii="Times New Roman" w:hAnsi="Times New Roman" w:cs="Times New Roman"/>
          <w:sz w:val="24"/>
          <w:szCs w:val="24"/>
        </w:rPr>
      </w:pPr>
      <w:hyperlink r:id="rId15" w:history="1">
        <w:r w:rsidR="008F5F7E" w:rsidRPr="00FF68F4">
          <w:rPr>
            <w:rStyle w:val="Hyperlink"/>
            <w:rFonts w:ascii="Times New Roman" w:hAnsi="Times New Roman" w:cs="Times New Roman"/>
            <w:sz w:val="24"/>
            <w:szCs w:val="24"/>
          </w:rPr>
          <w:t>https://fred.stlouisfed.org/series/IGDXEDTRM086NEST</w:t>
        </w:r>
      </w:hyperlink>
    </w:p>
    <w:p w14:paraId="36B3306C" w14:textId="71C9DFC5" w:rsidR="008F5F7E" w:rsidRPr="00FF68F4" w:rsidRDefault="00000000" w:rsidP="001614F0">
      <w:pPr>
        <w:rPr>
          <w:rFonts w:ascii="Times New Roman" w:hAnsi="Times New Roman" w:cs="Times New Roman"/>
          <w:sz w:val="24"/>
          <w:szCs w:val="24"/>
        </w:rPr>
      </w:pPr>
      <w:hyperlink r:id="rId16" w:history="1">
        <w:r w:rsidR="008258FD" w:rsidRPr="00FF68F4">
          <w:rPr>
            <w:rStyle w:val="Hyperlink"/>
            <w:rFonts w:ascii="Times New Roman" w:hAnsi="Times New Roman" w:cs="Times New Roman"/>
            <w:sz w:val="24"/>
            <w:szCs w:val="24"/>
          </w:rPr>
          <w:t>https://fred.stlouisfed.org/series/TURPITGND02GPM</w:t>
        </w:r>
      </w:hyperlink>
    </w:p>
    <w:p w14:paraId="34CDBFD2" w14:textId="50002C75" w:rsidR="008258FD" w:rsidRPr="00FF68F4" w:rsidRDefault="00000000" w:rsidP="001614F0">
      <w:pPr>
        <w:rPr>
          <w:rFonts w:ascii="Times New Roman" w:hAnsi="Times New Roman" w:cs="Times New Roman"/>
          <w:sz w:val="24"/>
          <w:szCs w:val="24"/>
        </w:rPr>
      </w:pPr>
      <w:hyperlink r:id="rId17" w:history="1">
        <w:r w:rsidR="008258FD" w:rsidRPr="00FF68F4">
          <w:rPr>
            <w:rStyle w:val="Hyperlink"/>
            <w:rFonts w:ascii="Times New Roman" w:hAnsi="Times New Roman" w:cs="Times New Roman"/>
            <w:sz w:val="24"/>
            <w:szCs w:val="24"/>
          </w:rPr>
          <w:t>https://fred.stlouisfed.org/series/TURGFCEQDSMEI</w:t>
        </w:r>
      </w:hyperlink>
    </w:p>
    <w:p w14:paraId="37B11483" w14:textId="77568326" w:rsidR="008258FD" w:rsidRPr="00FF68F4" w:rsidRDefault="00000000" w:rsidP="001614F0">
      <w:pPr>
        <w:rPr>
          <w:rFonts w:ascii="Times New Roman" w:hAnsi="Times New Roman" w:cs="Times New Roman"/>
          <w:sz w:val="24"/>
          <w:szCs w:val="24"/>
        </w:rPr>
      </w:pPr>
      <w:hyperlink r:id="rId18" w:history="1">
        <w:r w:rsidR="008258FD" w:rsidRPr="00FF68F4">
          <w:rPr>
            <w:rStyle w:val="Hyperlink"/>
            <w:rFonts w:ascii="Times New Roman" w:hAnsi="Times New Roman" w:cs="Times New Roman"/>
            <w:sz w:val="24"/>
            <w:szCs w:val="24"/>
          </w:rPr>
          <w:t>https://fred.stlouisfed.org/series/TURGFCFQDSMEI</w:t>
        </w:r>
      </w:hyperlink>
    </w:p>
    <w:p w14:paraId="392CD8DF" w14:textId="3206322D" w:rsidR="008258FD" w:rsidRPr="00FF68F4" w:rsidRDefault="00000000" w:rsidP="001614F0">
      <w:pPr>
        <w:rPr>
          <w:rFonts w:ascii="Times New Roman" w:hAnsi="Times New Roman" w:cs="Times New Roman"/>
          <w:sz w:val="24"/>
          <w:szCs w:val="24"/>
        </w:rPr>
      </w:pPr>
      <w:hyperlink r:id="rId19" w:history="1">
        <w:r w:rsidR="008258FD" w:rsidRPr="00FF68F4">
          <w:rPr>
            <w:rStyle w:val="Hyperlink"/>
            <w:rFonts w:ascii="Times New Roman" w:hAnsi="Times New Roman" w:cs="Times New Roman"/>
            <w:sz w:val="24"/>
            <w:szCs w:val="24"/>
          </w:rPr>
          <w:t>https://tradingeconomics.com/turkey/gross-fixed-capital-formation</w:t>
        </w:r>
      </w:hyperlink>
    </w:p>
    <w:p w14:paraId="6201CA20" w14:textId="6BCC167F" w:rsidR="008258FD" w:rsidRPr="00FF68F4" w:rsidRDefault="00000000" w:rsidP="001614F0">
      <w:pPr>
        <w:rPr>
          <w:rFonts w:ascii="Times New Roman" w:hAnsi="Times New Roman" w:cs="Times New Roman"/>
          <w:sz w:val="24"/>
          <w:szCs w:val="24"/>
        </w:rPr>
      </w:pPr>
      <w:hyperlink r:id="rId20" w:history="1">
        <w:r w:rsidR="00C86598" w:rsidRPr="00FF68F4">
          <w:rPr>
            <w:rStyle w:val="Hyperlink"/>
            <w:rFonts w:ascii="Times New Roman" w:hAnsi="Times New Roman" w:cs="Times New Roman"/>
            <w:sz w:val="24"/>
            <w:szCs w:val="24"/>
          </w:rPr>
          <w:t>https://fred.stlouisfed.org/series/TURIMPORTQDSMEI</w:t>
        </w:r>
      </w:hyperlink>
    </w:p>
    <w:p w14:paraId="2E40A6B0" w14:textId="31217CA6" w:rsidR="00C86598" w:rsidRPr="00FF68F4" w:rsidRDefault="00000000" w:rsidP="001614F0">
      <w:pPr>
        <w:rPr>
          <w:rFonts w:ascii="Times New Roman" w:hAnsi="Times New Roman" w:cs="Times New Roman"/>
          <w:sz w:val="24"/>
          <w:szCs w:val="24"/>
        </w:rPr>
      </w:pPr>
      <w:hyperlink r:id="rId21" w:history="1">
        <w:r w:rsidR="00075F47" w:rsidRPr="00FF68F4">
          <w:rPr>
            <w:rStyle w:val="Hyperlink"/>
            <w:rFonts w:ascii="Times New Roman" w:hAnsi="Times New Roman" w:cs="Times New Roman"/>
            <w:sz w:val="24"/>
            <w:szCs w:val="24"/>
          </w:rPr>
          <w:t>https://evds2.tcmb.gov.tr/index.php?/evds/serieMarket/collapse_15/5963/DataGroup/turkish/bie_cdur2/</w:t>
        </w:r>
      </w:hyperlink>
    </w:p>
    <w:p w14:paraId="0FC2DDF8" w14:textId="0CBCFE69" w:rsidR="00075F47" w:rsidRPr="00FF68F4" w:rsidRDefault="00075F47" w:rsidP="001614F0">
      <w:pPr>
        <w:rPr>
          <w:rFonts w:ascii="Times New Roman" w:hAnsi="Times New Roman" w:cs="Times New Roman"/>
          <w:sz w:val="24"/>
          <w:szCs w:val="24"/>
        </w:rPr>
      </w:pPr>
    </w:p>
    <w:sectPr w:rsidR="00075F47" w:rsidRPr="00FF68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B64"/>
    <w:rsid w:val="00075F47"/>
    <w:rsid w:val="000A7277"/>
    <w:rsid w:val="001614F0"/>
    <w:rsid w:val="001663A1"/>
    <w:rsid w:val="00183CEF"/>
    <w:rsid w:val="00207BC3"/>
    <w:rsid w:val="00565229"/>
    <w:rsid w:val="007D1D51"/>
    <w:rsid w:val="008258FD"/>
    <w:rsid w:val="008F5F7E"/>
    <w:rsid w:val="008F6A13"/>
    <w:rsid w:val="00966667"/>
    <w:rsid w:val="00AB79E2"/>
    <w:rsid w:val="00B925FA"/>
    <w:rsid w:val="00B93915"/>
    <w:rsid w:val="00BB063B"/>
    <w:rsid w:val="00C86598"/>
    <w:rsid w:val="00D27B64"/>
    <w:rsid w:val="00D83CEF"/>
    <w:rsid w:val="00ED61C6"/>
    <w:rsid w:val="00FF68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0353"/>
  <w15:chartTrackingRefBased/>
  <w15:docId w15:val="{7861CCA0-89FB-43F0-B661-7AE530E92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5229"/>
    <w:rPr>
      <w:color w:val="0563C1" w:themeColor="hyperlink"/>
      <w:u w:val="single"/>
    </w:rPr>
  </w:style>
  <w:style w:type="character" w:styleId="UnresolvedMention">
    <w:name w:val="Unresolved Mention"/>
    <w:basedOn w:val="DefaultParagraphFont"/>
    <w:uiPriority w:val="99"/>
    <w:semiHidden/>
    <w:unhideWhenUsed/>
    <w:rsid w:val="00565229"/>
    <w:rPr>
      <w:color w:val="605E5C"/>
      <w:shd w:val="clear" w:color="auto" w:fill="E1DFDD"/>
    </w:rPr>
  </w:style>
  <w:style w:type="character" w:styleId="FollowedHyperlink">
    <w:name w:val="FollowedHyperlink"/>
    <w:basedOn w:val="DefaultParagraphFont"/>
    <w:uiPriority w:val="99"/>
    <w:semiHidden/>
    <w:unhideWhenUsed/>
    <w:rsid w:val="001614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hyperlink" Target="https://fred.stlouisfed.org/series/IGDXEDTRM086NEST" TargetMode="External"/><Relationship Id="rId18" Type="http://schemas.openxmlformats.org/officeDocument/2006/relationships/hyperlink" Target="https://fred.stlouisfed.org/series/TURGFCFQDSMEI" TargetMode="External"/><Relationship Id="rId3" Type="http://schemas.openxmlformats.org/officeDocument/2006/relationships/webSettings" Target="webSettings.xml"/><Relationship Id="rId21" Type="http://schemas.openxmlformats.org/officeDocument/2006/relationships/hyperlink" Target="https://evds2.tcmb.gov.tr/index.php?/evds/serieMarket/collapse_15/5963/DataGroup/turkish/bie_cdur2/" TargetMode="External"/><Relationship Id="rId7" Type="http://schemas.openxmlformats.org/officeDocument/2006/relationships/chart" Target="charts/chart2.xml"/><Relationship Id="rId12" Type="http://schemas.openxmlformats.org/officeDocument/2006/relationships/hyperlink" Target="https://fred.stlouisfed.org/series/TURPFCEQDSMEI" TargetMode="External"/><Relationship Id="rId17" Type="http://schemas.openxmlformats.org/officeDocument/2006/relationships/hyperlink" Target="https://fred.stlouisfed.org/series/TURGFCEQDSMEI" TargetMode="External"/><Relationship Id="rId2" Type="http://schemas.openxmlformats.org/officeDocument/2006/relationships/settings" Target="settings.xml"/><Relationship Id="rId16" Type="http://schemas.openxmlformats.org/officeDocument/2006/relationships/hyperlink" Target="https://fred.stlouisfed.org/series/TURPITGND02GPM" TargetMode="External"/><Relationship Id="rId20" Type="http://schemas.openxmlformats.org/officeDocument/2006/relationships/hyperlink" Target="https://fred.stlouisfed.org/series/TURIMPORTQDSMEI" TargetMode="Externa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hyperlink" Target="https://fred.stlouisfed.org/series/NGDPRSAXDCTRQ" TargetMode="External"/><Relationship Id="rId5" Type="http://schemas.openxmlformats.org/officeDocument/2006/relationships/image" Target="media/image2.png"/><Relationship Id="rId15" Type="http://schemas.openxmlformats.org/officeDocument/2006/relationships/hyperlink" Target="https://fred.stlouisfed.org/series/IGDXEDTRM086NEST" TargetMode="External"/><Relationship Id="rId23" Type="http://schemas.openxmlformats.org/officeDocument/2006/relationships/theme" Target="theme/theme1.xml"/><Relationship Id="rId10" Type="http://schemas.openxmlformats.org/officeDocument/2006/relationships/chart" Target="charts/chart5.xml"/><Relationship Id="rId19" Type="http://schemas.openxmlformats.org/officeDocument/2006/relationships/hyperlink" Target="https://tradingeconomics.com/turkey/gross-fixed-capital-formation" TargetMode="External"/><Relationship Id="rId4" Type="http://schemas.openxmlformats.org/officeDocument/2006/relationships/image" Target="media/image1.png"/><Relationship Id="rId9" Type="http://schemas.openxmlformats.org/officeDocument/2006/relationships/chart" Target="charts/chart4.xml"/><Relationship Id="rId14" Type="http://schemas.openxmlformats.org/officeDocument/2006/relationships/hyperlink" Target="https://fred.stlouisfed.org/series/NAEXKP02TRQ189S" TargetMode="Externa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musta\Desktop\00_ic_L03_UA_Toplam%20Talep%20Analizi_&#246;greci_%20(2).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musta\Desktop\00_ic_L03_UA_Toplam%20Talep%20Analizi_&#246;greci_%20(2).xlsx" TargetMode="Externa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5.xml.rels><?xml version="1.0" encoding="UTF-8" standalone="yes"?>
<Relationships xmlns="http://schemas.openxmlformats.org/package/2006/relationships"><Relationship Id="rId1" Type="http://schemas.openxmlformats.org/officeDocument/2006/relationships/oleObject" Target="file:///C:\Users\musta\Desktop\00_ic_L03_UA_Toplam%20Talep%20Analizi_&#246;greci_%20(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tr-TR"/>
              <a:t>AD-AS</a:t>
            </a:r>
            <a:r>
              <a:rPr lang="tr-TR" baseline="0"/>
              <a:t> GRAFİĞİ</a:t>
            </a:r>
            <a:endParaRPr lang="tr-T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manualLayout>
          <c:layoutTarget val="inner"/>
          <c:xMode val="edge"/>
          <c:yMode val="edge"/>
          <c:x val="9.5819845435987164E-2"/>
          <c:y val="0.2220838020247469"/>
          <c:w val="0.88334682123067954"/>
          <c:h val="0.59068085239345081"/>
        </c:manualLayout>
      </c:layout>
      <c:lineChart>
        <c:grouping val="standard"/>
        <c:varyColors val="0"/>
        <c:ser>
          <c:idx val="0"/>
          <c:order val="0"/>
          <c:tx>
            <c:strRef>
              <c:f>Sheet1!$B$1</c:f>
              <c:strCache>
                <c:ptCount val="1"/>
                <c:pt idx="0">
                  <c:v>AS</c:v>
                </c:pt>
              </c:strCache>
            </c:strRef>
          </c:tx>
          <c:spPr>
            <a:ln w="22225" cap="rnd">
              <a:solidFill>
                <a:schemeClr val="accent1"/>
              </a:solidFill>
            </a:ln>
            <a:effectLst>
              <a:glow rad="139700">
                <a:schemeClr val="accent1">
                  <a:satMod val="175000"/>
                  <a:alpha val="14000"/>
                </a:schemeClr>
              </a:glow>
            </a:effectLst>
          </c:spPr>
          <c:marker>
            <c:symbol val="none"/>
          </c:marker>
          <c:dLbls>
            <c:delete val="1"/>
          </c:dLbls>
          <c:cat>
            <c:strRef>
              <c:f>Sheet1!$A$2:$A$5</c:f>
              <c:strCache>
                <c:ptCount val="4"/>
                <c:pt idx="0">
                  <c:v>Kategori 1</c:v>
                </c:pt>
                <c:pt idx="1">
                  <c:v>Kategori 2</c:v>
                </c:pt>
                <c:pt idx="2">
                  <c:v>Kategori 3</c:v>
                </c:pt>
                <c:pt idx="3">
                  <c:v>Kategori 4</c:v>
                </c:pt>
              </c:strCache>
            </c:strRef>
          </c:cat>
          <c:val>
            <c:numRef>
              <c:f>Sheet1!$B$2:$B$5</c:f>
              <c:numCache>
                <c:formatCode>General</c:formatCode>
                <c:ptCount val="4"/>
                <c:pt idx="0">
                  <c:v>1</c:v>
                </c:pt>
                <c:pt idx="1">
                  <c:v>2</c:v>
                </c:pt>
                <c:pt idx="2">
                  <c:v>3</c:v>
                </c:pt>
                <c:pt idx="3">
                  <c:v>4</c:v>
                </c:pt>
              </c:numCache>
            </c:numRef>
          </c:val>
          <c:smooth val="0"/>
          <c:extLst>
            <c:ext xmlns:c16="http://schemas.microsoft.com/office/drawing/2014/chart" uri="{C3380CC4-5D6E-409C-BE32-E72D297353CC}">
              <c16:uniqueId val="{00000000-53DF-4AF8-9EB3-65C0221ADCF0}"/>
            </c:ext>
          </c:extLst>
        </c:ser>
        <c:ser>
          <c:idx val="1"/>
          <c:order val="1"/>
          <c:tx>
            <c:strRef>
              <c:f>Sheet1!$C$1</c:f>
              <c:strCache>
                <c:ptCount val="1"/>
                <c:pt idx="0">
                  <c:v>AD 2</c:v>
                </c:pt>
              </c:strCache>
            </c:strRef>
          </c:tx>
          <c:spPr>
            <a:ln w="22225" cap="rnd">
              <a:solidFill>
                <a:schemeClr val="accent2"/>
              </a:solidFill>
            </a:ln>
            <a:effectLst>
              <a:glow rad="139700">
                <a:schemeClr val="accent2">
                  <a:satMod val="175000"/>
                  <a:alpha val="14000"/>
                </a:schemeClr>
              </a:glow>
            </a:effectLst>
          </c:spPr>
          <c:marker>
            <c:symbol val="none"/>
          </c:marker>
          <c:dLbls>
            <c:delete val="1"/>
          </c:dLbls>
          <c:cat>
            <c:strRef>
              <c:f>Sheet1!$A$2:$A$5</c:f>
              <c:strCache>
                <c:ptCount val="4"/>
                <c:pt idx="0">
                  <c:v>Kategori 1</c:v>
                </c:pt>
                <c:pt idx="1">
                  <c:v>Kategori 2</c:v>
                </c:pt>
                <c:pt idx="2">
                  <c:v>Kategori 3</c:v>
                </c:pt>
                <c:pt idx="3">
                  <c:v>Kategori 4</c:v>
                </c:pt>
              </c:strCache>
            </c:strRef>
          </c:cat>
          <c:val>
            <c:numRef>
              <c:f>Sheet1!$C$2:$C$5</c:f>
              <c:numCache>
                <c:formatCode>General</c:formatCode>
                <c:ptCount val="4"/>
                <c:pt idx="0">
                  <c:v>4</c:v>
                </c:pt>
                <c:pt idx="1">
                  <c:v>3</c:v>
                </c:pt>
                <c:pt idx="2">
                  <c:v>2</c:v>
                </c:pt>
                <c:pt idx="3">
                  <c:v>1</c:v>
                </c:pt>
              </c:numCache>
            </c:numRef>
          </c:val>
          <c:smooth val="0"/>
          <c:extLst>
            <c:ext xmlns:c16="http://schemas.microsoft.com/office/drawing/2014/chart" uri="{C3380CC4-5D6E-409C-BE32-E72D297353CC}">
              <c16:uniqueId val="{00000001-53DF-4AF8-9EB3-65C0221ADCF0}"/>
            </c:ext>
          </c:extLst>
        </c:ser>
        <c:ser>
          <c:idx val="3"/>
          <c:order val="2"/>
          <c:tx>
            <c:strRef>
              <c:f>Sheet1!$E$1</c:f>
              <c:strCache>
                <c:ptCount val="1"/>
                <c:pt idx="0">
                  <c:v>AD</c:v>
                </c:pt>
              </c:strCache>
            </c:strRef>
          </c:tx>
          <c:spPr>
            <a:ln w="22225" cap="rnd">
              <a:solidFill>
                <a:schemeClr val="accent4"/>
              </a:solidFill>
            </a:ln>
            <a:effectLst>
              <a:glow rad="139700">
                <a:schemeClr val="accent4">
                  <a:satMod val="175000"/>
                  <a:alpha val="14000"/>
                </a:schemeClr>
              </a:glow>
            </a:effectLst>
          </c:spPr>
          <c:marker>
            <c:symbol val="none"/>
          </c:marker>
          <c:dLbls>
            <c:delete val="1"/>
          </c:dLbls>
          <c:cat>
            <c:strRef>
              <c:f>Sheet1!$A$2:$A$5</c:f>
              <c:strCache>
                <c:ptCount val="4"/>
                <c:pt idx="0">
                  <c:v>Kategori 1</c:v>
                </c:pt>
                <c:pt idx="1">
                  <c:v>Kategori 2</c:v>
                </c:pt>
                <c:pt idx="2">
                  <c:v>Kategori 3</c:v>
                </c:pt>
                <c:pt idx="3">
                  <c:v>Kategori 4</c:v>
                </c:pt>
              </c:strCache>
            </c:strRef>
          </c:cat>
          <c:val>
            <c:numRef>
              <c:f>Sheet1!$E$2:$E$5</c:f>
              <c:numCache>
                <c:formatCode>General</c:formatCode>
                <c:ptCount val="4"/>
                <c:pt idx="0">
                  <c:v>5</c:v>
                </c:pt>
                <c:pt idx="1">
                  <c:v>4</c:v>
                </c:pt>
                <c:pt idx="2">
                  <c:v>3</c:v>
                </c:pt>
                <c:pt idx="3">
                  <c:v>2</c:v>
                </c:pt>
              </c:numCache>
            </c:numRef>
          </c:val>
          <c:smooth val="0"/>
          <c:extLst>
            <c:ext xmlns:c16="http://schemas.microsoft.com/office/drawing/2014/chart" uri="{C3380CC4-5D6E-409C-BE32-E72D297353CC}">
              <c16:uniqueId val="{00000003-53DF-4AF8-9EB3-65C0221ADCF0}"/>
            </c:ext>
          </c:extLst>
        </c:ser>
        <c:dLbls>
          <c:dLblPos val="t"/>
          <c:showLegendKey val="0"/>
          <c:showVal val="1"/>
          <c:showCatName val="0"/>
          <c:showSerName val="0"/>
          <c:showPercent val="0"/>
          <c:showBubbleSize val="0"/>
        </c:dLbls>
        <c:smooth val="0"/>
        <c:axId val="1219710896"/>
        <c:axId val="1353675936"/>
      </c:lineChart>
      <c:catAx>
        <c:axId val="1219710896"/>
        <c:scaling>
          <c:orientation val="minMax"/>
        </c:scaling>
        <c:delete val="1"/>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GELİR</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out"/>
        <c:minorTickMark val="none"/>
        <c:tickLblPos val="nextTo"/>
        <c:crossAx val="1353675936"/>
        <c:crosses val="autoZero"/>
        <c:auto val="1"/>
        <c:lblAlgn val="ctr"/>
        <c:lblOffset val="100"/>
        <c:noMultiLvlLbl val="0"/>
      </c:catAx>
      <c:valAx>
        <c:axId val="1353675936"/>
        <c:scaling>
          <c:orientation val="minMax"/>
        </c:scaling>
        <c:delete val="1"/>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FİYAT</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out"/>
        <c:minorTickMark val="none"/>
        <c:tickLblPos val="nextTo"/>
        <c:crossAx val="1219710896"/>
        <c:crosses val="autoZero"/>
        <c:crossBetween val="between"/>
      </c:valAx>
      <c:spPr>
        <a:noFill/>
        <a:ln>
          <a:noFill/>
        </a:ln>
        <a:effectLst/>
      </c:spPr>
    </c:plotArea>
    <c:legend>
      <c:legendPos val="t"/>
      <c:layout>
        <c:manualLayout>
          <c:xMode val="edge"/>
          <c:yMode val="edge"/>
          <c:x val="0.31493693496646252"/>
          <c:y val="0.12734126984126984"/>
          <c:w val="0.47429261446485854"/>
          <c:h val="6.696475440569928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pPr>
            <a:r>
              <a:rPr lang="en-US" sz="1400"/>
              <a:t>Dışa Açıklık: İhracat + İthalat  </a:t>
            </a:r>
          </a:p>
          <a:p>
            <a:pPr>
              <a:defRPr sz="1400"/>
            </a:pPr>
            <a:r>
              <a:rPr lang="en-US" sz="1400" b="0"/>
              <a:t>(i% GSYH)</a:t>
            </a:r>
          </a:p>
        </c:rich>
      </c:tx>
      <c:layout>
        <c:manualLayout>
          <c:xMode val="edge"/>
          <c:yMode val="edge"/>
          <c:x val="0.30582390400131454"/>
          <c:y val="2.4219996184309645E-2"/>
        </c:manualLayout>
      </c:layout>
      <c:overlay val="0"/>
    </c:title>
    <c:autoTitleDeleted val="0"/>
    <c:plotArea>
      <c:layout>
        <c:manualLayout>
          <c:layoutTarget val="inner"/>
          <c:xMode val="edge"/>
          <c:yMode val="edge"/>
          <c:x val="4.0647603260118799E-2"/>
          <c:y val="0.15719384303266337"/>
          <c:w val="0.91109470309425244"/>
          <c:h val="0.60165971136483876"/>
        </c:manualLayout>
      </c:layout>
      <c:lineChart>
        <c:grouping val="standard"/>
        <c:varyColors val="0"/>
        <c:ser>
          <c:idx val="0"/>
          <c:order val="0"/>
          <c:tx>
            <c:v>Açıklık = İhracat + İthalat (% GSYH)</c:v>
          </c:tx>
          <c:spPr>
            <a:ln w="25400">
              <a:solidFill>
                <a:srgbClr val="114D97"/>
              </a:solidFill>
              <a:prstDash val="solid"/>
            </a:ln>
            <a:effectLst/>
          </c:spPr>
          <c:marker>
            <c:symbol val="none"/>
          </c:marker>
          <c:cat>
            <c:strRef>
              <c:f>'1a. Reel GSYH Payı'!$A$32:$A$103</c:f>
              <c:strCache>
                <c:ptCount val="72"/>
                <c:pt idx="0">
                  <c:v>Q1-1998</c:v>
                </c:pt>
                <c:pt idx="1">
                  <c:v>Q2-1998</c:v>
                </c:pt>
                <c:pt idx="2">
                  <c:v>Q3-1998</c:v>
                </c:pt>
                <c:pt idx="3">
                  <c:v>Q4-1998</c:v>
                </c:pt>
                <c:pt idx="4">
                  <c:v>Q1-1999</c:v>
                </c:pt>
                <c:pt idx="5">
                  <c:v>Q2-1999</c:v>
                </c:pt>
                <c:pt idx="6">
                  <c:v>Q3-1999</c:v>
                </c:pt>
                <c:pt idx="7">
                  <c:v>Q4-1999</c:v>
                </c:pt>
                <c:pt idx="8">
                  <c:v>Q1-2000</c:v>
                </c:pt>
                <c:pt idx="9">
                  <c:v>Q2-2000</c:v>
                </c:pt>
                <c:pt idx="10">
                  <c:v>Q3-2000</c:v>
                </c:pt>
                <c:pt idx="11">
                  <c:v>Q4-2000</c:v>
                </c:pt>
                <c:pt idx="12">
                  <c:v>Q1-2001</c:v>
                </c:pt>
                <c:pt idx="13">
                  <c:v>Q2-2001</c:v>
                </c:pt>
                <c:pt idx="14">
                  <c:v>Q3-2001</c:v>
                </c:pt>
                <c:pt idx="15">
                  <c:v>Q4-2001</c:v>
                </c:pt>
                <c:pt idx="16">
                  <c:v>Q1-2002</c:v>
                </c:pt>
                <c:pt idx="17">
                  <c:v>Q2-2002</c:v>
                </c:pt>
                <c:pt idx="18">
                  <c:v>Q3-2002</c:v>
                </c:pt>
                <c:pt idx="19">
                  <c:v>Q4-2002</c:v>
                </c:pt>
                <c:pt idx="20">
                  <c:v>Q1-2003</c:v>
                </c:pt>
                <c:pt idx="21">
                  <c:v>Q2-2003</c:v>
                </c:pt>
                <c:pt idx="22">
                  <c:v>Q3-2003</c:v>
                </c:pt>
                <c:pt idx="23">
                  <c:v>Q4-2003</c:v>
                </c:pt>
                <c:pt idx="24">
                  <c:v>Q1-2004</c:v>
                </c:pt>
                <c:pt idx="25">
                  <c:v>Q2-2004</c:v>
                </c:pt>
                <c:pt idx="26">
                  <c:v>Q3-2004</c:v>
                </c:pt>
                <c:pt idx="27">
                  <c:v>Q4-2004</c:v>
                </c:pt>
                <c:pt idx="28">
                  <c:v>Q1-2005</c:v>
                </c:pt>
                <c:pt idx="29">
                  <c:v>Q2-2005</c:v>
                </c:pt>
                <c:pt idx="30">
                  <c:v>Q3-2005</c:v>
                </c:pt>
                <c:pt idx="31">
                  <c:v>Q4-2005</c:v>
                </c:pt>
                <c:pt idx="32">
                  <c:v>Q1-2006</c:v>
                </c:pt>
                <c:pt idx="33">
                  <c:v>Q2-2006</c:v>
                </c:pt>
                <c:pt idx="34">
                  <c:v>Q3-2006</c:v>
                </c:pt>
                <c:pt idx="35">
                  <c:v>Q4-2006</c:v>
                </c:pt>
                <c:pt idx="36">
                  <c:v>Q1-2007</c:v>
                </c:pt>
                <c:pt idx="37">
                  <c:v>Q2-2007</c:v>
                </c:pt>
                <c:pt idx="38">
                  <c:v>Q3-2007</c:v>
                </c:pt>
                <c:pt idx="39">
                  <c:v>Q4-2007</c:v>
                </c:pt>
                <c:pt idx="40">
                  <c:v>Q1-2008</c:v>
                </c:pt>
                <c:pt idx="41">
                  <c:v>Q2-2008</c:v>
                </c:pt>
                <c:pt idx="42">
                  <c:v>Q3-2008</c:v>
                </c:pt>
                <c:pt idx="43">
                  <c:v>Q4-2008</c:v>
                </c:pt>
                <c:pt idx="44">
                  <c:v>Q1-2009</c:v>
                </c:pt>
                <c:pt idx="45">
                  <c:v>Q2-2009</c:v>
                </c:pt>
                <c:pt idx="46">
                  <c:v>Q3-2009</c:v>
                </c:pt>
                <c:pt idx="47">
                  <c:v>Q4-2009</c:v>
                </c:pt>
                <c:pt idx="48">
                  <c:v>Q1-2010</c:v>
                </c:pt>
                <c:pt idx="49">
                  <c:v>Q2-2010</c:v>
                </c:pt>
                <c:pt idx="50">
                  <c:v>Q3-2010</c:v>
                </c:pt>
                <c:pt idx="51">
                  <c:v>Q4-2010</c:v>
                </c:pt>
                <c:pt idx="52">
                  <c:v>Q1-2011</c:v>
                </c:pt>
                <c:pt idx="53">
                  <c:v>Q2-2011</c:v>
                </c:pt>
                <c:pt idx="54">
                  <c:v>Q3-2011</c:v>
                </c:pt>
                <c:pt idx="55">
                  <c:v>Q4-2011</c:v>
                </c:pt>
                <c:pt idx="56">
                  <c:v>Q1-2012</c:v>
                </c:pt>
                <c:pt idx="57">
                  <c:v>Q2-2012</c:v>
                </c:pt>
                <c:pt idx="58">
                  <c:v>Q3-2012</c:v>
                </c:pt>
                <c:pt idx="59">
                  <c:v>Q4-2012</c:v>
                </c:pt>
                <c:pt idx="60">
                  <c:v>Q1-2013</c:v>
                </c:pt>
                <c:pt idx="61">
                  <c:v>Q2-2013</c:v>
                </c:pt>
                <c:pt idx="62">
                  <c:v>Q3-2013</c:v>
                </c:pt>
                <c:pt idx="63">
                  <c:v>Q4-2013</c:v>
                </c:pt>
                <c:pt idx="64">
                  <c:v>Q1-2014</c:v>
                </c:pt>
                <c:pt idx="65">
                  <c:v>Q2-2014</c:v>
                </c:pt>
                <c:pt idx="66">
                  <c:v>Q3-2014</c:v>
                </c:pt>
                <c:pt idx="67">
                  <c:v>Q4-2014</c:v>
                </c:pt>
                <c:pt idx="68">
                  <c:v>Q1-2015</c:v>
                </c:pt>
                <c:pt idx="69">
                  <c:v>Q2-2015</c:v>
                </c:pt>
                <c:pt idx="70">
                  <c:v>Q3-2015</c:v>
                </c:pt>
                <c:pt idx="71">
                  <c:v>Q4-2015</c:v>
                </c:pt>
              </c:strCache>
            </c:strRef>
          </c:cat>
          <c:val>
            <c:numRef>
              <c:f>'1a. Reel GSYH Payı'!$X$32:$X$103</c:f>
              <c:numCache>
                <c:formatCode>0.0</c:formatCode>
                <c:ptCount val="7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272.71125607031877</c:v>
                </c:pt>
                <c:pt idx="45">
                  <c:v>293.19747439014577</c:v>
                </c:pt>
                <c:pt idx="46">
                  <c:v>318.2434645570965</c:v>
                </c:pt>
                <c:pt idx="47">
                  <c:v>316.31410399752497</c:v>
                </c:pt>
                <c:pt idx="48">
                  <c:v>362.50375040928043</c:v>
                </c:pt>
                <c:pt idx="49">
                  <c:v>400.17837920623799</c:v>
                </c:pt>
                <c:pt idx="50">
                  <c:v>472.09542423065903</c:v>
                </c:pt>
                <c:pt idx="51">
                  <c:v>562.88835679045064</c:v>
                </c:pt>
                <c:pt idx="52">
                  <c:v>826.94244890218511</c:v>
                </c:pt>
                <c:pt idx="53">
                  <c:v>920.82259237630569</c:v>
                </c:pt>
                <c:pt idx="54">
                  <c:v>965.40460837701335</c:v>
                </c:pt>
                <c:pt idx="55">
                  <c:v>725.37684214993226</c:v>
                </c:pt>
                <c:pt idx="56">
                  <c:v>685.31484207745734</c:v>
                </c:pt>
                <c:pt idx="57">
                  <c:v>530.51595402478824</c:v>
                </c:pt>
                <c:pt idx="58">
                  <c:v>499.36220651655776</c:v>
                </c:pt>
                <c:pt idx="59">
                  <c:v>451.8165357701705</c:v>
                </c:pt>
                <c:pt idx="60">
                  <c:v>553.72616450810733</c:v>
                </c:pt>
                <c:pt idx="61">
                  <c:v>572.73733751823488</c:v>
                </c:pt>
                <c:pt idx="62">
                  <c:v>581.34687500936047</c:v>
                </c:pt>
                <c:pt idx="63">
                  <c:v>605.42240915831235</c:v>
                </c:pt>
                <c:pt idx="64">
                  <c:v>498.27767482966993</c:v>
                </c:pt>
                <c:pt idx="65">
                  <c:v>497.5959982067717</c:v>
                </c:pt>
                <c:pt idx="66">
                  <c:v>472.77205330545496</c:v>
                </c:pt>
                <c:pt idx="67">
                  <c:v>553.39340839762463</c:v>
                </c:pt>
                <c:pt idx="68">
                  <c:v>470.01952745042115</c:v>
                </c:pt>
                <c:pt idx="69">
                  <c:v>448.87136572722318</c:v>
                </c:pt>
                <c:pt idx="70">
                  <c:v>414.73680715478815</c:v>
                </c:pt>
                <c:pt idx="71">
                  <c:v>410.12093736485633</c:v>
                </c:pt>
              </c:numCache>
            </c:numRef>
          </c:val>
          <c:smooth val="0"/>
          <c:extLst>
            <c:ext xmlns:c16="http://schemas.microsoft.com/office/drawing/2014/chart" uri="{C3380CC4-5D6E-409C-BE32-E72D297353CC}">
              <c16:uniqueId val="{00000000-58B2-4B9F-A882-EC4681CBEE46}"/>
            </c:ext>
          </c:extLst>
        </c:ser>
        <c:dLbls>
          <c:showLegendKey val="0"/>
          <c:showVal val="0"/>
          <c:showCatName val="0"/>
          <c:showSerName val="0"/>
          <c:showPercent val="0"/>
          <c:showBubbleSize val="0"/>
        </c:dLbls>
        <c:smooth val="0"/>
        <c:axId val="1414399568"/>
        <c:axId val="1414404464"/>
      </c:lineChart>
      <c:catAx>
        <c:axId val="1414399568"/>
        <c:scaling>
          <c:orientation val="minMax"/>
        </c:scaling>
        <c:delete val="0"/>
        <c:axPos val="b"/>
        <c:numFmt formatCode="General" sourceLinked="0"/>
        <c:majorTickMark val="in"/>
        <c:minorTickMark val="none"/>
        <c:tickLblPos val="nextTo"/>
        <c:spPr>
          <a:ln w="3175">
            <a:solidFill>
              <a:srgbClr val="B3B3B3"/>
            </a:solidFill>
            <a:prstDash val="solid"/>
          </a:ln>
        </c:spPr>
        <c:crossAx val="1414404464"/>
        <c:crosses val="autoZero"/>
        <c:auto val="1"/>
        <c:lblAlgn val="ctr"/>
        <c:lblOffset val="100"/>
        <c:tickLblSkip val="4"/>
        <c:noMultiLvlLbl val="0"/>
      </c:catAx>
      <c:valAx>
        <c:axId val="1414404464"/>
        <c:scaling>
          <c:orientation val="minMax"/>
          <c:min val="20"/>
        </c:scaling>
        <c:delete val="0"/>
        <c:axPos val="l"/>
        <c:numFmt formatCode="0" sourceLinked="0"/>
        <c:majorTickMark val="in"/>
        <c:minorTickMark val="none"/>
        <c:tickLblPos val="nextTo"/>
        <c:spPr>
          <a:ln w="3175">
            <a:solidFill>
              <a:srgbClr val="B3B3B3"/>
            </a:solidFill>
            <a:prstDash val="solid"/>
          </a:ln>
        </c:spPr>
        <c:crossAx val="1414399568"/>
        <c:crosses val="autoZero"/>
        <c:crossBetween val="between"/>
      </c:valAx>
      <c:spPr>
        <a:solidFill>
          <a:srgbClr val="FFFFFF"/>
        </a:solidFill>
        <a:ln w="3175">
          <a:noFill/>
          <a:prstDash val="solid"/>
        </a:ln>
      </c:spPr>
    </c:plotArea>
    <c:legend>
      <c:legendPos val="r"/>
      <c:layout>
        <c:manualLayout>
          <c:xMode val="edge"/>
          <c:yMode val="edge"/>
          <c:x val="4.3753187421043359E-2"/>
          <c:y val="0.14123836853668278"/>
          <c:w val="0.90960491606564442"/>
          <c:h val="6.1931408048746431E-2"/>
        </c:manualLayout>
      </c:layout>
      <c:overlay val="0"/>
      <c:txPr>
        <a:bodyPr/>
        <a:lstStyle/>
        <a:p>
          <a:pPr>
            <a:defRPr sz="1200"/>
          </a:pPr>
          <a:endParaRPr lang="en-US"/>
        </a:p>
      </c:txPr>
    </c:legend>
    <c:plotVisOnly val="1"/>
    <c:dispBlanksAs val="gap"/>
    <c:showDLblsOverMax val="0"/>
  </c:chart>
  <c:spPr>
    <a:ln w="25400">
      <a:noFill/>
    </a:ln>
  </c:spPr>
  <c:txPr>
    <a:bodyPr/>
    <a:lstStyle/>
    <a:p>
      <a:pPr>
        <a:defRPr>
          <a:solidFill>
            <a:schemeClr val="tx1"/>
          </a:solidFill>
          <a:latin typeface="Helvetica" panose="020B0604020202020204" pitchFamily="34" charset="0"/>
          <a:cs typeface="Helvetica" panose="020B0604020202020204" pitchFamily="34"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pPr>
            <a:r>
              <a:rPr lang="en-US" sz="1400"/>
              <a:t>Reel GSYH Büyüme Oranı</a:t>
            </a:r>
          </a:p>
        </c:rich>
      </c:tx>
      <c:overlay val="0"/>
    </c:title>
    <c:autoTitleDeleted val="0"/>
    <c:plotArea>
      <c:layout>
        <c:manualLayout>
          <c:layoutTarget val="inner"/>
          <c:xMode val="edge"/>
          <c:yMode val="edge"/>
          <c:x val="6.6814725082441753E-2"/>
          <c:y val="0.13302025166317297"/>
          <c:w val="0.89624170896628996"/>
          <c:h val="0.8322295029401573"/>
        </c:manualLayout>
      </c:layout>
      <c:lineChart>
        <c:grouping val="standard"/>
        <c:varyColors val="0"/>
        <c:ser>
          <c:idx val="0"/>
          <c:order val="0"/>
          <c:tx>
            <c:v>Reel GSYH büyüme oranı (yıllık % değişme)</c:v>
          </c:tx>
          <c:spPr>
            <a:ln w="38100">
              <a:solidFill>
                <a:srgbClr val="114D97"/>
              </a:solidFill>
              <a:prstDash val="solid"/>
            </a:ln>
            <a:effectLst/>
          </c:spPr>
          <c:marker>
            <c:symbol val="none"/>
          </c:marker>
          <c:trendline>
            <c:spPr>
              <a:ln>
                <a:solidFill>
                  <a:srgbClr val="787878"/>
                </a:solidFill>
                <a:prstDash val="sysDash"/>
              </a:ln>
            </c:spPr>
            <c:trendlineType val="linear"/>
            <c:dispRSqr val="0"/>
            <c:dispEq val="0"/>
          </c:trendline>
          <c:trendline>
            <c:trendlineType val="linear"/>
            <c:dispRSqr val="0"/>
            <c:dispEq val="0"/>
          </c:trendline>
          <c:cat>
            <c:strRef>
              <c:f>'1c. Büyümeye Katkı'!$A$33:$A$104</c:f>
              <c:strCache>
                <c:ptCount val="72"/>
                <c:pt idx="0">
                  <c:v>Q1-1998</c:v>
                </c:pt>
                <c:pt idx="1">
                  <c:v>Q2-1998</c:v>
                </c:pt>
                <c:pt idx="2">
                  <c:v>Q3-1998</c:v>
                </c:pt>
                <c:pt idx="3">
                  <c:v>Q4-1998</c:v>
                </c:pt>
                <c:pt idx="4">
                  <c:v>Q1-1999</c:v>
                </c:pt>
                <c:pt idx="5">
                  <c:v>Q2-1999</c:v>
                </c:pt>
                <c:pt idx="6">
                  <c:v>Q3-1999</c:v>
                </c:pt>
                <c:pt idx="7">
                  <c:v>Q4-1999</c:v>
                </c:pt>
                <c:pt idx="8">
                  <c:v>Q1-2000</c:v>
                </c:pt>
                <c:pt idx="9">
                  <c:v>Q2-2000</c:v>
                </c:pt>
                <c:pt idx="10">
                  <c:v>Q3-2000</c:v>
                </c:pt>
                <c:pt idx="11">
                  <c:v>Q4-2000</c:v>
                </c:pt>
                <c:pt idx="12">
                  <c:v>Q1-2001</c:v>
                </c:pt>
                <c:pt idx="13">
                  <c:v>Q2-2001</c:v>
                </c:pt>
                <c:pt idx="14">
                  <c:v>Q3-2001</c:v>
                </c:pt>
                <c:pt idx="15">
                  <c:v>Q4-2001</c:v>
                </c:pt>
                <c:pt idx="16">
                  <c:v>Q1-2002</c:v>
                </c:pt>
                <c:pt idx="17">
                  <c:v>Q2-2002</c:v>
                </c:pt>
                <c:pt idx="18">
                  <c:v>Q3-2002</c:v>
                </c:pt>
                <c:pt idx="19">
                  <c:v>Q4-2002</c:v>
                </c:pt>
                <c:pt idx="20">
                  <c:v>Q1-2003</c:v>
                </c:pt>
                <c:pt idx="21">
                  <c:v>Q2-2003</c:v>
                </c:pt>
                <c:pt idx="22">
                  <c:v>Q3-2003</c:v>
                </c:pt>
                <c:pt idx="23">
                  <c:v>Q4-2003</c:v>
                </c:pt>
                <c:pt idx="24">
                  <c:v>Q1-2004</c:v>
                </c:pt>
                <c:pt idx="25">
                  <c:v>Q2-2004</c:v>
                </c:pt>
                <c:pt idx="26">
                  <c:v>Q3-2004</c:v>
                </c:pt>
                <c:pt idx="27">
                  <c:v>Q4-2004</c:v>
                </c:pt>
                <c:pt idx="28">
                  <c:v>Q1-2005</c:v>
                </c:pt>
                <c:pt idx="29">
                  <c:v>Q2-2005</c:v>
                </c:pt>
                <c:pt idx="30">
                  <c:v>Q3-2005</c:v>
                </c:pt>
                <c:pt idx="31">
                  <c:v>Q4-2005</c:v>
                </c:pt>
                <c:pt idx="32">
                  <c:v>Q1-2006</c:v>
                </c:pt>
                <c:pt idx="33">
                  <c:v>Q2-2006</c:v>
                </c:pt>
                <c:pt idx="34">
                  <c:v>Q3-2006</c:v>
                </c:pt>
                <c:pt idx="35">
                  <c:v>Q4-2006</c:v>
                </c:pt>
                <c:pt idx="36">
                  <c:v>Q1-2007</c:v>
                </c:pt>
                <c:pt idx="37">
                  <c:v>Q2-2007</c:v>
                </c:pt>
                <c:pt idx="38">
                  <c:v>Q3-2007</c:v>
                </c:pt>
                <c:pt idx="39">
                  <c:v>Q4-2007</c:v>
                </c:pt>
                <c:pt idx="40">
                  <c:v>Q1-2008</c:v>
                </c:pt>
                <c:pt idx="41">
                  <c:v>Q2-2008</c:v>
                </c:pt>
                <c:pt idx="42">
                  <c:v>Q3-2008</c:v>
                </c:pt>
                <c:pt idx="43">
                  <c:v>Q4-2008</c:v>
                </c:pt>
                <c:pt idx="44">
                  <c:v>Q1-2009</c:v>
                </c:pt>
                <c:pt idx="45">
                  <c:v>Q2-2009</c:v>
                </c:pt>
                <c:pt idx="46">
                  <c:v>Q3-2009</c:v>
                </c:pt>
                <c:pt idx="47">
                  <c:v>Q4-2009</c:v>
                </c:pt>
                <c:pt idx="48">
                  <c:v>Q1-2010</c:v>
                </c:pt>
                <c:pt idx="49">
                  <c:v>Q2-2010</c:v>
                </c:pt>
                <c:pt idx="50">
                  <c:v>Q3-2010</c:v>
                </c:pt>
                <c:pt idx="51">
                  <c:v>Q4-2010</c:v>
                </c:pt>
                <c:pt idx="52">
                  <c:v>Q1-2011</c:v>
                </c:pt>
                <c:pt idx="53">
                  <c:v>Q2-2011</c:v>
                </c:pt>
                <c:pt idx="54">
                  <c:v>Q3-2011</c:v>
                </c:pt>
                <c:pt idx="55">
                  <c:v>Q4-2011</c:v>
                </c:pt>
                <c:pt idx="56">
                  <c:v>Q1-2012</c:v>
                </c:pt>
                <c:pt idx="57">
                  <c:v>Q2-2012</c:v>
                </c:pt>
                <c:pt idx="58">
                  <c:v>Q3-2012</c:v>
                </c:pt>
                <c:pt idx="59">
                  <c:v>Q4-2012</c:v>
                </c:pt>
                <c:pt idx="60">
                  <c:v>Q1-2013</c:v>
                </c:pt>
                <c:pt idx="61">
                  <c:v>Q2-2013</c:v>
                </c:pt>
                <c:pt idx="62">
                  <c:v>Q3-2013</c:v>
                </c:pt>
                <c:pt idx="63">
                  <c:v>Q4-2013</c:v>
                </c:pt>
                <c:pt idx="64">
                  <c:v>Q1-2014</c:v>
                </c:pt>
                <c:pt idx="65">
                  <c:v>Q2-2014</c:v>
                </c:pt>
                <c:pt idx="66">
                  <c:v>Q3-2014</c:v>
                </c:pt>
                <c:pt idx="67">
                  <c:v>Q4-2014</c:v>
                </c:pt>
                <c:pt idx="68">
                  <c:v>Q1-2015</c:v>
                </c:pt>
                <c:pt idx="69">
                  <c:v>Q2-2015</c:v>
                </c:pt>
                <c:pt idx="70">
                  <c:v>Q3-2015</c:v>
                </c:pt>
                <c:pt idx="71">
                  <c:v>Q4-2015</c:v>
                </c:pt>
              </c:strCache>
            </c:strRef>
          </c:cat>
          <c:val>
            <c:numRef>
              <c:f>'1c. Büyümeye Katkı'!$R$33:$R$104</c:f>
              <c:numCache>
                <c:formatCode>General</c:formatCode>
                <c:ptCount val="72"/>
                <c:pt idx="44" formatCode="0.0">
                  <c:v>-39.33784275285791</c:v>
                </c:pt>
                <c:pt idx="45" formatCode="0.0">
                  <c:v>-9.7032802357559298</c:v>
                </c:pt>
                <c:pt idx="46" formatCode="0.0">
                  <c:v>-23.686164665991406</c:v>
                </c:pt>
                <c:pt idx="47" formatCode="0.0">
                  <c:v>-33.039401101924426</c:v>
                </c:pt>
                <c:pt idx="48" formatCode="0.0">
                  <c:v>-39.33784275285791</c:v>
                </c:pt>
                <c:pt idx="49" formatCode="0.0">
                  <c:v>-42.962474336610391</c:v>
                </c:pt>
                <c:pt idx="50" formatCode="0.0">
                  <c:v>-29.037844867043294</c:v>
                </c:pt>
                <c:pt idx="51" formatCode="0.0">
                  <c:v>4.6262179422323468</c:v>
                </c:pt>
                <c:pt idx="52" formatCode="0.0">
                  <c:v>42.227289899557533</c:v>
                </c:pt>
                <c:pt idx="53" formatCode="0.0">
                  <c:v>106.89043934349165</c:v>
                </c:pt>
                <c:pt idx="54" formatCode="0.0">
                  <c:v>104.46563748559674</c:v>
                </c:pt>
                <c:pt idx="55" formatCode="0.0">
                  <c:v>69.066449615716905</c:v>
                </c:pt>
                <c:pt idx="56" formatCode="0.0">
                  <c:v>36.608588072389026</c:v>
                </c:pt>
                <c:pt idx="57" formatCode="0.0">
                  <c:v>3.8429216417297907</c:v>
                </c:pt>
                <c:pt idx="58" formatCode="0.0">
                  <c:v>-1.0773818226396226</c:v>
                </c:pt>
                <c:pt idx="59" formatCode="0.0">
                  <c:v>-9.9484210572620242</c:v>
                </c:pt>
                <c:pt idx="60" formatCode="0.0">
                  <c:v>42.097164218580829</c:v>
                </c:pt>
                <c:pt idx="61" formatCode="0.0">
                  <c:v>30.213711978470958</c:v>
                </c:pt>
                <c:pt idx="62" formatCode="0.0">
                  <c:v>37.302656903252007</c:v>
                </c:pt>
                <c:pt idx="63" formatCode="0.0">
                  <c:v>20.496616960802893</c:v>
                </c:pt>
                <c:pt idx="64" formatCode="0.0">
                  <c:v>6.5046808421431512</c:v>
                </c:pt>
                <c:pt idx="65" formatCode="0.0">
                  <c:v>23.409499612369157</c:v>
                </c:pt>
                <c:pt idx="66" formatCode="0.0">
                  <c:v>28.089123681022055</c:v>
                </c:pt>
                <c:pt idx="67" formatCode="0.0">
                  <c:v>49.678138783460724</c:v>
                </c:pt>
                <c:pt idx="68" formatCode="0.0">
                  <c:v>35.293448376742198</c:v>
                </c:pt>
                <c:pt idx="69" formatCode="0.0">
                  <c:v>22.113187762561726</c:v>
                </c:pt>
                <c:pt idx="70" formatCode="0.0">
                  <c:v>6.3735728415500681</c:v>
                </c:pt>
                <c:pt idx="71" formatCode="0.0">
                  <c:v>-100</c:v>
                </c:pt>
              </c:numCache>
            </c:numRef>
          </c:val>
          <c:smooth val="0"/>
          <c:extLst>
            <c:ext xmlns:c16="http://schemas.microsoft.com/office/drawing/2014/chart" uri="{C3380CC4-5D6E-409C-BE32-E72D297353CC}">
              <c16:uniqueId val="{00000002-3D65-437E-AC34-CAC357A5998F}"/>
            </c:ext>
          </c:extLst>
        </c:ser>
        <c:dLbls>
          <c:showLegendKey val="0"/>
          <c:showVal val="0"/>
          <c:showCatName val="0"/>
          <c:showSerName val="0"/>
          <c:showPercent val="0"/>
          <c:showBubbleSize val="0"/>
        </c:dLbls>
        <c:smooth val="0"/>
        <c:axId val="1537140384"/>
        <c:axId val="1537137664"/>
      </c:lineChart>
      <c:catAx>
        <c:axId val="1537140384"/>
        <c:scaling>
          <c:orientation val="minMax"/>
        </c:scaling>
        <c:delete val="0"/>
        <c:axPos val="b"/>
        <c:numFmt formatCode="General" sourceLinked="0"/>
        <c:majorTickMark val="in"/>
        <c:minorTickMark val="none"/>
        <c:tickLblPos val="low"/>
        <c:spPr>
          <a:ln w="3175">
            <a:solidFill>
              <a:srgbClr val="B3B3B3"/>
            </a:solidFill>
            <a:prstDash val="solid"/>
          </a:ln>
        </c:spPr>
        <c:crossAx val="1537137664"/>
        <c:crosses val="autoZero"/>
        <c:auto val="1"/>
        <c:lblAlgn val="ctr"/>
        <c:lblOffset val="100"/>
        <c:tickLblSkip val="8"/>
        <c:tickMarkSkip val="4"/>
        <c:noMultiLvlLbl val="0"/>
      </c:catAx>
      <c:valAx>
        <c:axId val="1537137664"/>
        <c:scaling>
          <c:orientation val="minMax"/>
        </c:scaling>
        <c:delete val="0"/>
        <c:axPos val="l"/>
        <c:numFmt formatCode="0" sourceLinked="0"/>
        <c:majorTickMark val="in"/>
        <c:minorTickMark val="none"/>
        <c:tickLblPos val="nextTo"/>
        <c:spPr>
          <a:ln w="3175">
            <a:solidFill>
              <a:srgbClr val="B3B3B3"/>
            </a:solidFill>
            <a:prstDash val="solid"/>
          </a:ln>
        </c:spPr>
        <c:crossAx val="1537140384"/>
        <c:crosses val="autoZero"/>
        <c:crossBetween val="between"/>
      </c:valAx>
      <c:spPr>
        <a:solidFill>
          <a:srgbClr val="FFFFFF"/>
        </a:solidFill>
        <a:ln w="3175">
          <a:noFill/>
          <a:prstDash val="solid"/>
        </a:ln>
      </c:spPr>
    </c:plotArea>
    <c:legend>
      <c:legendPos val="r"/>
      <c:layout>
        <c:manualLayout>
          <c:xMode val="edge"/>
          <c:yMode val="edge"/>
          <c:x val="0.15264893425544598"/>
          <c:y val="8.1623598832773356E-2"/>
          <c:w val="0.71736746217634628"/>
          <c:h val="8.1730375916183123E-2"/>
        </c:manualLayout>
      </c:layout>
      <c:overlay val="0"/>
      <c:txPr>
        <a:bodyPr/>
        <a:lstStyle/>
        <a:p>
          <a:pPr>
            <a:defRPr sz="1200"/>
          </a:pPr>
          <a:endParaRPr lang="en-US"/>
        </a:p>
      </c:txPr>
    </c:legend>
    <c:plotVisOnly val="1"/>
    <c:dispBlanksAs val="gap"/>
    <c:showDLblsOverMax val="0"/>
  </c:chart>
  <c:spPr>
    <a:ln w="9525">
      <a:noFill/>
    </a:ln>
  </c:spPr>
  <c:txPr>
    <a:bodyPr/>
    <a:lstStyle/>
    <a:p>
      <a:pPr>
        <a:defRPr>
          <a:solidFill>
            <a:schemeClr val="tx1"/>
          </a:solidFill>
          <a:latin typeface="Helvetica" panose="020B0604020202020204" pitchFamily="34" charset="0"/>
          <a:cs typeface="Helvetica" panose="020B0604020202020204" pitchFamily="34"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tr-TR"/>
              <a:t>AD-AS</a:t>
            </a:r>
            <a:r>
              <a:rPr lang="tr-TR" baseline="0"/>
              <a:t> GRAFİĞİ COVİD</a:t>
            </a:r>
            <a:endParaRPr lang="tr-T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manualLayout>
          <c:layoutTarget val="inner"/>
          <c:xMode val="edge"/>
          <c:yMode val="edge"/>
          <c:x val="9.5819845435987164E-2"/>
          <c:y val="0.2220838020247469"/>
          <c:w val="0.88334682123067954"/>
          <c:h val="0.59068085239345081"/>
        </c:manualLayout>
      </c:layout>
      <c:lineChart>
        <c:grouping val="standard"/>
        <c:varyColors val="0"/>
        <c:ser>
          <c:idx val="0"/>
          <c:order val="0"/>
          <c:tx>
            <c:strRef>
              <c:f>Sheet1!$B$1</c:f>
              <c:strCache>
                <c:ptCount val="1"/>
                <c:pt idx="0">
                  <c:v>AS</c:v>
                </c:pt>
              </c:strCache>
            </c:strRef>
          </c:tx>
          <c:spPr>
            <a:ln w="22225" cap="rnd">
              <a:solidFill>
                <a:schemeClr val="accent1"/>
              </a:solidFill>
            </a:ln>
            <a:effectLst>
              <a:glow rad="139700">
                <a:schemeClr val="accent1">
                  <a:satMod val="175000"/>
                  <a:alpha val="14000"/>
                </a:schemeClr>
              </a:glow>
            </a:effectLst>
          </c:spPr>
          <c:marker>
            <c:symbol val="none"/>
          </c:marker>
          <c:dLbls>
            <c:delete val="1"/>
          </c:dLbls>
          <c:cat>
            <c:strRef>
              <c:f>Sheet1!$A$2:$A$5</c:f>
              <c:strCache>
                <c:ptCount val="4"/>
                <c:pt idx="0">
                  <c:v>Kategori 1</c:v>
                </c:pt>
                <c:pt idx="1">
                  <c:v>Kategori 2</c:v>
                </c:pt>
                <c:pt idx="2">
                  <c:v>Kategori 3</c:v>
                </c:pt>
                <c:pt idx="3">
                  <c:v>Kategori 4</c:v>
                </c:pt>
              </c:strCache>
            </c:strRef>
          </c:cat>
          <c:val>
            <c:numRef>
              <c:f>Sheet1!$B$2:$B$5</c:f>
              <c:numCache>
                <c:formatCode>General</c:formatCode>
                <c:ptCount val="4"/>
                <c:pt idx="0">
                  <c:v>1</c:v>
                </c:pt>
                <c:pt idx="1">
                  <c:v>2</c:v>
                </c:pt>
                <c:pt idx="2">
                  <c:v>3</c:v>
                </c:pt>
                <c:pt idx="3">
                  <c:v>4</c:v>
                </c:pt>
              </c:numCache>
            </c:numRef>
          </c:val>
          <c:smooth val="0"/>
          <c:extLst>
            <c:ext xmlns:c16="http://schemas.microsoft.com/office/drawing/2014/chart" uri="{C3380CC4-5D6E-409C-BE32-E72D297353CC}">
              <c16:uniqueId val="{00000000-3A5D-4E03-A65F-67E5FCA47ECC}"/>
            </c:ext>
          </c:extLst>
        </c:ser>
        <c:ser>
          <c:idx val="1"/>
          <c:order val="1"/>
          <c:tx>
            <c:strRef>
              <c:f>Sheet1!$C$1</c:f>
              <c:strCache>
                <c:ptCount val="1"/>
                <c:pt idx="0">
                  <c:v>AD 2</c:v>
                </c:pt>
              </c:strCache>
            </c:strRef>
          </c:tx>
          <c:spPr>
            <a:ln w="22225" cap="rnd">
              <a:solidFill>
                <a:schemeClr val="accent2"/>
              </a:solidFill>
            </a:ln>
            <a:effectLst>
              <a:glow rad="139700">
                <a:schemeClr val="accent2">
                  <a:satMod val="175000"/>
                  <a:alpha val="14000"/>
                </a:schemeClr>
              </a:glow>
            </a:effectLst>
          </c:spPr>
          <c:marker>
            <c:symbol val="none"/>
          </c:marker>
          <c:dLbls>
            <c:delete val="1"/>
          </c:dLbls>
          <c:cat>
            <c:strRef>
              <c:f>Sheet1!$A$2:$A$5</c:f>
              <c:strCache>
                <c:ptCount val="4"/>
                <c:pt idx="0">
                  <c:v>Kategori 1</c:v>
                </c:pt>
                <c:pt idx="1">
                  <c:v>Kategori 2</c:v>
                </c:pt>
                <c:pt idx="2">
                  <c:v>Kategori 3</c:v>
                </c:pt>
                <c:pt idx="3">
                  <c:v>Kategori 4</c:v>
                </c:pt>
              </c:strCache>
            </c:strRef>
          </c:cat>
          <c:val>
            <c:numRef>
              <c:f>Sheet1!$C$2:$C$5</c:f>
              <c:numCache>
                <c:formatCode>General</c:formatCode>
                <c:ptCount val="4"/>
                <c:pt idx="0">
                  <c:v>3</c:v>
                </c:pt>
                <c:pt idx="1">
                  <c:v>2</c:v>
                </c:pt>
                <c:pt idx="2">
                  <c:v>1</c:v>
                </c:pt>
                <c:pt idx="3">
                  <c:v>0</c:v>
                </c:pt>
              </c:numCache>
            </c:numRef>
          </c:val>
          <c:smooth val="0"/>
          <c:extLst>
            <c:ext xmlns:c16="http://schemas.microsoft.com/office/drawing/2014/chart" uri="{C3380CC4-5D6E-409C-BE32-E72D297353CC}">
              <c16:uniqueId val="{00000001-3A5D-4E03-A65F-67E5FCA47ECC}"/>
            </c:ext>
          </c:extLst>
        </c:ser>
        <c:ser>
          <c:idx val="3"/>
          <c:order val="2"/>
          <c:tx>
            <c:strRef>
              <c:f>Sheet1!$E$1</c:f>
              <c:strCache>
                <c:ptCount val="1"/>
                <c:pt idx="0">
                  <c:v>AD</c:v>
                </c:pt>
              </c:strCache>
            </c:strRef>
          </c:tx>
          <c:spPr>
            <a:ln w="22225" cap="rnd">
              <a:solidFill>
                <a:schemeClr val="accent4"/>
              </a:solidFill>
            </a:ln>
            <a:effectLst>
              <a:glow rad="139700">
                <a:schemeClr val="accent4">
                  <a:satMod val="175000"/>
                  <a:alpha val="14000"/>
                </a:schemeClr>
              </a:glow>
            </a:effectLst>
          </c:spPr>
          <c:marker>
            <c:symbol val="none"/>
          </c:marker>
          <c:dLbls>
            <c:delete val="1"/>
          </c:dLbls>
          <c:cat>
            <c:strRef>
              <c:f>Sheet1!$A$2:$A$5</c:f>
              <c:strCache>
                <c:ptCount val="4"/>
                <c:pt idx="0">
                  <c:v>Kategori 1</c:v>
                </c:pt>
                <c:pt idx="1">
                  <c:v>Kategori 2</c:v>
                </c:pt>
                <c:pt idx="2">
                  <c:v>Kategori 3</c:v>
                </c:pt>
                <c:pt idx="3">
                  <c:v>Kategori 4</c:v>
                </c:pt>
              </c:strCache>
            </c:strRef>
          </c:cat>
          <c:val>
            <c:numRef>
              <c:f>Sheet1!$E$2:$E$5</c:f>
              <c:numCache>
                <c:formatCode>General</c:formatCode>
                <c:ptCount val="4"/>
                <c:pt idx="0">
                  <c:v>5</c:v>
                </c:pt>
                <c:pt idx="1">
                  <c:v>4</c:v>
                </c:pt>
                <c:pt idx="2">
                  <c:v>3</c:v>
                </c:pt>
                <c:pt idx="3">
                  <c:v>2</c:v>
                </c:pt>
              </c:numCache>
            </c:numRef>
          </c:val>
          <c:smooth val="0"/>
          <c:extLst>
            <c:ext xmlns:c16="http://schemas.microsoft.com/office/drawing/2014/chart" uri="{C3380CC4-5D6E-409C-BE32-E72D297353CC}">
              <c16:uniqueId val="{00000002-3A5D-4E03-A65F-67E5FCA47ECC}"/>
            </c:ext>
          </c:extLst>
        </c:ser>
        <c:dLbls>
          <c:dLblPos val="t"/>
          <c:showLegendKey val="0"/>
          <c:showVal val="1"/>
          <c:showCatName val="0"/>
          <c:showSerName val="0"/>
          <c:showPercent val="0"/>
          <c:showBubbleSize val="0"/>
        </c:dLbls>
        <c:smooth val="0"/>
        <c:axId val="1219710896"/>
        <c:axId val="1353675936"/>
      </c:lineChart>
      <c:catAx>
        <c:axId val="1219710896"/>
        <c:scaling>
          <c:orientation val="minMax"/>
        </c:scaling>
        <c:delete val="1"/>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GELİR</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out"/>
        <c:minorTickMark val="none"/>
        <c:tickLblPos val="nextTo"/>
        <c:crossAx val="1353675936"/>
        <c:crosses val="autoZero"/>
        <c:auto val="1"/>
        <c:lblAlgn val="ctr"/>
        <c:lblOffset val="100"/>
        <c:noMultiLvlLbl val="0"/>
      </c:catAx>
      <c:valAx>
        <c:axId val="1353675936"/>
        <c:scaling>
          <c:orientation val="minMax"/>
        </c:scaling>
        <c:delete val="1"/>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tr-TR"/>
                  <a:t>FİYAT</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out"/>
        <c:minorTickMark val="none"/>
        <c:tickLblPos val="nextTo"/>
        <c:crossAx val="1219710896"/>
        <c:crosses val="autoZero"/>
        <c:crossBetween val="between"/>
      </c:valAx>
      <c:spPr>
        <a:noFill/>
        <a:ln>
          <a:noFill/>
        </a:ln>
        <a:effectLst/>
      </c:spPr>
    </c:plotArea>
    <c:legend>
      <c:legendPos val="t"/>
      <c:layout>
        <c:manualLayout>
          <c:xMode val="edge"/>
          <c:yMode val="edge"/>
          <c:x val="0.31493693496646252"/>
          <c:y val="0.12734126984126984"/>
          <c:w val="0.47429261446485854"/>
          <c:h val="6.696475440569928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pPr>
            <a:r>
              <a:rPr lang="en-US" sz="1400"/>
              <a:t>GSYH Büyüme Oranı ve Kamu ve Özel Yatırımların Büyümeye Katkısı</a:t>
            </a:r>
          </a:p>
        </c:rich>
      </c:tx>
      <c:layout>
        <c:manualLayout>
          <c:xMode val="edge"/>
          <c:yMode val="edge"/>
          <c:x val="0.12487866100070824"/>
          <c:y val="2.2792022792022793E-2"/>
        </c:manualLayout>
      </c:layout>
      <c:overlay val="0"/>
    </c:title>
    <c:autoTitleDeleted val="0"/>
    <c:plotArea>
      <c:layout>
        <c:manualLayout>
          <c:layoutTarget val="inner"/>
          <c:xMode val="edge"/>
          <c:yMode val="edge"/>
          <c:x val="4.9405453056068568E-2"/>
          <c:y val="0.19661662707564243"/>
          <c:w val="0.9175588178589591"/>
          <c:h val="0.74664861739291899"/>
        </c:manualLayout>
      </c:layout>
      <c:barChart>
        <c:barDir val="col"/>
        <c:grouping val="stacked"/>
        <c:varyColors val="0"/>
        <c:ser>
          <c:idx val="1"/>
          <c:order val="1"/>
          <c:tx>
            <c:strRef>
              <c:f>'1c. Büyümeye Katkı'!$V$12</c:f>
              <c:strCache>
                <c:ptCount val="1"/>
                <c:pt idx="0">
                  <c:v>Kamu Yatırımının (Ig) Büyümeye Katkısı</c:v>
                </c:pt>
              </c:strCache>
            </c:strRef>
          </c:tx>
          <c:spPr>
            <a:solidFill>
              <a:srgbClr val="98252B"/>
            </a:solidFill>
            <a:ln w="0">
              <a:noFill/>
              <a:prstDash val="solid"/>
            </a:ln>
            <a:effectLst/>
          </c:spPr>
          <c:invertIfNegative val="0"/>
          <c:cat>
            <c:strRef>
              <c:f>'1c. Büyümeye Katkı'!$A$33:$A$104</c:f>
              <c:strCache>
                <c:ptCount val="72"/>
                <c:pt idx="0">
                  <c:v>Q1-1998</c:v>
                </c:pt>
                <c:pt idx="1">
                  <c:v>Q2-1998</c:v>
                </c:pt>
                <c:pt idx="2">
                  <c:v>Q3-1998</c:v>
                </c:pt>
                <c:pt idx="3">
                  <c:v>Q4-1998</c:v>
                </c:pt>
                <c:pt idx="4">
                  <c:v>Q1-1999</c:v>
                </c:pt>
                <c:pt idx="5">
                  <c:v>Q2-1999</c:v>
                </c:pt>
                <c:pt idx="6">
                  <c:v>Q3-1999</c:v>
                </c:pt>
                <c:pt idx="7">
                  <c:v>Q4-1999</c:v>
                </c:pt>
                <c:pt idx="8">
                  <c:v>Q1-2000</c:v>
                </c:pt>
                <c:pt idx="9">
                  <c:v>Q2-2000</c:v>
                </c:pt>
                <c:pt idx="10">
                  <c:v>Q3-2000</c:v>
                </c:pt>
                <c:pt idx="11">
                  <c:v>Q4-2000</c:v>
                </c:pt>
                <c:pt idx="12">
                  <c:v>Q1-2001</c:v>
                </c:pt>
                <c:pt idx="13">
                  <c:v>Q2-2001</c:v>
                </c:pt>
                <c:pt idx="14">
                  <c:v>Q3-2001</c:v>
                </c:pt>
                <c:pt idx="15">
                  <c:v>Q4-2001</c:v>
                </c:pt>
                <c:pt idx="16">
                  <c:v>Q1-2002</c:v>
                </c:pt>
                <c:pt idx="17">
                  <c:v>Q2-2002</c:v>
                </c:pt>
                <c:pt idx="18">
                  <c:v>Q3-2002</c:v>
                </c:pt>
                <c:pt idx="19">
                  <c:v>Q4-2002</c:v>
                </c:pt>
                <c:pt idx="20">
                  <c:v>Q1-2003</c:v>
                </c:pt>
                <c:pt idx="21">
                  <c:v>Q2-2003</c:v>
                </c:pt>
                <c:pt idx="22">
                  <c:v>Q3-2003</c:v>
                </c:pt>
                <c:pt idx="23">
                  <c:v>Q4-2003</c:v>
                </c:pt>
                <c:pt idx="24">
                  <c:v>Q1-2004</c:v>
                </c:pt>
                <c:pt idx="25">
                  <c:v>Q2-2004</c:v>
                </c:pt>
                <c:pt idx="26">
                  <c:v>Q3-2004</c:v>
                </c:pt>
                <c:pt idx="27">
                  <c:v>Q4-2004</c:v>
                </c:pt>
                <c:pt idx="28">
                  <c:v>Q1-2005</c:v>
                </c:pt>
                <c:pt idx="29">
                  <c:v>Q2-2005</c:v>
                </c:pt>
                <c:pt idx="30">
                  <c:v>Q3-2005</c:v>
                </c:pt>
                <c:pt idx="31">
                  <c:v>Q4-2005</c:v>
                </c:pt>
                <c:pt idx="32">
                  <c:v>Q1-2006</c:v>
                </c:pt>
                <c:pt idx="33">
                  <c:v>Q2-2006</c:v>
                </c:pt>
                <c:pt idx="34">
                  <c:v>Q3-2006</c:v>
                </c:pt>
                <c:pt idx="35">
                  <c:v>Q4-2006</c:v>
                </c:pt>
                <c:pt idx="36">
                  <c:v>Q1-2007</c:v>
                </c:pt>
                <c:pt idx="37">
                  <c:v>Q2-2007</c:v>
                </c:pt>
                <c:pt idx="38">
                  <c:v>Q3-2007</c:v>
                </c:pt>
                <c:pt idx="39">
                  <c:v>Q4-2007</c:v>
                </c:pt>
                <c:pt idx="40">
                  <c:v>Q1-2008</c:v>
                </c:pt>
                <c:pt idx="41">
                  <c:v>Q2-2008</c:v>
                </c:pt>
                <c:pt idx="42">
                  <c:v>Q3-2008</c:v>
                </c:pt>
                <c:pt idx="43">
                  <c:v>Q4-2008</c:v>
                </c:pt>
                <c:pt idx="44">
                  <c:v>Q1-2009</c:v>
                </c:pt>
                <c:pt idx="45">
                  <c:v>Q2-2009</c:v>
                </c:pt>
                <c:pt idx="46">
                  <c:v>Q3-2009</c:v>
                </c:pt>
                <c:pt idx="47">
                  <c:v>Q4-2009</c:v>
                </c:pt>
                <c:pt idx="48">
                  <c:v>Q1-2010</c:v>
                </c:pt>
                <c:pt idx="49">
                  <c:v>Q2-2010</c:v>
                </c:pt>
                <c:pt idx="50">
                  <c:v>Q3-2010</c:v>
                </c:pt>
                <c:pt idx="51">
                  <c:v>Q4-2010</c:v>
                </c:pt>
                <c:pt idx="52">
                  <c:v>Q1-2011</c:v>
                </c:pt>
                <c:pt idx="53">
                  <c:v>Q2-2011</c:v>
                </c:pt>
                <c:pt idx="54">
                  <c:v>Q3-2011</c:v>
                </c:pt>
                <c:pt idx="55">
                  <c:v>Q4-2011</c:v>
                </c:pt>
                <c:pt idx="56">
                  <c:v>Q1-2012</c:v>
                </c:pt>
                <c:pt idx="57">
                  <c:v>Q2-2012</c:v>
                </c:pt>
                <c:pt idx="58">
                  <c:v>Q3-2012</c:v>
                </c:pt>
                <c:pt idx="59">
                  <c:v>Q4-2012</c:v>
                </c:pt>
                <c:pt idx="60">
                  <c:v>Q1-2013</c:v>
                </c:pt>
                <c:pt idx="61">
                  <c:v>Q2-2013</c:v>
                </c:pt>
                <c:pt idx="62">
                  <c:v>Q3-2013</c:v>
                </c:pt>
                <c:pt idx="63">
                  <c:v>Q4-2013</c:v>
                </c:pt>
                <c:pt idx="64">
                  <c:v>Q1-2014</c:v>
                </c:pt>
                <c:pt idx="65">
                  <c:v>Q2-2014</c:v>
                </c:pt>
                <c:pt idx="66">
                  <c:v>Q3-2014</c:v>
                </c:pt>
                <c:pt idx="67">
                  <c:v>Q4-2014</c:v>
                </c:pt>
                <c:pt idx="68">
                  <c:v>Q1-2015</c:v>
                </c:pt>
                <c:pt idx="69">
                  <c:v>Q2-2015</c:v>
                </c:pt>
                <c:pt idx="70">
                  <c:v>Q3-2015</c:v>
                </c:pt>
                <c:pt idx="71">
                  <c:v>Q4-2015</c:v>
                </c:pt>
              </c:strCache>
            </c:strRef>
          </c:cat>
          <c:val>
            <c:numRef>
              <c:f>'1c. Büyümeye Katkı'!$V$33:$V$104</c:f>
              <c:numCache>
                <c:formatCode>0.0</c:formatCode>
                <c:ptCount val="7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numCache>
            </c:numRef>
          </c:val>
          <c:extLst>
            <c:ext xmlns:c16="http://schemas.microsoft.com/office/drawing/2014/chart" uri="{C3380CC4-5D6E-409C-BE32-E72D297353CC}">
              <c16:uniqueId val="{00000000-93D2-473C-BFDC-4C66F7419BB2}"/>
            </c:ext>
          </c:extLst>
        </c:ser>
        <c:ser>
          <c:idx val="2"/>
          <c:order val="2"/>
          <c:tx>
            <c:strRef>
              <c:f>'1c. Büyümeye Katkı'!$W$12</c:f>
              <c:strCache>
                <c:ptCount val="1"/>
                <c:pt idx="0">
                  <c:v>Özel Yatırımın (Ip) Büyümeye Katkısı</c:v>
                </c:pt>
              </c:strCache>
            </c:strRef>
          </c:tx>
          <c:spPr>
            <a:solidFill>
              <a:srgbClr val="0090C1"/>
            </a:solidFill>
            <a:ln w="0">
              <a:noFill/>
              <a:prstDash val="solid"/>
            </a:ln>
            <a:effectLst/>
          </c:spPr>
          <c:invertIfNegative val="0"/>
          <c:cat>
            <c:strRef>
              <c:f>'1c. Büyümeye Katkı'!$A$33:$A$104</c:f>
              <c:strCache>
                <c:ptCount val="72"/>
                <c:pt idx="0">
                  <c:v>Q1-1998</c:v>
                </c:pt>
                <c:pt idx="1">
                  <c:v>Q2-1998</c:v>
                </c:pt>
                <c:pt idx="2">
                  <c:v>Q3-1998</c:v>
                </c:pt>
                <c:pt idx="3">
                  <c:v>Q4-1998</c:v>
                </c:pt>
                <c:pt idx="4">
                  <c:v>Q1-1999</c:v>
                </c:pt>
                <c:pt idx="5">
                  <c:v>Q2-1999</c:v>
                </c:pt>
                <c:pt idx="6">
                  <c:v>Q3-1999</c:v>
                </c:pt>
                <c:pt idx="7">
                  <c:v>Q4-1999</c:v>
                </c:pt>
                <c:pt idx="8">
                  <c:v>Q1-2000</c:v>
                </c:pt>
                <c:pt idx="9">
                  <c:v>Q2-2000</c:v>
                </c:pt>
                <c:pt idx="10">
                  <c:v>Q3-2000</c:v>
                </c:pt>
                <c:pt idx="11">
                  <c:v>Q4-2000</c:v>
                </c:pt>
                <c:pt idx="12">
                  <c:v>Q1-2001</c:v>
                </c:pt>
                <c:pt idx="13">
                  <c:v>Q2-2001</c:v>
                </c:pt>
                <c:pt idx="14">
                  <c:v>Q3-2001</c:v>
                </c:pt>
                <c:pt idx="15">
                  <c:v>Q4-2001</c:v>
                </c:pt>
                <c:pt idx="16">
                  <c:v>Q1-2002</c:v>
                </c:pt>
                <c:pt idx="17">
                  <c:v>Q2-2002</c:v>
                </c:pt>
                <c:pt idx="18">
                  <c:v>Q3-2002</c:v>
                </c:pt>
                <c:pt idx="19">
                  <c:v>Q4-2002</c:v>
                </c:pt>
                <c:pt idx="20">
                  <c:v>Q1-2003</c:v>
                </c:pt>
                <c:pt idx="21">
                  <c:v>Q2-2003</c:v>
                </c:pt>
                <c:pt idx="22">
                  <c:v>Q3-2003</c:v>
                </c:pt>
                <c:pt idx="23">
                  <c:v>Q4-2003</c:v>
                </c:pt>
                <c:pt idx="24">
                  <c:v>Q1-2004</c:v>
                </c:pt>
                <c:pt idx="25">
                  <c:v>Q2-2004</c:v>
                </c:pt>
                <c:pt idx="26">
                  <c:v>Q3-2004</c:v>
                </c:pt>
                <c:pt idx="27">
                  <c:v>Q4-2004</c:v>
                </c:pt>
                <c:pt idx="28">
                  <c:v>Q1-2005</c:v>
                </c:pt>
                <c:pt idx="29">
                  <c:v>Q2-2005</c:v>
                </c:pt>
                <c:pt idx="30">
                  <c:v>Q3-2005</c:v>
                </c:pt>
                <c:pt idx="31">
                  <c:v>Q4-2005</c:v>
                </c:pt>
                <c:pt idx="32">
                  <c:v>Q1-2006</c:v>
                </c:pt>
                <c:pt idx="33">
                  <c:v>Q2-2006</c:v>
                </c:pt>
                <c:pt idx="34">
                  <c:v>Q3-2006</c:v>
                </c:pt>
                <c:pt idx="35">
                  <c:v>Q4-2006</c:v>
                </c:pt>
                <c:pt idx="36">
                  <c:v>Q1-2007</c:v>
                </c:pt>
                <c:pt idx="37">
                  <c:v>Q2-2007</c:v>
                </c:pt>
                <c:pt idx="38">
                  <c:v>Q3-2007</c:v>
                </c:pt>
                <c:pt idx="39">
                  <c:v>Q4-2007</c:v>
                </c:pt>
                <c:pt idx="40">
                  <c:v>Q1-2008</c:v>
                </c:pt>
                <c:pt idx="41">
                  <c:v>Q2-2008</c:v>
                </c:pt>
                <c:pt idx="42">
                  <c:v>Q3-2008</c:v>
                </c:pt>
                <c:pt idx="43">
                  <c:v>Q4-2008</c:v>
                </c:pt>
                <c:pt idx="44">
                  <c:v>Q1-2009</c:v>
                </c:pt>
                <c:pt idx="45">
                  <c:v>Q2-2009</c:v>
                </c:pt>
                <c:pt idx="46">
                  <c:v>Q3-2009</c:v>
                </c:pt>
                <c:pt idx="47">
                  <c:v>Q4-2009</c:v>
                </c:pt>
                <c:pt idx="48">
                  <c:v>Q1-2010</c:v>
                </c:pt>
                <c:pt idx="49">
                  <c:v>Q2-2010</c:v>
                </c:pt>
                <c:pt idx="50">
                  <c:v>Q3-2010</c:v>
                </c:pt>
                <c:pt idx="51">
                  <c:v>Q4-2010</c:v>
                </c:pt>
                <c:pt idx="52">
                  <c:v>Q1-2011</c:v>
                </c:pt>
                <c:pt idx="53">
                  <c:v>Q2-2011</c:v>
                </c:pt>
                <c:pt idx="54">
                  <c:v>Q3-2011</c:v>
                </c:pt>
                <c:pt idx="55">
                  <c:v>Q4-2011</c:v>
                </c:pt>
                <c:pt idx="56">
                  <c:v>Q1-2012</c:v>
                </c:pt>
                <c:pt idx="57">
                  <c:v>Q2-2012</c:v>
                </c:pt>
                <c:pt idx="58">
                  <c:v>Q3-2012</c:v>
                </c:pt>
                <c:pt idx="59">
                  <c:v>Q4-2012</c:v>
                </c:pt>
                <c:pt idx="60">
                  <c:v>Q1-2013</c:v>
                </c:pt>
                <c:pt idx="61">
                  <c:v>Q2-2013</c:v>
                </c:pt>
                <c:pt idx="62">
                  <c:v>Q3-2013</c:v>
                </c:pt>
                <c:pt idx="63">
                  <c:v>Q4-2013</c:v>
                </c:pt>
                <c:pt idx="64">
                  <c:v>Q1-2014</c:v>
                </c:pt>
                <c:pt idx="65">
                  <c:v>Q2-2014</c:v>
                </c:pt>
                <c:pt idx="66">
                  <c:v>Q3-2014</c:v>
                </c:pt>
                <c:pt idx="67">
                  <c:v>Q4-2014</c:v>
                </c:pt>
                <c:pt idx="68">
                  <c:v>Q1-2015</c:v>
                </c:pt>
                <c:pt idx="69">
                  <c:v>Q2-2015</c:v>
                </c:pt>
                <c:pt idx="70">
                  <c:v>Q3-2015</c:v>
                </c:pt>
                <c:pt idx="71">
                  <c:v>Q4-2015</c:v>
                </c:pt>
              </c:strCache>
            </c:strRef>
          </c:cat>
          <c:val>
            <c:numRef>
              <c:f>'1c. Büyümeye Katkı'!$W$33:$W$104</c:f>
              <c:numCache>
                <c:formatCode>0.0</c:formatCode>
                <c:ptCount val="7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numCache>
            </c:numRef>
          </c:val>
          <c:extLst>
            <c:ext xmlns:c16="http://schemas.microsoft.com/office/drawing/2014/chart" uri="{C3380CC4-5D6E-409C-BE32-E72D297353CC}">
              <c16:uniqueId val="{00000001-93D2-473C-BFDC-4C66F7419BB2}"/>
            </c:ext>
          </c:extLst>
        </c:ser>
        <c:dLbls>
          <c:showLegendKey val="0"/>
          <c:showVal val="0"/>
          <c:showCatName val="0"/>
          <c:showSerName val="0"/>
          <c:showPercent val="0"/>
          <c:showBubbleSize val="0"/>
        </c:dLbls>
        <c:gapWidth val="150"/>
        <c:overlap val="100"/>
        <c:axId val="1538424320"/>
        <c:axId val="1538419968"/>
      </c:barChart>
      <c:lineChart>
        <c:grouping val="standard"/>
        <c:varyColors val="0"/>
        <c:ser>
          <c:idx val="0"/>
          <c:order val="0"/>
          <c:tx>
            <c:v>Reel GSYH büyüme oranı (yıllık % değişme)</c:v>
          </c:tx>
          <c:spPr>
            <a:ln w="25400">
              <a:solidFill>
                <a:srgbClr val="787878"/>
              </a:solidFill>
              <a:prstDash val="solid"/>
            </a:ln>
            <a:effectLst/>
          </c:spPr>
          <c:marker>
            <c:symbol val="none"/>
          </c:marker>
          <c:cat>
            <c:strRef>
              <c:f>'1c. Büyümeye Katkı'!$A$33:$A$104</c:f>
              <c:strCache>
                <c:ptCount val="72"/>
                <c:pt idx="0">
                  <c:v>Q1-1998</c:v>
                </c:pt>
                <c:pt idx="1">
                  <c:v>Q2-1998</c:v>
                </c:pt>
                <c:pt idx="2">
                  <c:v>Q3-1998</c:v>
                </c:pt>
                <c:pt idx="3">
                  <c:v>Q4-1998</c:v>
                </c:pt>
                <c:pt idx="4">
                  <c:v>Q1-1999</c:v>
                </c:pt>
                <c:pt idx="5">
                  <c:v>Q2-1999</c:v>
                </c:pt>
                <c:pt idx="6">
                  <c:v>Q3-1999</c:v>
                </c:pt>
                <c:pt idx="7">
                  <c:v>Q4-1999</c:v>
                </c:pt>
                <c:pt idx="8">
                  <c:v>Q1-2000</c:v>
                </c:pt>
                <c:pt idx="9">
                  <c:v>Q2-2000</c:v>
                </c:pt>
                <c:pt idx="10">
                  <c:v>Q3-2000</c:v>
                </c:pt>
                <c:pt idx="11">
                  <c:v>Q4-2000</c:v>
                </c:pt>
                <c:pt idx="12">
                  <c:v>Q1-2001</c:v>
                </c:pt>
                <c:pt idx="13">
                  <c:v>Q2-2001</c:v>
                </c:pt>
                <c:pt idx="14">
                  <c:v>Q3-2001</c:v>
                </c:pt>
                <c:pt idx="15">
                  <c:v>Q4-2001</c:v>
                </c:pt>
                <c:pt idx="16">
                  <c:v>Q1-2002</c:v>
                </c:pt>
                <c:pt idx="17">
                  <c:v>Q2-2002</c:v>
                </c:pt>
                <c:pt idx="18">
                  <c:v>Q3-2002</c:v>
                </c:pt>
                <c:pt idx="19">
                  <c:v>Q4-2002</c:v>
                </c:pt>
                <c:pt idx="20">
                  <c:v>Q1-2003</c:v>
                </c:pt>
                <c:pt idx="21">
                  <c:v>Q2-2003</c:v>
                </c:pt>
                <c:pt idx="22">
                  <c:v>Q3-2003</c:v>
                </c:pt>
                <c:pt idx="23">
                  <c:v>Q4-2003</c:v>
                </c:pt>
                <c:pt idx="24">
                  <c:v>Q1-2004</c:v>
                </c:pt>
                <c:pt idx="25">
                  <c:v>Q2-2004</c:v>
                </c:pt>
                <c:pt idx="26">
                  <c:v>Q3-2004</c:v>
                </c:pt>
                <c:pt idx="27">
                  <c:v>Q4-2004</c:v>
                </c:pt>
                <c:pt idx="28">
                  <c:v>Q1-2005</c:v>
                </c:pt>
                <c:pt idx="29">
                  <c:v>Q2-2005</c:v>
                </c:pt>
                <c:pt idx="30">
                  <c:v>Q3-2005</c:v>
                </c:pt>
                <c:pt idx="31">
                  <c:v>Q4-2005</c:v>
                </c:pt>
                <c:pt idx="32">
                  <c:v>Q1-2006</c:v>
                </c:pt>
                <c:pt idx="33">
                  <c:v>Q2-2006</c:v>
                </c:pt>
                <c:pt idx="34">
                  <c:v>Q3-2006</c:v>
                </c:pt>
                <c:pt idx="35">
                  <c:v>Q4-2006</c:v>
                </c:pt>
                <c:pt idx="36">
                  <c:v>Q1-2007</c:v>
                </c:pt>
                <c:pt idx="37">
                  <c:v>Q2-2007</c:v>
                </c:pt>
                <c:pt idx="38">
                  <c:v>Q3-2007</c:v>
                </c:pt>
                <c:pt idx="39">
                  <c:v>Q4-2007</c:v>
                </c:pt>
                <c:pt idx="40">
                  <c:v>Q1-2008</c:v>
                </c:pt>
                <c:pt idx="41">
                  <c:v>Q2-2008</c:v>
                </c:pt>
                <c:pt idx="42">
                  <c:v>Q3-2008</c:v>
                </c:pt>
                <c:pt idx="43">
                  <c:v>Q4-2008</c:v>
                </c:pt>
                <c:pt idx="44">
                  <c:v>Q1-2009</c:v>
                </c:pt>
                <c:pt idx="45">
                  <c:v>Q2-2009</c:v>
                </c:pt>
                <c:pt idx="46">
                  <c:v>Q3-2009</c:v>
                </c:pt>
                <c:pt idx="47">
                  <c:v>Q4-2009</c:v>
                </c:pt>
                <c:pt idx="48">
                  <c:v>Q1-2010</c:v>
                </c:pt>
                <c:pt idx="49">
                  <c:v>Q2-2010</c:v>
                </c:pt>
                <c:pt idx="50">
                  <c:v>Q3-2010</c:v>
                </c:pt>
                <c:pt idx="51">
                  <c:v>Q4-2010</c:v>
                </c:pt>
                <c:pt idx="52">
                  <c:v>Q1-2011</c:v>
                </c:pt>
                <c:pt idx="53">
                  <c:v>Q2-2011</c:v>
                </c:pt>
                <c:pt idx="54">
                  <c:v>Q3-2011</c:v>
                </c:pt>
                <c:pt idx="55">
                  <c:v>Q4-2011</c:v>
                </c:pt>
                <c:pt idx="56">
                  <c:v>Q1-2012</c:v>
                </c:pt>
                <c:pt idx="57">
                  <c:v>Q2-2012</c:v>
                </c:pt>
                <c:pt idx="58">
                  <c:v>Q3-2012</c:v>
                </c:pt>
                <c:pt idx="59">
                  <c:v>Q4-2012</c:v>
                </c:pt>
                <c:pt idx="60">
                  <c:v>Q1-2013</c:v>
                </c:pt>
                <c:pt idx="61">
                  <c:v>Q2-2013</c:v>
                </c:pt>
                <c:pt idx="62">
                  <c:v>Q3-2013</c:v>
                </c:pt>
                <c:pt idx="63">
                  <c:v>Q4-2013</c:v>
                </c:pt>
                <c:pt idx="64">
                  <c:v>Q1-2014</c:v>
                </c:pt>
                <c:pt idx="65">
                  <c:v>Q2-2014</c:v>
                </c:pt>
                <c:pt idx="66">
                  <c:v>Q3-2014</c:v>
                </c:pt>
                <c:pt idx="67">
                  <c:v>Q4-2014</c:v>
                </c:pt>
                <c:pt idx="68">
                  <c:v>Q1-2015</c:v>
                </c:pt>
                <c:pt idx="69">
                  <c:v>Q2-2015</c:v>
                </c:pt>
                <c:pt idx="70">
                  <c:v>Q3-2015</c:v>
                </c:pt>
                <c:pt idx="71">
                  <c:v>Q4-2015</c:v>
                </c:pt>
              </c:strCache>
            </c:strRef>
          </c:cat>
          <c:val>
            <c:numRef>
              <c:f>'1c. Büyümeye Katkı'!$R$33:$R$104</c:f>
              <c:numCache>
                <c:formatCode>General</c:formatCode>
                <c:ptCount val="72"/>
                <c:pt idx="44" formatCode="0.0">
                  <c:v>-39.33784275285791</c:v>
                </c:pt>
                <c:pt idx="45" formatCode="0.0">
                  <c:v>-9.7032802357559298</c:v>
                </c:pt>
                <c:pt idx="46" formatCode="0.0">
                  <c:v>-23.686164665991406</c:v>
                </c:pt>
                <c:pt idx="47" formatCode="0.0">
                  <c:v>-33.039401101924426</c:v>
                </c:pt>
                <c:pt idx="48" formatCode="0.0">
                  <c:v>-39.33784275285791</c:v>
                </c:pt>
                <c:pt idx="49" formatCode="0.0">
                  <c:v>-42.962474336610391</c:v>
                </c:pt>
                <c:pt idx="50" formatCode="0.0">
                  <c:v>-29.037844867043294</c:v>
                </c:pt>
                <c:pt idx="51" formatCode="0.0">
                  <c:v>4.6262179422323468</c:v>
                </c:pt>
                <c:pt idx="52" formatCode="0.0">
                  <c:v>42.227289899557533</c:v>
                </c:pt>
                <c:pt idx="53" formatCode="0.0">
                  <c:v>106.89043934349165</c:v>
                </c:pt>
                <c:pt idx="54" formatCode="0.0">
                  <c:v>104.46563748559674</c:v>
                </c:pt>
                <c:pt idx="55" formatCode="0.0">
                  <c:v>69.066449615716905</c:v>
                </c:pt>
                <c:pt idx="56" formatCode="0.0">
                  <c:v>36.608588072389026</c:v>
                </c:pt>
                <c:pt idx="57" formatCode="0.0">
                  <c:v>3.8429216417297907</c:v>
                </c:pt>
                <c:pt idx="58" formatCode="0.0">
                  <c:v>-1.0773818226396226</c:v>
                </c:pt>
                <c:pt idx="59" formatCode="0.0">
                  <c:v>-9.9484210572620242</c:v>
                </c:pt>
                <c:pt idx="60" formatCode="0.0">
                  <c:v>42.097164218580829</c:v>
                </c:pt>
                <c:pt idx="61" formatCode="0.0">
                  <c:v>30.213711978470958</c:v>
                </c:pt>
                <c:pt idx="62" formatCode="0.0">
                  <c:v>37.302656903252007</c:v>
                </c:pt>
                <c:pt idx="63" formatCode="0.0">
                  <c:v>20.496616960802893</c:v>
                </c:pt>
                <c:pt idx="64" formatCode="0.0">
                  <c:v>6.5046808421431512</c:v>
                </c:pt>
                <c:pt idx="65" formatCode="0.0">
                  <c:v>23.409499612369157</c:v>
                </c:pt>
                <c:pt idx="66" formatCode="0.0">
                  <c:v>28.089123681022055</c:v>
                </c:pt>
                <c:pt idx="67" formatCode="0.0">
                  <c:v>49.678138783460724</c:v>
                </c:pt>
                <c:pt idx="68" formatCode="0.0">
                  <c:v>35.293448376742198</c:v>
                </c:pt>
                <c:pt idx="69" formatCode="0.0">
                  <c:v>22.113187762561726</c:v>
                </c:pt>
                <c:pt idx="70" formatCode="0.0">
                  <c:v>6.3735728415500681</c:v>
                </c:pt>
                <c:pt idx="71" formatCode="0.0">
                  <c:v>-100</c:v>
                </c:pt>
              </c:numCache>
            </c:numRef>
          </c:val>
          <c:smooth val="0"/>
          <c:extLst>
            <c:ext xmlns:c16="http://schemas.microsoft.com/office/drawing/2014/chart" uri="{C3380CC4-5D6E-409C-BE32-E72D297353CC}">
              <c16:uniqueId val="{00000002-93D2-473C-BFDC-4C66F7419BB2}"/>
            </c:ext>
          </c:extLst>
        </c:ser>
        <c:dLbls>
          <c:showLegendKey val="0"/>
          <c:showVal val="0"/>
          <c:showCatName val="0"/>
          <c:showSerName val="0"/>
          <c:showPercent val="0"/>
          <c:showBubbleSize val="0"/>
        </c:dLbls>
        <c:marker val="1"/>
        <c:smooth val="0"/>
        <c:axId val="1538424320"/>
        <c:axId val="1538419968"/>
      </c:lineChart>
      <c:catAx>
        <c:axId val="1538424320"/>
        <c:scaling>
          <c:orientation val="minMax"/>
        </c:scaling>
        <c:delete val="0"/>
        <c:axPos val="b"/>
        <c:numFmt formatCode="General" sourceLinked="0"/>
        <c:majorTickMark val="in"/>
        <c:minorTickMark val="none"/>
        <c:tickLblPos val="low"/>
        <c:spPr>
          <a:ln w="3175">
            <a:solidFill>
              <a:srgbClr val="B3B3B3"/>
            </a:solidFill>
            <a:prstDash val="solid"/>
          </a:ln>
        </c:spPr>
        <c:crossAx val="1538419968"/>
        <c:crosses val="autoZero"/>
        <c:auto val="1"/>
        <c:lblAlgn val="ctr"/>
        <c:lblOffset val="100"/>
        <c:tickLblSkip val="8"/>
        <c:tickMarkSkip val="4"/>
        <c:noMultiLvlLbl val="0"/>
      </c:catAx>
      <c:valAx>
        <c:axId val="1538419968"/>
        <c:scaling>
          <c:orientation val="minMax"/>
          <c:min val="-15"/>
        </c:scaling>
        <c:delete val="0"/>
        <c:axPos val="l"/>
        <c:numFmt formatCode="0" sourceLinked="0"/>
        <c:majorTickMark val="in"/>
        <c:minorTickMark val="none"/>
        <c:tickLblPos val="nextTo"/>
        <c:spPr>
          <a:ln w="3175">
            <a:solidFill>
              <a:srgbClr val="B3B3B3"/>
            </a:solidFill>
            <a:prstDash val="solid"/>
          </a:ln>
        </c:spPr>
        <c:crossAx val="1538424320"/>
        <c:crosses val="autoZero"/>
        <c:crossBetween val="between"/>
      </c:valAx>
      <c:spPr>
        <a:solidFill>
          <a:srgbClr val="FFFFFF"/>
        </a:solidFill>
        <a:ln w="3175">
          <a:noFill/>
          <a:prstDash val="solid"/>
        </a:ln>
      </c:spPr>
    </c:plotArea>
    <c:legend>
      <c:legendPos val="b"/>
      <c:layout>
        <c:manualLayout>
          <c:xMode val="edge"/>
          <c:yMode val="edge"/>
          <c:x val="1.9683012981846701E-4"/>
          <c:y val="0.1137202381811412"/>
          <c:w val="0.99980314960629857"/>
          <c:h val="5.6936799640553919E-2"/>
        </c:manualLayout>
      </c:layout>
      <c:overlay val="0"/>
      <c:txPr>
        <a:bodyPr/>
        <a:lstStyle/>
        <a:p>
          <a:pPr>
            <a:defRPr sz="1200"/>
          </a:pPr>
          <a:endParaRPr lang="en-US"/>
        </a:p>
      </c:txPr>
    </c:legend>
    <c:plotVisOnly val="1"/>
    <c:dispBlanksAs val="gap"/>
    <c:showDLblsOverMax val="0"/>
  </c:chart>
  <c:spPr>
    <a:ln w="25400">
      <a:noFill/>
    </a:ln>
  </c:spPr>
  <c:txPr>
    <a:bodyPr/>
    <a:lstStyle/>
    <a:p>
      <a:pPr>
        <a:defRPr>
          <a:solidFill>
            <a:schemeClr val="tx1"/>
          </a:solidFill>
          <a:latin typeface="Helvetica" panose="020B0604020202020204" pitchFamily="34" charset="0"/>
          <a:cs typeface="Helvetica" panose="020B0604020202020204" pitchFamily="34" charset="0"/>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867</TotalTime>
  <Pages>1</Pages>
  <Words>773</Words>
  <Characters>4407</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destkop destkop</dc:creator>
  <cp:keywords/>
  <dc:description/>
  <cp:lastModifiedBy>destkop destkop</cp:lastModifiedBy>
  <cp:revision>9</cp:revision>
  <dcterms:created xsi:type="dcterms:W3CDTF">2023-04-24T21:09:00Z</dcterms:created>
  <dcterms:modified xsi:type="dcterms:W3CDTF">2023-05-07T19:00:00Z</dcterms:modified>
</cp:coreProperties>
</file>