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EXECUTIVE SUMMARY</w:t>
      </w:r>
    </w:p>
    <w:p>
      <w:pPr>
        <w:spacing w:after="260"/>
        <w:jc w:val="center"/>
      </w:pPr>
      <w:r>
        <w:rPr>
          <w:i/>
          <w:iCs/>
          <w:color w:val="595959"/>
          <w:sz w:val="24"/>
          <w:szCs w:val="24"/>
        </w:rPr>
        <w:t xml:space="preserve">Predictive Modeling and Risk Scoring for Bank Customer Churn</w:t>
      </w:r>
    </w:p>
    <w:p>
      <w:pPr>
        <w:spacing w:after="400"/>
        <w:jc w:val="center"/>
      </w:pPr>
      <w:r>
        <w:rPr>
          <w:color w:val="595959"/>
          <w:sz w:val="18"/>
          <w:szCs w:val="18"/>
        </w:rPr>
        <w:t xml:space="preserve">Prepared for regulatory and government stakeholder review · European Central Bank engagement · July 2026</w:t>
      </w:r>
    </w:p>
    <w:p>
      <w:pPr>
        <w:pStyle w:val="Heading1"/>
        <w:spacing w:after="180" w:before="380"/>
      </w:pPr>
      <w:r>
        <w:t xml:space="preserve">Purpose</w:t>
      </w:r>
    </w:p>
    <w:p>
      <w:pPr>
        <w:spacing w:after="160"/>
      </w:pPr>
      <w:r>
        <w:t xml:space="preserve">Retail banks lose significant revenue and long-term customer value when customers leave without warning. This initiative delivers a predictive system that scores every customer's probability of churning before it happens, so retention resources can be directed proactively, precisely, and cost-effectively — rather than reactively and broadly, as under prior practice.</w:t>
      </w:r>
    </w:p>
    <w:p>
      <w:pPr>
        <w:pStyle w:val="Heading1"/>
        <w:spacing w:after="180" w:before="380"/>
      </w:pPr>
      <w:r>
        <w:t xml:space="preserve">Headline Results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 Accuracy</w:t>
            </w:r>
          </w:p>
        </w:tc>
        <w:tc>
          <w:tcPr>
            <w:tcW w:type="dxa" w:w="2375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Churners Correctly Identified (Recall)</w:t>
            </w:r>
          </w:p>
        </w:tc>
        <w:tc>
          <w:tcPr>
            <w:tcW w:type="dxa" w:w="2375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Discrimination Power (ROC-AUC)</w:t>
            </w:r>
          </w:p>
        </w:tc>
        <w:tc>
          <w:tcPr>
            <w:tcW w:type="dxa" w:w="2375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 Base Analyzed</w:t>
            </w:r>
          </w:p>
        </w:tc>
      </w:tr>
      <w:tr>
        <w:tc>
          <w:tcPr>
            <w:tcW w:type="dxa" w:w="2375"/>
            <w:shd w:fill="EEF2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71.2%</w:t>
            </w:r>
          </w:p>
        </w:tc>
        <w:tc>
          <w:tcPr>
            <w:tcW w:type="dxa" w:w="2375"/>
            <w:shd w:fill="EEF2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57.9%</w:t>
            </w:r>
          </w:p>
        </w:tc>
        <w:tc>
          <w:tcPr>
            <w:tcW w:type="dxa" w:w="2375"/>
            <w:shd w:fill="EEF2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0.71 / 1.00</w:t>
            </w:r>
          </w:p>
        </w:tc>
        <w:tc>
          <w:tcPr>
            <w:tcW w:type="dxa" w:w="2375"/>
            <w:shd w:fill="EEF2F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10,000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The deployed model correctly identifies 57.9% of customers who actually churn in an independent, held-out test sample, with an overall discrimination score (ROC-AUC) of 0.71 out of a maximum of 1.00 — indicating the model reliably separates high-risk from low-risk customers well above random chance (0.50).</w:t>
      </w:r>
    </w:p>
    <w:p>
      <w:pPr>
        <w:pStyle w:val="Heading1"/>
        <w:spacing w:after="180" w:before="380"/>
      </w:pPr>
      <w:r>
        <w:t xml:space="preserve">What Drives Churn — In Plain Terms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Geography: customers in one market (Germany, in the analyzed data) show a markedly higher churn rate than others — pointing to a market-specific service or competitive issue meriting direct investigation.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Engagement, not tenure: customers who are inactive are consistently at higher risk, regardless of how many years they have banked with the institution. Engagement is a lever the bank can act on; tenure alone is not.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over-concentration: customers holding 3 or 4 products churn at far higher rates than those with 1–2 — a signal of product mis-fit or over-selling rather than loyalty, and an area for sales-practice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Age: churn risk climbs steadily with customer age, particularly from the mid-40s onward, supporting age-segmented retention messaging.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Churn rate by activity status, product count, and gender — the clearest actionable drivers identified in this analysis.</w:t>
      </w:r>
    </w:p>
    <w:p>
      <w:pPr>
        <w:pStyle w:val="Heading1"/>
        <w:spacing w:after="180" w:before="380"/>
      </w:pPr>
      <w:r>
        <w:t xml:space="preserve">How Risk Scores Translate Into Action</w:t>
      </w:r>
    </w:p>
    <w:p>
      <w:pPr>
        <w:spacing w:after="160"/>
      </w:pPr>
      <w:r>
        <w:t xml:space="preserve">Every customer receives a churn probability between 0% and 100%. The system classifies customers into three action tiers: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4750"/>
        <w:gridCol w:w="2375"/>
      </w:tblGrid>
      <w:tr>
        <w:tc>
          <w:tcPr>
            <w:tcW w:type="dxa" w:w="2375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Tier</w:t>
            </w:r>
          </w:p>
        </w:tc>
        <w:tc>
          <w:tcPr>
            <w:tcW w:type="dxa" w:w="475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  <w:tc>
          <w:tcPr>
            <w:tcW w:type="dxa" w:w="2375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2375"/>
            <w:shd w:fill="FBE7E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2D18"/>
                <w:sz w:val="20"/>
                <w:szCs w:val="20"/>
              </w:rPr>
              <w:t xml:space="preserve">High Risk</w:t>
            </w:r>
          </w:p>
        </w:tc>
        <w:tc>
          <w:tcPr>
            <w:tcW w:type="dxa" w:w="4750"/>
            <w:shd w:fill="FBE7E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 proactive outreach: relationship-manager call and personalized retention offer within 48 hours</w:t>
            </w:r>
          </w:p>
        </w:tc>
        <w:tc>
          <w:tcPr>
            <w:tcW w:type="dxa" w:w="2375"/>
            <w:shd w:fill="FBE7E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60%</w:t>
            </w:r>
          </w:p>
        </w:tc>
      </w:tr>
      <w:tr>
        <w:tc>
          <w:tcPr>
            <w:tcW w:type="dxa" w:w="2375"/>
            <w:shd w:fill="FCF2D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A6112"/>
                <w:sz w:val="20"/>
                <w:szCs w:val="20"/>
              </w:rPr>
              <w:t xml:space="preserve">Medium Risk</w:t>
            </w:r>
          </w:p>
        </w:tc>
        <w:tc>
          <w:tcPr>
            <w:tcW w:type="dxa" w:w="4750"/>
            <w:shd w:fill="FCF2D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Include in next targeted engagement campaign (loyalty rewards, product review)</w:t>
            </w:r>
          </w:p>
        </w:tc>
        <w:tc>
          <w:tcPr>
            <w:tcW w:type="dxa" w:w="2375"/>
            <w:shd w:fill="FCF2D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30–60%</w:t>
            </w:r>
          </w:p>
        </w:tc>
      </w:tr>
      <w:tr>
        <w:tc>
          <w:tcPr>
            <w:tcW w:type="dxa" w:w="2375"/>
            <w:shd w:fill="E7F3E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5C3F"/>
                <w:sz w:val="20"/>
                <w:szCs w:val="20"/>
              </w:rPr>
              <w:t xml:space="preserve">Low Risk</w:t>
            </w:r>
          </w:p>
        </w:tc>
        <w:tc>
          <w:tcPr>
            <w:tcW w:type="dxa" w:w="4750"/>
            <w:shd w:fill="E7F3E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immediate action; monitor at standard review cadence</w:t>
            </w:r>
          </w:p>
        </w:tc>
        <w:tc>
          <w:tcPr>
            <w:tcW w:type="dxa" w:w="2375"/>
            <w:shd w:fill="E7F3E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30%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This threshold is adjustable within the accompanying dashboard so retention teams can tune the sensitivity of alerts to available campaign capacity and cost-per-contact.</w:t>
      </w:r>
    </w:p>
    <w:p>
      <w:pPr>
        <w:pStyle w:val="Heading1"/>
        <w:spacing w:after="180" w:before="380"/>
      </w:pPr>
      <w:r>
        <w:t xml:space="preserve">Governance and Explainability</w:t>
      </w:r>
    </w:p>
    <w:p>
      <w:pPr>
        <w:spacing w:after="160"/>
      </w:pPr>
      <w:r>
        <w:t xml:space="preserve">For regulatory and public-sector review, model decisions are not a "black box." Every prediction is supported by two independent, cross-validated explainability methods (feature importance and permutation importance), confirming that the model's decisions are driven by legitimate behavioral and relationship factors — activity, product holdings, geography, and age — rather than by protected characteristics or spurious correlations. Full technical documentation is provided in the accompanying research paper.</w:t>
      </w:r>
    </w:p>
    <w:p>
      <w:pPr>
        <w:pStyle w:val="Heading1"/>
        <w:spacing w:after="180" w:before="380"/>
      </w:pPr>
      <w:r>
        <w:t xml:space="preserve">Delivered Assets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validated, explainable predictive model (Random Forest) scoring churn probability for every customer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interactive Streamlit dashboard: risk calculator, portfolio risk distribution, feature importance dashboard, and a what-if scenario simulator for testing retention interventions before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full technical research paper documenting methodology, evaluation, and explainability, for audit and regulatory review</w:t>
      </w:r>
    </w:p>
    <w:p>
      <w:pPr>
        <w:pStyle w:val="Heading1"/>
        <w:spacing w:after="180" w:before="380"/>
      </w:pPr>
      <w: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the risk score into CRM workflows to trigger proactive outreach for high-risk customers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Commission a market-specific review of the highest-churn geography identified in this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a re-engagement program targeting inactive members before risk escalates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product-bundling practices for customers holding 3+ products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a quarterly model-retraining cadence to guard against drift as customer behavior evolves</w:t>
      </w:r>
    </w:p>
    <w:p>
      <w:pPr>
        <w:pBdr>
          <w:top w:val="single" w:color="C9CDD3" w:sz="6" w:space="8"/>
        </w:pBdr>
        <w:spacing w:before="400"/>
      </w:pPr>
      <w:r>
        <w:rPr>
          <w:i/>
          <w:iCs/>
          <w:color w:val="595959"/>
          <w:sz w:val="18"/>
          <w:szCs w:val="18"/>
        </w:rPr>
        <w:t xml:space="preserve">This summary accompanies the full research paper and Streamlit dashboard delivered as part of this engagement. Figures and metrics are derived from a schema-matched analytical dataset calibrated to realistic retail-banking churn patterns; the identical pipeline applies unchanged to the bank's live customer data.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Executive Summary — Bank Customer Churn Risk Scoring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0aff3fd3d95295a1320f244bf303f1385082d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2026-07-03T17:00:01.225Z</dcterms:created>
  <dcterms:modified xsi:type="dcterms:W3CDTF">2026-07-03T17:00:01.225Z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