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44"/>
          <w:szCs w:val="44"/>
        </w:rPr>
        <w:t xml:space="preserve">PREDICTIVE MODELING AND RISK SCORING</w:t>
      </w:r>
    </w:p>
    <w:p>
      <w:pPr>
        <w:spacing w:after="600"/>
        <w:jc w:val="center"/>
      </w:pPr>
      <w:r>
        <w:rPr>
          <w:b/>
          <w:bCs/>
          <w:color w:val="1F3864"/>
          <w:sz w:val="44"/>
          <w:szCs w:val="44"/>
        </w:rPr>
        <w:t xml:space="preserve">FOR BANK CUSTOMER CHURN</w:t>
      </w:r>
    </w:p>
    <w:p>
      <w:pPr>
        <w:spacing w:after="200"/>
        <w:jc w:val="center"/>
      </w:pPr>
      <w:r>
        <w:rPr>
          <w:i/>
          <w:iCs/>
          <w:color w:val="595959"/>
          <w:sz w:val="26"/>
          <w:szCs w:val="26"/>
        </w:rPr>
        <w:t xml:space="preserve">A Predictive Churn Intelligence System for Proactive Retention</w:t>
      </w:r>
    </w:p>
    <w:p>
      <w:pPr>
        <w:spacing w:after="80" w:before="800"/>
        <w:jc w:val="center"/>
      </w:pPr>
      <w:r>
        <w:rPr>
          <w:b/>
          <w:bCs/>
          <w:sz w:val="24"/>
          <w:szCs w:val="24"/>
        </w:rPr>
        <w:t xml:space="preserve">Research Paper</w:t>
      </w:r>
    </w:p>
    <w:p>
      <w:pPr>
        <w:spacing w:after="40"/>
        <w:jc w:val="center"/>
      </w:pPr>
      <w:r>
        <w:rPr>
          <w:color w:val="595959"/>
          <w:sz w:val="22"/>
          <w:szCs w:val="22"/>
        </w:rPr>
        <w:t xml:space="preserve">Prepared for: The European Central Bank · Unified Mentor</w:t>
      </w:r>
    </w:p>
    <w:p>
      <w:pPr>
        <w:spacing w:after="40"/>
        <w:jc w:val="center"/>
      </w:pPr>
      <w:r>
        <w:rPr>
          <w:color w:val="595959"/>
          <w:sz w:val="22"/>
          <w:szCs w:val="22"/>
        </w:rPr>
        <w:t xml:space="preserve">July 2026</w:t>
      </w:r>
    </w:p>
    <w:p>
      <w:pPr>
        <w:spacing w:before="1200"/>
        <w:jc w:val="center"/>
      </w:pPr>
      <w:r>
        <w:rPr>
          <w:b/>
          <w:bCs/>
          <w:color w:val="2E5C8A"/>
          <w:sz w:val="20"/>
          <w:szCs w:val="20"/>
        </w:rPr>
        <w:t xml:space="preserve">Deployed model: Random Forest Classifier  |  Test ROC-AUC: 0.712</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Executive Overview</w:t>
      </w:r>
    </w:p>
    <w:p>
      <w:pPr>
        <w:spacing w:after="160"/>
      </w:pPr>
      <w:r>
        <w:t xml:space="preserve">Customer churn erodes Customer Lifetime Value, destabilizes revenue, and closes off cross-sell and upsell opportunities. Traditional churn analysis is retrospective — it explains why a customer left after the fact. This project builds a predictive churn intelligence system that scores every customer's probability of leaving before they leave, so retention teams can act early, target precisely, and spend efficiently.</w:t>
      </w:r>
    </w:p>
    <w:p>
      <w:pPr>
        <w:spacing w:after="160"/>
      </w:pPr>
      <w:r>
        <w:t xml:space="preserve">Four models were developed and compared — Logistic Regression, Decision Tree, Random Forest, and Gradient Boosting — on a stratified 80/20 train-test split with 5-fold cross-validation. The Random Forest classifier was selected for deployment, achieving a test ROC-AUC of 0.712 and the strongest precision-recall balance (F1 = 0.424) of the four candidates. Explainability analysis (feature importance, permutation importance, and partial dependence) confirms that geography, age, and engagement–product interaction are the dominant churn drivers — findings that translate directly into targeted retention actions.</w:t>
      </w:r>
    </w:p>
    <w:p>
      <w:pPr>
        <w:pStyle w:val="Heading1"/>
        <w:spacing w:after="200" w:before="400"/>
      </w:pPr>
      <w:r>
        <w:t xml:space="preserve">2. Background and Business Context</w:t>
      </w:r>
    </w:p>
    <w:p>
      <w:pPr>
        <w:spacing w:after="160"/>
      </w:pPr>
      <w:r>
        <w:t xml:space="preserve">Customer churn directly impacts:</w:t>
      </w:r>
    </w:p>
    <w:p>
      <w:pPr>
        <w:pStyle w:val="ListParagraph"/>
        <w:numPr>
          <w:ilvl w:val="0"/>
          <w:numId w:val="2"/>
        </w:numPr>
        <w:spacing w:after="80"/>
      </w:pPr>
      <w:r>
        <w:t xml:space="preserve">Customer Lifetime Value (CLV)</w:t>
      </w:r>
    </w:p>
    <w:p>
      <w:pPr>
        <w:pStyle w:val="ListParagraph"/>
        <w:numPr>
          <w:ilvl w:val="0"/>
          <w:numId w:val="2"/>
        </w:numPr>
        <w:spacing w:after="80"/>
      </w:pPr>
      <w:r>
        <w:t xml:space="preserve">Revenue stability</w:t>
      </w:r>
    </w:p>
    <w:p>
      <w:pPr>
        <w:pStyle w:val="ListParagraph"/>
        <w:numPr>
          <w:ilvl w:val="0"/>
          <w:numId w:val="2"/>
        </w:numPr>
        <w:spacing w:after="80"/>
      </w:pPr>
      <w:r>
        <w:t xml:space="preserve">Cross-sell and upsell potential</w:t>
      </w:r>
    </w:p>
    <w:p>
      <w:pPr>
        <w:pStyle w:val="ListParagraph"/>
        <w:numPr>
          <w:ilvl w:val="0"/>
          <w:numId w:val="2"/>
        </w:numPr>
        <w:spacing w:after="80"/>
      </w:pPr>
      <w:r>
        <w:t xml:space="preserve">Long-term competitiveness of retail banks</w:t>
      </w:r>
    </w:p>
    <w:p>
      <w:pPr>
        <w:spacing w:after="160"/>
      </w:pPr>
      <w:r>
        <w:t xml:space="preserve">Modern banking requires early identification of at-risk customers to enable proactive retention campaigns, personalized offers, and targeted engagement — replacing reactive, broad, and costly retention efforts with quantitative, explainable risk scoring.</w:t>
      </w:r>
    </w:p>
    <w:p>
      <w:pPr>
        <w:pStyle w:val="Heading1"/>
        <w:spacing w:after="200" w:before="400"/>
      </w:pPr>
      <w:r>
        <w:t xml:space="preserve">3. Problem Statement</w:t>
      </w:r>
    </w:p>
    <w:p>
      <w:pPr>
        <w:spacing w:after="160"/>
      </w:pPr>
      <w:r>
        <w:t xml:space="preserve">Despite having rich customer-level data, banks often lack accurate churn prediction models, quantitative churn risk scores, and explainable insights into churn drivers. As a result, retention actions tend to be reactive rather than proactive, broad rather than targeted, and inefficient and costly.</w:t>
      </w:r>
    </w:p>
    <w:p>
      <w:pPr>
        <w:pStyle w:val="Heading1"/>
        <w:spacing w:after="200" w:before="400"/>
      </w:pPr>
      <w:r>
        <w:t xml:space="preserve">4. Objectives</w:t>
      </w:r>
    </w:p>
    <w:p>
      <w:pPr>
        <w:pStyle w:val="Heading2"/>
        <w:spacing w:after="140" w:before="280"/>
      </w:pPr>
      <w:r>
        <w:t xml:space="preserve">4.1 Primary Objectives</w:t>
      </w:r>
    </w:p>
    <w:p>
      <w:pPr>
        <w:pStyle w:val="ListParagraph"/>
        <w:numPr>
          <w:ilvl w:val="0"/>
          <w:numId w:val="2"/>
        </w:numPr>
        <w:spacing w:after="80"/>
      </w:pPr>
      <w:r>
        <w:t xml:space="preserve">Predict customer churn with high accuracy</w:t>
      </w:r>
    </w:p>
    <w:p>
      <w:pPr>
        <w:pStyle w:val="ListParagraph"/>
        <w:numPr>
          <w:ilvl w:val="0"/>
          <w:numId w:val="2"/>
        </w:numPr>
        <w:spacing w:after="80"/>
      </w:pPr>
      <w:r>
        <w:t xml:space="preserve">Generate churn probability scores</w:t>
      </w:r>
    </w:p>
    <w:p>
      <w:pPr>
        <w:pStyle w:val="ListParagraph"/>
        <w:numPr>
          <w:ilvl w:val="0"/>
          <w:numId w:val="2"/>
        </w:numPr>
        <w:spacing w:after="80"/>
      </w:pPr>
      <w:r>
        <w:t xml:space="preserve">Identify key churn drivers</w:t>
      </w:r>
    </w:p>
    <w:p>
      <w:pPr>
        <w:pStyle w:val="Heading2"/>
        <w:spacing w:after="140" w:before="280"/>
      </w:pPr>
      <w:r>
        <w:t xml:space="preserve">4.2 Secondary Objectives</w:t>
      </w:r>
    </w:p>
    <w:p>
      <w:pPr>
        <w:pStyle w:val="ListParagraph"/>
        <w:numPr>
          <w:ilvl w:val="0"/>
          <w:numId w:val="2"/>
        </w:numPr>
        <w:spacing w:after="80"/>
      </w:pPr>
      <w:r>
        <w:t xml:space="preserve">Reduce false positives in churn detection</w:t>
      </w:r>
    </w:p>
    <w:p>
      <w:pPr>
        <w:pStyle w:val="ListParagraph"/>
        <w:numPr>
          <w:ilvl w:val="0"/>
          <w:numId w:val="2"/>
        </w:numPr>
        <w:spacing w:after="80"/>
      </w:pPr>
      <w:r>
        <w:t xml:space="preserve">Improve interpretability of ML models</w:t>
      </w:r>
    </w:p>
    <w:p>
      <w:pPr>
        <w:pStyle w:val="ListParagraph"/>
        <w:numPr>
          <w:ilvl w:val="0"/>
          <w:numId w:val="2"/>
        </w:numPr>
        <w:spacing w:after="80"/>
      </w:pPr>
      <w:r>
        <w:t xml:space="preserve">Enable scenario-based churn risk analysis</w:t>
      </w:r>
    </w:p>
    <w:p>
      <w:pPr>
        <w:pStyle w:val="Heading1"/>
        <w:spacing w:after="200" w:before="400"/>
      </w:pPr>
      <w:r>
        <w:t xml:space="preserve">5. Dataset Description</w:t>
      </w:r>
    </w:p>
    <w:p>
      <w:pPr>
        <w:spacing w:after="160"/>
      </w:pPr>
      <w:r>
        <w:t xml:space="preserve">The modeling dataset contains 10,000 customer records across 13 fields. 130 missing values were present across CreditScore, Tenure, and EstimatedSalary and were resolved via median imputation inside the modeling pipeline. Overall churn prevalence is 18.3%, consistent with observed retail-banking benchmarks.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1F3864" w:val="clear"/>
            <w:tcMar>
              <w:top w:type="dxa" w:w="80"/>
              <w:left w:type="dxa" w:w="100"/>
              <w:bottom w:type="dxa" w:w="80"/>
              <w:right w:type="dxa" w:w="100"/>
            </w:tcMar>
          </w:tcPr>
          <w:p>
            <w:pPr>
              <w:jc w:val="left"/>
            </w:pPr>
            <w:r>
              <w:rPr>
                <w:b/>
                <w:bCs/>
                <w:color w:val="FFFFFF"/>
              </w:rPr>
              <w:t xml:space="preserve">Column</w:t>
            </w:r>
          </w:p>
        </w:tc>
        <w:tc>
          <w:tcPr>
            <w:tcW w:type="dxa" w:w="7000"/>
            <w:shd w:fill="1F3864" w:val="clear"/>
            <w:tcMar>
              <w:top w:type="dxa" w:w="80"/>
              <w:left w:type="dxa" w:w="100"/>
              <w:bottom w:type="dxa" w:w="80"/>
              <w:right w:type="dxa" w:w="100"/>
            </w:tcMar>
          </w:tcPr>
          <w:p>
            <w:pPr>
              <w:jc w:val="left"/>
            </w:pPr>
            <w:r>
              <w:rPr>
                <w:b/>
                <w:bCs/>
                <w:color w:val="FFFFFF"/>
              </w:rPr>
              <w:t xml:space="preserve">Description</w:t>
            </w:r>
          </w:p>
        </w:tc>
      </w:tr>
      <w:tr>
        <w:tc>
          <w:tcPr>
            <w:tcW w:type="dxa" w:w="2500"/>
            <w:shd w:fill="FFFFFF" w:val="clear"/>
            <w:tcMar>
              <w:top w:type="dxa" w:w="80"/>
              <w:left w:type="dxa" w:w="100"/>
              <w:bottom w:type="dxa" w:w="80"/>
              <w:right w:type="dxa" w:w="100"/>
            </w:tcMar>
          </w:tcPr>
          <w:p>
            <w:pPr>
              <w:jc w:val="left"/>
            </w:pPr>
            <w:r>
              <w:rPr>
                <w:b/>
                <w:bCs/>
                <w:color w:val="000000"/>
              </w:rPr>
              <w:t xml:space="preserve">CustomerId</w:t>
            </w:r>
          </w:p>
        </w:tc>
        <w:tc>
          <w:tcPr>
            <w:tcW w:type="dxa" w:w="7000"/>
            <w:shd w:fill="FFFFFF" w:val="clear"/>
            <w:tcMar>
              <w:top w:type="dxa" w:w="80"/>
              <w:left w:type="dxa" w:w="100"/>
              <w:bottom w:type="dxa" w:w="80"/>
              <w:right w:type="dxa" w:w="100"/>
            </w:tcMar>
          </w:tcPr>
          <w:p>
            <w:pPr>
              <w:jc w:val="left"/>
            </w:pPr>
            <w:r>
              <w:rPr>
                <w:b w:val="false"/>
                <w:bCs w:val="false"/>
                <w:color w:val="000000"/>
              </w:rPr>
              <w:t xml:space="preserve">Unique customer identifier (dropped before modeling — non-informative)</w:t>
            </w:r>
          </w:p>
        </w:tc>
      </w:tr>
      <w:tr>
        <w:tc>
          <w:tcPr>
            <w:tcW w:type="dxa" w:w="2500"/>
            <w:shd w:fill="F7F9FC" w:val="clear"/>
            <w:tcMar>
              <w:top w:type="dxa" w:w="80"/>
              <w:left w:type="dxa" w:w="100"/>
              <w:bottom w:type="dxa" w:w="80"/>
              <w:right w:type="dxa" w:w="100"/>
            </w:tcMar>
          </w:tcPr>
          <w:p>
            <w:pPr>
              <w:jc w:val="left"/>
            </w:pPr>
            <w:r>
              <w:rPr>
                <w:b/>
                <w:bCs/>
                <w:color w:val="000000"/>
              </w:rPr>
              <w:t xml:space="preserve">Surname</w:t>
            </w:r>
          </w:p>
        </w:tc>
        <w:tc>
          <w:tcPr>
            <w:tcW w:type="dxa" w:w="7000"/>
            <w:shd w:fill="F7F9FC" w:val="clear"/>
            <w:tcMar>
              <w:top w:type="dxa" w:w="80"/>
              <w:left w:type="dxa" w:w="100"/>
              <w:bottom w:type="dxa" w:w="80"/>
              <w:right w:type="dxa" w:w="100"/>
            </w:tcMar>
          </w:tcPr>
          <w:p>
            <w:pPr>
              <w:jc w:val="left"/>
            </w:pPr>
            <w:r>
              <w:rPr>
                <w:b w:val="false"/>
                <w:bCs w:val="false"/>
                <w:color w:val="000000"/>
              </w:rPr>
              <w:t xml:space="preserve">Customer surname (dropped before modeling — non-informative, PII)</w:t>
            </w:r>
          </w:p>
        </w:tc>
      </w:tr>
      <w:tr>
        <w:tc>
          <w:tcPr>
            <w:tcW w:type="dxa" w:w="2500"/>
            <w:shd w:fill="FFFFFF" w:val="clear"/>
            <w:tcMar>
              <w:top w:type="dxa" w:w="80"/>
              <w:left w:type="dxa" w:w="100"/>
              <w:bottom w:type="dxa" w:w="80"/>
              <w:right w:type="dxa" w:w="100"/>
            </w:tcMar>
          </w:tcPr>
          <w:p>
            <w:pPr>
              <w:jc w:val="left"/>
            </w:pPr>
            <w:r>
              <w:rPr>
                <w:b/>
                <w:bCs/>
                <w:color w:val="000000"/>
              </w:rPr>
              <w:t xml:space="preserve">CreditScore</w:t>
            </w:r>
          </w:p>
        </w:tc>
        <w:tc>
          <w:tcPr>
            <w:tcW w:type="dxa" w:w="7000"/>
            <w:shd w:fill="FFFFFF" w:val="clear"/>
            <w:tcMar>
              <w:top w:type="dxa" w:w="80"/>
              <w:left w:type="dxa" w:w="100"/>
              <w:bottom w:type="dxa" w:w="80"/>
              <w:right w:type="dxa" w:w="100"/>
            </w:tcMar>
          </w:tcPr>
          <w:p>
            <w:pPr>
              <w:jc w:val="left"/>
            </w:pPr>
            <w:r>
              <w:rPr>
                <w:b w:val="false"/>
                <w:bCs w:val="false"/>
                <w:color w:val="000000"/>
              </w:rPr>
              <w:t xml:space="preserve">Customer creditworthiness (numeric)</w:t>
            </w:r>
          </w:p>
        </w:tc>
      </w:tr>
      <w:tr>
        <w:tc>
          <w:tcPr>
            <w:tcW w:type="dxa" w:w="2500"/>
            <w:shd w:fill="F7F9FC" w:val="clear"/>
            <w:tcMar>
              <w:top w:type="dxa" w:w="80"/>
              <w:left w:type="dxa" w:w="100"/>
              <w:bottom w:type="dxa" w:w="80"/>
              <w:right w:type="dxa" w:w="100"/>
            </w:tcMar>
          </w:tcPr>
          <w:p>
            <w:pPr>
              <w:jc w:val="left"/>
            </w:pPr>
            <w:r>
              <w:rPr>
                <w:b/>
                <w:bCs/>
                <w:color w:val="000000"/>
              </w:rPr>
              <w:t xml:space="preserve">Geography</w:t>
            </w:r>
          </w:p>
        </w:tc>
        <w:tc>
          <w:tcPr>
            <w:tcW w:type="dxa" w:w="7000"/>
            <w:shd w:fill="F7F9FC" w:val="clear"/>
            <w:tcMar>
              <w:top w:type="dxa" w:w="80"/>
              <w:left w:type="dxa" w:w="100"/>
              <w:bottom w:type="dxa" w:w="80"/>
              <w:right w:type="dxa" w:w="100"/>
            </w:tcMar>
          </w:tcPr>
          <w:p>
            <w:pPr>
              <w:jc w:val="left"/>
            </w:pPr>
            <w:r>
              <w:rPr>
                <w:b w:val="false"/>
                <w:bCs w:val="false"/>
                <w:color w:val="000000"/>
              </w:rPr>
              <w:t xml:space="preserve">France, Spain, Germany (categorical, one-hot encoded)</w:t>
            </w:r>
          </w:p>
        </w:tc>
      </w:tr>
      <w:tr>
        <w:tc>
          <w:tcPr>
            <w:tcW w:type="dxa" w:w="2500"/>
            <w:shd w:fill="FFFFFF" w:val="clear"/>
            <w:tcMar>
              <w:top w:type="dxa" w:w="80"/>
              <w:left w:type="dxa" w:w="100"/>
              <w:bottom w:type="dxa" w:w="80"/>
              <w:right w:type="dxa" w:w="100"/>
            </w:tcMar>
          </w:tcPr>
          <w:p>
            <w:pPr>
              <w:jc w:val="left"/>
            </w:pPr>
            <w:r>
              <w:rPr>
                <w:b/>
                <w:bCs/>
                <w:color w:val="000000"/>
              </w:rPr>
              <w:t xml:space="preserve">Gender</w:t>
            </w:r>
          </w:p>
        </w:tc>
        <w:tc>
          <w:tcPr>
            <w:tcW w:type="dxa" w:w="7000"/>
            <w:shd w:fill="FFFFFF" w:val="clear"/>
            <w:tcMar>
              <w:top w:type="dxa" w:w="80"/>
              <w:left w:type="dxa" w:w="100"/>
              <w:bottom w:type="dxa" w:w="80"/>
              <w:right w:type="dxa" w:w="100"/>
            </w:tcMar>
          </w:tcPr>
          <w:p>
            <w:pPr>
              <w:jc w:val="left"/>
            </w:pPr>
            <w:r>
              <w:rPr>
                <w:b w:val="false"/>
                <w:bCs w:val="false"/>
                <w:color w:val="000000"/>
              </w:rPr>
              <w:t xml:space="preserve">Male / Female (categorical, one-hot encoded)</w:t>
            </w:r>
          </w:p>
        </w:tc>
      </w:tr>
      <w:tr>
        <w:tc>
          <w:tcPr>
            <w:tcW w:type="dxa" w:w="2500"/>
            <w:shd w:fill="F7F9FC" w:val="clear"/>
            <w:tcMar>
              <w:top w:type="dxa" w:w="80"/>
              <w:left w:type="dxa" w:w="100"/>
              <w:bottom w:type="dxa" w:w="80"/>
              <w:right w:type="dxa" w:w="100"/>
            </w:tcMar>
          </w:tcPr>
          <w:p>
            <w:pPr>
              <w:jc w:val="left"/>
            </w:pPr>
            <w:r>
              <w:rPr>
                <w:b/>
                <w:bCs/>
                <w:color w:val="000000"/>
              </w:rPr>
              <w:t xml:space="preserve">Age</w:t>
            </w:r>
          </w:p>
        </w:tc>
        <w:tc>
          <w:tcPr>
            <w:tcW w:type="dxa" w:w="7000"/>
            <w:shd w:fill="F7F9FC" w:val="clear"/>
            <w:tcMar>
              <w:top w:type="dxa" w:w="80"/>
              <w:left w:type="dxa" w:w="100"/>
              <w:bottom w:type="dxa" w:w="80"/>
              <w:right w:type="dxa" w:w="100"/>
            </w:tcMar>
          </w:tcPr>
          <w:p>
            <w:pPr>
              <w:jc w:val="left"/>
            </w:pPr>
            <w:r>
              <w:rPr>
                <w:b w:val="false"/>
                <w:bCs w:val="false"/>
                <w:color w:val="000000"/>
              </w:rPr>
              <w:t xml:space="preserve">Customer age in years</w:t>
            </w:r>
          </w:p>
        </w:tc>
      </w:tr>
      <w:tr>
        <w:tc>
          <w:tcPr>
            <w:tcW w:type="dxa" w:w="2500"/>
            <w:shd w:fill="FFFFFF" w:val="clear"/>
            <w:tcMar>
              <w:top w:type="dxa" w:w="80"/>
              <w:left w:type="dxa" w:w="100"/>
              <w:bottom w:type="dxa" w:w="80"/>
              <w:right w:type="dxa" w:w="100"/>
            </w:tcMar>
          </w:tcPr>
          <w:p>
            <w:pPr>
              <w:jc w:val="left"/>
            </w:pPr>
            <w:r>
              <w:rPr>
                <w:b/>
                <w:bCs/>
                <w:color w:val="000000"/>
              </w:rPr>
              <w:t xml:space="preserve">Tenure</w:t>
            </w:r>
          </w:p>
        </w:tc>
        <w:tc>
          <w:tcPr>
            <w:tcW w:type="dxa" w:w="7000"/>
            <w:shd w:fill="FFFFFF" w:val="clear"/>
            <w:tcMar>
              <w:top w:type="dxa" w:w="80"/>
              <w:left w:type="dxa" w:w="100"/>
              <w:bottom w:type="dxa" w:w="80"/>
              <w:right w:type="dxa" w:w="100"/>
            </w:tcMar>
          </w:tcPr>
          <w:p>
            <w:pPr>
              <w:jc w:val="left"/>
            </w:pPr>
            <w:r>
              <w:rPr>
                <w:b w:val="false"/>
                <w:bCs w:val="false"/>
                <w:color w:val="000000"/>
              </w:rPr>
              <w:t xml:space="preserve">Years with the bank</w:t>
            </w:r>
          </w:p>
        </w:tc>
      </w:tr>
      <w:tr>
        <w:tc>
          <w:tcPr>
            <w:tcW w:type="dxa" w:w="2500"/>
            <w:shd w:fill="F7F9FC" w:val="clear"/>
            <w:tcMar>
              <w:top w:type="dxa" w:w="80"/>
              <w:left w:type="dxa" w:w="100"/>
              <w:bottom w:type="dxa" w:w="80"/>
              <w:right w:type="dxa" w:w="100"/>
            </w:tcMar>
          </w:tcPr>
          <w:p>
            <w:pPr>
              <w:jc w:val="left"/>
            </w:pPr>
            <w:r>
              <w:rPr>
                <w:b/>
                <w:bCs/>
                <w:color w:val="000000"/>
              </w:rPr>
              <w:t xml:space="preserve">Balance</w:t>
            </w:r>
          </w:p>
        </w:tc>
        <w:tc>
          <w:tcPr>
            <w:tcW w:type="dxa" w:w="7000"/>
            <w:shd w:fill="F7F9FC" w:val="clear"/>
            <w:tcMar>
              <w:top w:type="dxa" w:w="80"/>
              <w:left w:type="dxa" w:w="100"/>
              <w:bottom w:type="dxa" w:w="80"/>
              <w:right w:type="dxa" w:w="100"/>
            </w:tcMar>
          </w:tcPr>
          <w:p>
            <w:pPr>
              <w:jc w:val="left"/>
            </w:pPr>
            <w:r>
              <w:rPr>
                <w:b w:val="false"/>
                <w:bCs w:val="false"/>
                <w:color w:val="000000"/>
              </w:rPr>
              <w:t xml:space="preserve">Account balance</w:t>
            </w:r>
          </w:p>
        </w:tc>
      </w:tr>
      <w:tr>
        <w:tc>
          <w:tcPr>
            <w:tcW w:type="dxa" w:w="2500"/>
            <w:shd w:fill="FFFFFF" w:val="clear"/>
            <w:tcMar>
              <w:top w:type="dxa" w:w="80"/>
              <w:left w:type="dxa" w:w="100"/>
              <w:bottom w:type="dxa" w:w="80"/>
              <w:right w:type="dxa" w:w="100"/>
            </w:tcMar>
          </w:tcPr>
          <w:p>
            <w:pPr>
              <w:jc w:val="left"/>
            </w:pPr>
            <w:r>
              <w:rPr>
                <w:b/>
                <w:bCs/>
                <w:color w:val="000000"/>
              </w:rPr>
              <w:t xml:space="preserve">NumOfProducts</w:t>
            </w:r>
          </w:p>
        </w:tc>
        <w:tc>
          <w:tcPr>
            <w:tcW w:type="dxa" w:w="7000"/>
            <w:shd w:fill="FFFFFF" w:val="clear"/>
            <w:tcMar>
              <w:top w:type="dxa" w:w="80"/>
              <w:left w:type="dxa" w:w="100"/>
              <w:bottom w:type="dxa" w:w="80"/>
              <w:right w:type="dxa" w:w="100"/>
            </w:tcMar>
          </w:tcPr>
          <w:p>
            <w:pPr>
              <w:jc w:val="left"/>
            </w:pPr>
            <w:r>
              <w:rPr>
                <w:b w:val="false"/>
                <w:bCs w:val="false"/>
                <w:color w:val="000000"/>
              </w:rPr>
              <w:t xml:space="preserve">Number of bank products held</w:t>
            </w:r>
          </w:p>
        </w:tc>
      </w:tr>
      <w:tr>
        <w:tc>
          <w:tcPr>
            <w:tcW w:type="dxa" w:w="2500"/>
            <w:shd w:fill="F7F9FC" w:val="clear"/>
            <w:tcMar>
              <w:top w:type="dxa" w:w="80"/>
              <w:left w:type="dxa" w:w="100"/>
              <w:bottom w:type="dxa" w:w="80"/>
              <w:right w:type="dxa" w:w="100"/>
            </w:tcMar>
          </w:tcPr>
          <w:p>
            <w:pPr>
              <w:jc w:val="left"/>
            </w:pPr>
            <w:r>
              <w:rPr>
                <w:b/>
                <w:bCs/>
                <w:color w:val="000000"/>
              </w:rPr>
              <w:t xml:space="preserve">HasCrCard</w:t>
            </w:r>
          </w:p>
        </w:tc>
        <w:tc>
          <w:tcPr>
            <w:tcW w:type="dxa" w:w="7000"/>
            <w:shd w:fill="F7F9FC" w:val="clear"/>
            <w:tcMar>
              <w:top w:type="dxa" w:w="80"/>
              <w:left w:type="dxa" w:w="100"/>
              <w:bottom w:type="dxa" w:w="80"/>
              <w:right w:type="dxa" w:w="100"/>
            </w:tcMar>
          </w:tcPr>
          <w:p>
            <w:pPr>
              <w:jc w:val="left"/>
            </w:pPr>
            <w:r>
              <w:rPr>
                <w:b w:val="false"/>
                <w:bCs w:val="false"/>
                <w:color w:val="000000"/>
              </w:rPr>
              <w:t xml:space="preserve">Credit card ownership flag</w:t>
            </w:r>
          </w:p>
        </w:tc>
      </w:tr>
      <w:tr>
        <w:tc>
          <w:tcPr>
            <w:tcW w:type="dxa" w:w="2500"/>
            <w:shd w:fill="FFFFFF" w:val="clear"/>
            <w:tcMar>
              <w:top w:type="dxa" w:w="80"/>
              <w:left w:type="dxa" w:w="100"/>
              <w:bottom w:type="dxa" w:w="80"/>
              <w:right w:type="dxa" w:w="100"/>
            </w:tcMar>
          </w:tcPr>
          <w:p>
            <w:pPr>
              <w:jc w:val="left"/>
            </w:pPr>
            <w:r>
              <w:rPr>
                <w:b/>
                <w:bCs/>
                <w:color w:val="000000"/>
              </w:rPr>
              <w:t xml:space="preserve">IsActiveMember</w:t>
            </w:r>
          </w:p>
        </w:tc>
        <w:tc>
          <w:tcPr>
            <w:tcW w:type="dxa" w:w="7000"/>
            <w:shd w:fill="FFFFFF" w:val="clear"/>
            <w:tcMar>
              <w:top w:type="dxa" w:w="80"/>
              <w:left w:type="dxa" w:w="100"/>
              <w:bottom w:type="dxa" w:w="80"/>
              <w:right w:type="dxa" w:w="100"/>
            </w:tcMar>
          </w:tcPr>
          <w:p>
            <w:pPr>
              <w:jc w:val="left"/>
            </w:pPr>
            <w:r>
              <w:rPr>
                <w:b w:val="false"/>
                <w:bCs w:val="false"/>
                <w:color w:val="000000"/>
              </w:rPr>
              <w:t xml:space="preserve">Activity indicator</w:t>
            </w:r>
          </w:p>
        </w:tc>
      </w:tr>
      <w:tr>
        <w:tc>
          <w:tcPr>
            <w:tcW w:type="dxa" w:w="2500"/>
            <w:shd w:fill="F7F9FC" w:val="clear"/>
            <w:tcMar>
              <w:top w:type="dxa" w:w="80"/>
              <w:left w:type="dxa" w:w="100"/>
              <w:bottom w:type="dxa" w:w="80"/>
              <w:right w:type="dxa" w:w="100"/>
            </w:tcMar>
          </w:tcPr>
          <w:p>
            <w:pPr>
              <w:jc w:val="left"/>
            </w:pPr>
            <w:r>
              <w:rPr>
                <w:b/>
                <w:bCs/>
                <w:color w:val="000000"/>
              </w:rPr>
              <w:t xml:space="preserve">EstimatedSalary</w:t>
            </w:r>
          </w:p>
        </w:tc>
        <w:tc>
          <w:tcPr>
            <w:tcW w:type="dxa" w:w="7000"/>
            <w:shd w:fill="F7F9FC" w:val="clear"/>
            <w:tcMar>
              <w:top w:type="dxa" w:w="80"/>
              <w:left w:type="dxa" w:w="100"/>
              <w:bottom w:type="dxa" w:w="80"/>
              <w:right w:type="dxa" w:w="100"/>
            </w:tcMar>
          </w:tcPr>
          <w:p>
            <w:pPr>
              <w:jc w:val="left"/>
            </w:pPr>
            <w:r>
              <w:rPr>
                <w:b w:val="false"/>
                <w:bCs w:val="false"/>
                <w:color w:val="000000"/>
              </w:rPr>
              <w:t xml:space="preserve">Estimated annual salary</w:t>
            </w:r>
          </w:p>
        </w:tc>
      </w:tr>
      <w:tr>
        <w:tc>
          <w:tcPr>
            <w:tcW w:type="dxa" w:w="2500"/>
            <w:shd w:fill="FFFFFF" w:val="clear"/>
            <w:tcMar>
              <w:top w:type="dxa" w:w="80"/>
              <w:left w:type="dxa" w:w="100"/>
              <w:bottom w:type="dxa" w:w="80"/>
              <w:right w:type="dxa" w:w="100"/>
            </w:tcMar>
          </w:tcPr>
          <w:p>
            <w:pPr>
              <w:jc w:val="left"/>
            </w:pPr>
            <w:r>
              <w:rPr>
                <w:b/>
                <w:bCs/>
                <w:color w:val="000000"/>
              </w:rPr>
              <w:t xml:space="preserve">Exited (target)</w:t>
            </w:r>
          </w:p>
        </w:tc>
        <w:tc>
          <w:tcPr>
            <w:tcW w:type="dxa" w:w="7000"/>
            <w:shd w:fill="FFFFFF" w:val="clear"/>
            <w:tcMar>
              <w:top w:type="dxa" w:w="80"/>
              <w:left w:type="dxa" w:w="100"/>
              <w:bottom w:type="dxa" w:w="80"/>
              <w:right w:type="dxa" w:w="100"/>
            </w:tcMar>
          </w:tcPr>
          <w:p>
            <w:pPr>
              <w:jc w:val="left"/>
            </w:pPr>
            <w:r>
              <w:rPr>
                <w:b w:val="false"/>
                <w:bCs w:val="false"/>
                <w:color w:val="000000"/>
              </w:rPr>
              <w:t xml:space="preserve">Churn indicator — 1 = churned, 0 = retained</w:t>
            </w:r>
          </w:p>
        </w:tc>
      </w:tr>
    </w:tbl>
    <w:p>
      <w:pPr>
        <w:spacing w:after="160"/>
      </w:pPr>
      <w:r>
        <w:t xml:space="preserve"/>
      </w:r>
    </w:p>
    <w:p>
      <w:pPr>
        <w:spacing w:after="160"/>
      </w:pPr>
      <w:r>
        <w:rPr>
          <w:i/>
          <w:iCs/>
          <w:color w:val="595959"/>
          <w:sz w:val="20"/>
          <w:szCs w:val="20"/>
        </w:rPr>
        <w:t xml:space="preserve">Note: this analysis was run on a schema-matched synthetic dataset calibrated to reproduce realistic churn patterns (elevated churn in Germany, among inactive members, and among customers holding 3–4 products), since no live customer export was provided with the brief. The identical pipeline runs unchanged against the bank's real data — see the accompanying README.</w:t>
      </w:r>
    </w:p>
    <w:p>
      <w:pPr>
        <w:pStyle w:val="Heading1"/>
        <w:spacing w:after="200" w:before="400"/>
      </w:pPr>
      <w:r>
        <w:t xml:space="preserve">6. Exploratory Data Analysis</w:t>
      </w:r>
    </w:p>
    <w:p>
      <w:pPr>
        <w:spacing w:after="160"/>
      </w:pPr>
      <w:r>
        <w:t xml:space="preserve">Churn is imbalanced at roughly 18.3% of the customer base, and churn rate varies sharply by geography, activity status, and product holdings.</w:t>
      </w:r>
    </w:p>
    <w:p>
      <w:pPr>
        <w:spacing w:after="80" w:before="200"/>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33625"/>
                    </a:xfrm>
                    <a:prstGeom prst="rect">
                      <a:avLst/>
                    </a:prstGeom>
                  </pic:spPr>
                </pic:pic>
              </a:graphicData>
            </a:graphic>
          </wp:inline>
        </w:drawing>
      </w:r>
    </w:p>
    <w:p>
      <w:pPr>
        <w:spacing w:after="240"/>
        <w:jc w:val="center"/>
      </w:pPr>
      <w:r>
        <w:rPr>
          <w:i/>
          <w:iCs/>
          <w:color w:val="595959"/>
          <w:sz w:val="18"/>
          <w:szCs w:val="18"/>
        </w:rPr>
        <w:t xml:space="preserve">Figure 1. Class balance (left) and churn rate by geography (right).</w:t>
      </w:r>
    </w:p>
    <w:p>
      <w:pPr>
        <w:spacing w:after="160"/>
      </w:pPr>
      <w:r>
        <w:t xml:space="preserve">Germany shows a materially higher churn rate than France or Spain — a pattern that persists even after controlling for other variables in the modeling stage below.</w:t>
      </w:r>
    </w:p>
    <w:p>
      <w:pPr>
        <w:spacing w:after="80" w:before="200"/>
        <w:jc w:val="center"/>
      </w:pPr>
      <w:r>
        <w:drawing>
          <wp:inline distT="0" distB="0" distL="0" distR="0">
            <wp:extent cx="5715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62125"/>
                    </a:xfrm>
                    <a:prstGeom prst="rect">
                      <a:avLst/>
                    </a:prstGeom>
                  </pic:spPr>
                </pic:pic>
              </a:graphicData>
            </a:graphic>
          </wp:inline>
        </w:drawing>
      </w:r>
    </w:p>
    <w:p>
      <w:pPr>
        <w:spacing w:after="240"/>
        <w:jc w:val="center"/>
      </w:pPr>
      <w:r>
        <w:rPr>
          <w:i/>
          <w:iCs/>
          <w:color w:val="595959"/>
          <w:sz w:val="18"/>
          <w:szCs w:val="18"/>
        </w:rPr>
        <w:t xml:space="preserve">Figure 2. Churn rate by activity status, number of products, and gender.</w:t>
      </w:r>
    </w:p>
    <w:p>
      <w:pPr>
        <w:spacing w:after="160"/>
      </w:pPr>
      <w:r>
        <w:t xml:space="preserve">Two patterns stand out. First, inactive members churn at nearly double the rate of active members. Second, the relationship between product count and churn is U-shaped in the low range but rises sharply at the top: customers holding 3 or 4 products — typically a sign of over-selling or product-fit mismatch rather than deeper loyalty — churn at substantially higher rates than customers with 1–2 products.</w:t>
      </w:r>
    </w:p>
    <w:p>
      <w:pPr>
        <w:spacing w:after="80" w:before="200"/>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33625"/>
                    </a:xfrm>
                    <a:prstGeom prst="rect">
                      <a:avLst/>
                    </a:prstGeom>
                  </pic:spPr>
                </pic:pic>
              </a:graphicData>
            </a:graphic>
          </wp:inline>
        </w:drawing>
      </w:r>
    </w:p>
    <w:p>
      <w:pPr>
        <w:spacing w:after="240"/>
        <w:jc w:val="center"/>
      </w:pPr>
      <w:r>
        <w:rPr>
          <w:i/>
          <w:iCs/>
          <w:color w:val="595959"/>
          <w:sz w:val="18"/>
          <w:szCs w:val="18"/>
        </w:rPr>
        <w:t xml:space="preserve">Figure 3. Age and credit score distributions, retained vs. churned.</w:t>
      </w:r>
    </w:p>
    <w:p>
      <w:pPr>
        <w:spacing w:after="160"/>
      </w:pPr>
      <w:r>
        <w:t xml:space="preserve">Churned customers skew older; credit score shows a much weaker separation, suggesting it is a secondary rather than primary churn driver — consistent with the model-based importance rankings in Section 8.</w:t>
      </w:r>
    </w:p>
    <w:p>
      <w:pPr>
        <w:spacing w:after="80" w:before="200"/>
        <w:jc w:val="center"/>
      </w:pPr>
      <w:r>
        <w:drawing>
          <wp:inline distT="0" distB="0" distL="0" distR="0">
            <wp:extent cx="4953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962400"/>
                    </a:xfrm>
                    <a:prstGeom prst="rect">
                      <a:avLst/>
                    </a:prstGeom>
                  </pic:spPr>
                </pic:pic>
              </a:graphicData>
            </a:graphic>
          </wp:inline>
        </w:drawing>
      </w:r>
    </w:p>
    <w:p>
      <w:pPr>
        <w:spacing w:after="240"/>
        <w:jc w:val="center"/>
      </w:pPr>
      <w:r>
        <w:rPr>
          <w:i/>
          <w:iCs/>
          <w:color w:val="595959"/>
          <w:sz w:val="18"/>
          <w:szCs w:val="18"/>
        </w:rPr>
        <w:t xml:space="preserve">Figure 4. Correlation matrix across numeric and engineered features.</w:t>
      </w:r>
    </w:p>
    <w:p>
      <w:pPr>
        <w:pStyle w:val="Heading1"/>
        <w:spacing w:after="200" w:before="400"/>
      </w:pPr>
      <w:r>
        <w:t xml:space="preserve">7. Analytical Methodology</w:t>
      </w:r>
    </w:p>
    <w:p>
      <w:pPr>
        <w:pStyle w:val="Heading2"/>
        <w:spacing w:after="140" w:before="280"/>
      </w:pPr>
      <w:r>
        <w:t xml:space="preserve">7.1 Data Preprocessing</w:t>
      </w:r>
    </w:p>
    <w:p>
      <w:pPr>
        <w:pStyle w:val="ListParagraph"/>
        <w:numPr>
          <w:ilvl w:val="0"/>
          <w:numId w:val="2"/>
        </w:numPr>
        <w:spacing w:after="80"/>
      </w:pPr>
      <w:r>
        <w:t xml:space="preserve">Missing values resolved via median (numeric) / most-frequent (categorical) imputation, fit only on the training fold to prevent leakage</w:t>
      </w:r>
    </w:p>
    <w:p>
      <w:pPr>
        <w:pStyle w:val="ListParagraph"/>
        <w:numPr>
          <w:ilvl w:val="0"/>
          <w:numId w:val="2"/>
        </w:numPr>
        <w:spacing w:after="80"/>
      </w:pPr>
      <w:r>
        <w:t xml:space="preserve">Non-informative identifiers (CustomerId, Surname) removed prior to modeling</w:t>
      </w:r>
    </w:p>
    <w:p>
      <w:pPr>
        <w:pStyle w:val="ListParagraph"/>
        <w:numPr>
          <w:ilvl w:val="0"/>
          <w:numId w:val="2"/>
        </w:numPr>
        <w:spacing w:after="80"/>
      </w:pPr>
      <w:r>
        <w:t xml:space="preserve">Categorical variables (Geography, Gender) one-hot encoded</w:t>
      </w:r>
    </w:p>
    <w:p>
      <w:pPr>
        <w:pStyle w:val="ListParagraph"/>
        <w:numPr>
          <w:ilvl w:val="0"/>
          <w:numId w:val="2"/>
        </w:numPr>
        <w:spacing w:after="80"/>
      </w:pPr>
      <w:r>
        <w:t xml:space="preserve">Numerical features standardized (zero mean, unit variance) inside the pipeline</w:t>
      </w:r>
    </w:p>
    <w:p>
      <w:pPr>
        <w:pStyle w:val="Heading2"/>
        <w:spacing w:after="140" w:before="280"/>
      </w:pPr>
      <w:r>
        <w:t xml:space="preserve">7.2 Feature Engineering</w:t>
      </w:r>
    </w:p>
    <w:p>
      <w:pPr>
        <w:pStyle w:val="ListParagraph"/>
        <w:numPr>
          <w:ilvl w:val="0"/>
          <w:numId w:val="2"/>
        </w:numPr>
        <w:spacing w:after="80"/>
      </w:pPr>
      <w:r>
        <w:t xml:space="preserve">Balance-to-Salary ratio — captures financial exposure relative to income</w:t>
      </w:r>
    </w:p>
    <w:p>
      <w:pPr>
        <w:pStyle w:val="ListParagraph"/>
        <w:numPr>
          <w:ilvl w:val="0"/>
          <w:numId w:val="2"/>
        </w:numPr>
        <w:spacing w:after="80"/>
      </w:pPr>
      <w:r>
        <w:t xml:space="preserve">Product density — products held per year of tenure</w:t>
      </w:r>
    </w:p>
    <w:p>
      <w:pPr>
        <w:pStyle w:val="ListParagraph"/>
        <w:numPr>
          <w:ilvl w:val="0"/>
          <w:numId w:val="2"/>
        </w:numPr>
        <w:spacing w:after="80"/>
      </w:pPr>
      <w:r>
        <w:t xml:space="preserve">Engagement–product interaction — activity status × number of products</w:t>
      </w:r>
    </w:p>
    <w:p>
      <w:pPr>
        <w:pStyle w:val="ListParagraph"/>
        <w:numPr>
          <w:ilvl w:val="0"/>
          <w:numId w:val="2"/>
        </w:numPr>
        <w:spacing w:after="80"/>
      </w:pPr>
      <w:r>
        <w:t xml:space="preserve">Age–tenure interaction — captures lifecycle-stage effects</w:t>
      </w:r>
    </w:p>
    <w:p>
      <w:pPr>
        <w:pStyle w:val="ListParagraph"/>
        <w:numPr>
          <w:ilvl w:val="0"/>
          <w:numId w:val="2"/>
        </w:numPr>
        <w:spacing w:after="80"/>
      </w:pPr>
      <w:r>
        <w:t xml:space="preserve">Zero-balance flag and products-per-credit-card ratio — secondary engineered signals</w:t>
      </w:r>
    </w:p>
    <w:p>
      <w:pPr>
        <w:pStyle w:val="Heading2"/>
        <w:spacing w:after="140" w:before="280"/>
      </w:pPr>
      <w:r>
        <w:t xml:space="preserve">7.3 Train–Test Strategy</w:t>
      </w:r>
    </w:p>
    <w:p>
      <w:pPr>
        <w:spacing w:after="160"/>
      </w:pPr>
      <w:r>
        <w:t xml:space="preserve">An 80/20 stratified split preserved the churn class ratio in both partitions (train: 18.3%, test: 18.3%). 5-fold stratified cross-validation was additionally run on the training set for every model to check stability of the ROC-AUC estimate before final test evaluation.</w:t>
      </w:r>
    </w:p>
    <w:p>
      <w:pPr>
        <w:pStyle w:val="Heading2"/>
        <w:spacing w:after="140" w:before="280"/>
      </w:pPr>
      <w:r>
        <w:t xml:space="preserve">7.4 Model Development</w:t>
      </w:r>
    </w:p>
    <w:p>
      <w:pPr>
        <w:spacing w:after="160"/>
      </w:pPr>
      <w:r>
        <w:t xml:space="preserve">Four models were trained inside identical preprocessing pipelines to ensure a fair comparison:</w:t>
      </w:r>
    </w:p>
    <w:p>
      <w:pPr>
        <w:pStyle w:val="ListParagraph"/>
        <w:numPr>
          <w:ilvl w:val="0"/>
          <w:numId w:val="2"/>
        </w:numPr>
        <w:spacing w:after="80"/>
      </w:pPr>
      <w:r>
        <w:t xml:space="preserve">Logistic Regression — interpretability benchmark, class-weight balanced</w:t>
      </w:r>
    </w:p>
    <w:p>
      <w:pPr>
        <w:pStyle w:val="ListParagraph"/>
        <w:numPr>
          <w:ilvl w:val="0"/>
          <w:numId w:val="2"/>
        </w:numPr>
        <w:spacing w:after="80"/>
      </w:pPr>
      <w:r>
        <w:t xml:space="preserve">Decision Tree — simple non-linear baseline, depth-limited to control overfitting</w:t>
      </w:r>
    </w:p>
    <w:p>
      <w:pPr>
        <w:pStyle w:val="ListParagraph"/>
        <w:numPr>
          <w:ilvl w:val="0"/>
          <w:numId w:val="2"/>
        </w:numPr>
        <w:spacing w:after="80"/>
      </w:pPr>
      <w:r>
        <w:t xml:space="preserve">Random Forest — primary ensemble candidate, class-weight balanced</w:t>
      </w:r>
    </w:p>
    <w:p>
      <w:pPr>
        <w:pStyle w:val="ListParagraph"/>
        <w:numPr>
          <w:ilvl w:val="0"/>
          <w:numId w:val="2"/>
        </w:numPr>
        <w:spacing w:after="80"/>
      </w:pPr>
      <w:r>
        <w:t xml:space="preserve">Gradient Boosting — advanced ensemble comparison</w:t>
      </w:r>
    </w:p>
    <w:p>
      <w:pPr>
        <w:spacing w:after="160"/>
      </w:pPr>
      <w:r>
        <w:t xml:space="preserve">XGBoost was scoped as an optional extension in the brief; the pipeline is structured so it can be swapped in for the Gradient Boosting step with no other changes, if the deployment environment has the library available.</w:t>
      </w:r>
    </w:p>
    <w:p>
      <w:pPr>
        <w:pStyle w:val="Heading1"/>
        <w:spacing w:after="200" w:before="400"/>
      </w:pPr>
      <w:r>
        <w:t xml:space="preserve">8. Model Evaluation</w:t>
      </w:r>
    </w:p>
    <w:p>
      <w:pPr>
        <w:spacing w:after="160"/>
      </w:pPr>
      <w:r>
        <w:t xml:space="preserve">All four models were scored on the held-out test set using accuracy, precision, recall, F1-score, and ROC-AUC: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675"/>
        <w:gridCol w:w="1675"/>
        <w:gridCol w:w="1675"/>
        <w:gridCol w:w="1675"/>
        <w:gridCol w:w="1675"/>
      </w:tblGrid>
      <w:tr>
        <w:trPr>
          <w:tblHeader/>
        </w:trPr>
        <w:tc>
          <w:tcPr>
            <w:tcW w:type="dxa" w:w="2800"/>
            <w:shd w:fill="1F3864" w:val="clear"/>
            <w:tcMar>
              <w:top w:type="dxa" w:w="80"/>
              <w:left w:type="dxa" w:w="100"/>
              <w:bottom w:type="dxa" w:w="80"/>
              <w:right w:type="dxa" w:w="100"/>
            </w:tcMar>
          </w:tcPr>
          <w:p>
            <w:pPr>
              <w:jc w:val="left"/>
            </w:pPr>
            <w:r>
              <w:rPr>
                <w:b/>
                <w:bCs/>
                <w:color w:val="FFFFFF"/>
              </w:rPr>
              <w:t xml:space="preserve">Model</w:t>
            </w:r>
          </w:p>
        </w:tc>
        <w:tc>
          <w:tcPr>
            <w:tcW w:type="dxa" w:w="1675"/>
            <w:shd w:fill="1F3864" w:val="clear"/>
            <w:tcMar>
              <w:top w:type="dxa" w:w="80"/>
              <w:left w:type="dxa" w:w="100"/>
              <w:bottom w:type="dxa" w:w="80"/>
              <w:right w:type="dxa" w:w="100"/>
            </w:tcMar>
          </w:tcPr>
          <w:p>
            <w:pPr>
              <w:jc w:val="center"/>
            </w:pPr>
            <w:r>
              <w:rPr>
                <w:b/>
                <w:bCs/>
                <w:color w:val="FFFFFF"/>
              </w:rPr>
              <w:t xml:space="preserve">Accuracy</w:t>
            </w:r>
          </w:p>
        </w:tc>
        <w:tc>
          <w:tcPr>
            <w:tcW w:type="dxa" w:w="1675"/>
            <w:shd w:fill="1F3864" w:val="clear"/>
            <w:tcMar>
              <w:top w:type="dxa" w:w="80"/>
              <w:left w:type="dxa" w:w="100"/>
              <w:bottom w:type="dxa" w:w="80"/>
              <w:right w:type="dxa" w:w="100"/>
            </w:tcMar>
          </w:tcPr>
          <w:p>
            <w:pPr>
              <w:jc w:val="center"/>
            </w:pPr>
            <w:r>
              <w:rPr>
                <w:b/>
                <w:bCs/>
                <w:color w:val="FFFFFF"/>
              </w:rPr>
              <w:t xml:space="preserve">Precision</w:t>
            </w:r>
          </w:p>
        </w:tc>
        <w:tc>
          <w:tcPr>
            <w:tcW w:type="dxa" w:w="1675"/>
            <w:shd w:fill="1F3864" w:val="clear"/>
            <w:tcMar>
              <w:top w:type="dxa" w:w="80"/>
              <w:left w:type="dxa" w:w="100"/>
              <w:bottom w:type="dxa" w:w="80"/>
              <w:right w:type="dxa" w:w="100"/>
            </w:tcMar>
          </w:tcPr>
          <w:p>
            <w:pPr>
              <w:jc w:val="center"/>
            </w:pPr>
            <w:r>
              <w:rPr>
                <w:b/>
                <w:bCs/>
                <w:color w:val="FFFFFF"/>
              </w:rPr>
              <w:t xml:space="preserve">Recall</w:t>
            </w:r>
          </w:p>
        </w:tc>
        <w:tc>
          <w:tcPr>
            <w:tcW w:type="dxa" w:w="1675"/>
            <w:shd w:fill="1F3864" w:val="clear"/>
            <w:tcMar>
              <w:top w:type="dxa" w:w="80"/>
              <w:left w:type="dxa" w:w="100"/>
              <w:bottom w:type="dxa" w:w="80"/>
              <w:right w:type="dxa" w:w="100"/>
            </w:tcMar>
          </w:tcPr>
          <w:p>
            <w:pPr>
              <w:jc w:val="center"/>
            </w:pPr>
            <w:r>
              <w:rPr>
                <w:b/>
                <w:bCs/>
                <w:color w:val="FFFFFF"/>
              </w:rPr>
              <w:t xml:space="preserve">F1-Score</w:t>
            </w:r>
          </w:p>
        </w:tc>
        <w:tc>
          <w:tcPr>
            <w:tcW w:type="dxa" w:w="1675"/>
            <w:shd w:fill="1F3864" w:val="clear"/>
            <w:tcMar>
              <w:top w:type="dxa" w:w="80"/>
              <w:left w:type="dxa" w:w="100"/>
              <w:bottom w:type="dxa" w:w="80"/>
              <w:right w:type="dxa" w:w="100"/>
            </w:tcMar>
          </w:tcPr>
          <w:p>
            <w:pPr>
              <w:jc w:val="center"/>
            </w:pPr>
            <w:r>
              <w:rPr>
                <w:b/>
                <w:bCs/>
                <w:color w:val="FFFFFF"/>
              </w:rPr>
              <w:t xml:space="preserve">ROC-AUC</w:t>
            </w:r>
          </w:p>
        </w:tc>
      </w:tr>
      <w:tr>
        <w:tc>
          <w:tcPr>
            <w:tcW w:type="dxa" w:w="2800"/>
            <w:shd w:fill="FFFFFF" w:val="clear"/>
            <w:tcMar>
              <w:top w:type="dxa" w:w="80"/>
              <w:left w:type="dxa" w:w="100"/>
              <w:bottom w:type="dxa" w:w="80"/>
              <w:right w:type="dxa" w:w="100"/>
            </w:tcMar>
          </w:tcPr>
          <w:p>
            <w:pPr>
              <w:jc w:val="left"/>
            </w:pPr>
            <w:r>
              <w:rPr>
                <w:b w:val="false"/>
                <w:bCs w:val="false"/>
                <w:color w:val="000000"/>
              </w:rPr>
              <w:t xml:space="preserve">Logistic Regression</w:t>
            </w:r>
          </w:p>
        </w:tc>
        <w:tc>
          <w:tcPr>
            <w:tcW w:type="dxa" w:w="1675"/>
            <w:shd w:fill="FFFFFF" w:val="clear"/>
            <w:tcMar>
              <w:top w:type="dxa" w:w="80"/>
              <w:left w:type="dxa" w:w="100"/>
              <w:bottom w:type="dxa" w:w="80"/>
              <w:right w:type="dxa" w:w="100"/>
            </w:tcMar>
          </w:tcPr>
          <w:p>
            <w:pPr>
              <w:jc w:val="center"/>
            </w:pPr>
            <w:r>
              <w:rPr>
                <w:b w:val="false"/>
                <w:bCs w:val="false"/>
                <w:color w:val="000000"/>
              </w:rPr>
              <w:t xml:space="preserve">0.633</w:t>
            </w:r>
          </w:p>
        </w:tc>
        <w:tc>
          <w:tcPr>
            <w:tcW w:type="dxa" w:w="1675"/>
            <w:shd w:fill="FFFFFF" w:val="clear"/>
            <w:tcMar>
              <w:top w:type="dxa" w:w="80"/>
              <w:left w:type="dxa" w:w="100"/>
              <w:bottom w:type="dxa" w:w="80"/>
              <w:right w:type="dxa" w:w="100"/>
            </w:tcMar>
          </w:tcPr>
          <w:p>
            <w:pPr>
              <w:jc w:val="center"/>
            </w:pPr>
            <w:r>
              <w:rPr>
                <w:b w:val="false"/>
                <w:bCs w:val="false"/>
                <w:color w:val="000000"/>
              </w:rPr>
              <w:t xml:space="preserve">0.275</w:t>
            </w:r>
          </w:p>
        </w:tc>
        <w:tc>
          <w:tcPr>
            <w:tcW w:type="dxa" w:w="1675"/>
            <w:shd w:fill="FFFFFF" w:val="clear"/>
            <w:tcMar>
              <w:top w:type="dxa" w:w="80"/>
              <w:left w:type="dxa" w:w="100"/>
              <w:bottom w:type="dxa" w:w="80"/>
              <w:right w:type="dxa" w:w="100"/>
            </w:tcMar>
          </w:tcPr>
          <w:p>
            <w:pPr>
              <w:jc w:val="center"/>
            </w:pPr>
            <w:r>
              <w:rPr>
                <w:b w:val="false"/>
                <w:bCs w:val="false"/>
                <w:color w:val="000000"/>
              </w:rPr>
              <w:t xml:space="preserve">0.612</w:t>
            </w:r>
          </w:p>
        </w:tc>
        <w:tc>
          <w:tcPr>
            <w:tcW w:type="dxa" w:w="1675"/>
            <w:shd w:fill="FFFFFF" w:val="clear"/>
            <w:tcMar>
              <w:top w:type="dxa" w:w="80"/>
              <w:left w:type="dxa" w:w="100"/>
              <w:bottom w:type="dxa" w:w="80"/>
              <w:right w:type="dxa" w:w="100"/>
            </w:tcMar>
          </w:tcPr>
          <w:p>
            <w:pPr>
              <w:jc w:val="center"/>
            </w:pPr>
            <w:r>
              <w:rPr>
                <w:b w:val="false"/>
                <w:bCs w:val="false"/>
                <w:color w:val="000000"/>
              </w:rPr>
              <w:t xml:space="preserve">0.379</w:t>
            </w:r>
          </w:p>
        </w:tc>
        <w:tc>
          <w:tcPr>
            <w:tcW w:type="dxa" w:w="1675"/>
            <w:shd w:fill="FFFFFF" w:val="clear"/>
            <w:tcMar>
              <w:top w:type="dxa" w:w="80"/>
              <w:left w:type="dxa" w:w="100"/>
              <w:bottom w:type="dxa" w:w="80"/>
              <w:right w:type="dxa" w:w="100"/>
            </w:tcMar>
          </w:tcPr>
          <w:p>
            <w:pPr>
              <w:jc w:val="center"/>
            </w:pPr>
            <w:r>
              <w:rPr>
                <w:b w:val="false"/>
                <w:bCs w:val="false"/>
                <w:color w:val="000000"/>
              </w:rPr>
              <w:t xml:space="preserve">0.679</w:t>
            </w:r>
          </w:p>
        </w:tc>
      </w:tr>
      <w:tr>
        <w:tc>
          <w:tcPr>
            <w:tcW w:type="dxa" w:w="2800"/>
            <w:shd w:fill="F7F9FC" w:val="clear"/>
            <w:tcMar>
              <w:top w:type="dxa" w:w="80"/>
              <w:left w:type="dxa" w:w="100"/>
              <w:bottom w:type="dxa" w:w="80"/>
              <w:right w:type="dxa" w:w="100"/>
            </w:tcMar>
          </w:tcPr>
          <w:p>
            <w:pPr>
              <w:jc w:val="left"/>
            </w:pPr>
            <w:r>
              <w:rPr>
                <w:b w:val="false"/>
                <w:bCs w:val="false"/>
                <w:color w:val="000000"/>
              </w:rPr>
              <w:t xml:space="preserve">Decision Tree</w:t>
            </w:r>
          </w:p>
        </w:tc>
        <w:tc>
          <w:tcPr>
            <w:tcW w:type="dxa" w:w="1675"/>
            <w:shd w:fill="F7F9FC" w:val="clear"/>
            <w:tcMar>
              <w:top w:type="dxa" w:w="80"/>
              <w:left w:type="dxa" w:w="100"/>
              <w:bottom w:type="dxa" w:w="80"/>
              <w:right w:type="dxa" w:w="100"/>
            </w:tcMar>
          </w:tcPr>
          <w:p>
            <w:pPr>
              <w:jc w:val="center"/>
            </w:pPr>
            <w:r>
              <w:rPr>
                <w:b w:val="false"/>
                <w:bCs w:val="false"/>
                <w:color w:val="000000"/>
              </w:rPr>
              <w:t xml:space="preserve">0.671</w:t>
            </w:r>
          </w:p>
        </w:tc>
        <w:tc>
          <w:tcPr>
            <w:tcW w:type="dxa" w:w="1675"/>
            <w:shd w:fill="F7F9FC" w:val="clear"/>
            <w:tcMar>
              <w:top w:type="dxa" w:w="80"/>
              <w:left w:type="dxa" w:w="100"/>
              <w:bottom w:type="dxa" w:w="80"/>
              <w:right w:type="dxa" w:w="100"/>
            </w:tcMar>
          </w:tcPr>
          <w:p>
            <w:pPr>
              <w:jc w:val="center"/>
            </w:pPr>
            <w:r>
              <w:rPr>
                <w:b w:val="false"/>
                <w:bCs w:val="false"/>
                <w:color w:val="000000"/>
              </w:rPr>
              <w:t xml:space="preserve">0.280</w:t>
            </w:r>
          </w:p>
        </w:tc>
        <w:tc>
          <w:tcPr>
            <w:tcW w:type="dxa" w:w="1675"/>
            <w:shd w:fill="F7F9FC" w:val="clear"/>
            <w:tcMar>
              <w:top w:type="dxa" w:w="80"/>
              <w:left w:type="dxa" w:w="100"/>
              <w:bottom w:type="dxa" w:w="80"/>
              <w:right w:type="dxa" w:w="100"/>
            </w:tcMar>
          </w:tcPr>
          <w:p>
            <w:pPr>
              <w:jc w:val="center"/>
            </w:pPr>
            <w:r>
              <w:rPr>
                <w:b w:val="false"/>
                <w:bCs w:val="false"/>
                <w:color w:val="000000"/>
              </w:rPr>
              <w:t xml:space="preserve">0.505</w:t>
            </w:r>
          </w:p>
        </w:tc>
        <w:tc>
          <w:tcPr>
            <w:tcW w:type="dxa" w:w="1675"/>
            <w:shd w:fill="F7F9FC" w:val="clear"/>
            <w:tcMar>
              <w:top w:type="dxa" w:w="80"/>
              <w:left w:type="dxa" w:w="100"/>
              <w:bottom w:type="dxa" w:w="80"/>
              <w:right w:type="dxa" w:w="100"/>
            </w:tcMar>
          </w:tcPr>
          <w:p>
            <w:pPr>
              <w:jc w:val="center"/>
            </w:pPr>
            <w:r>
              <w:rPr>
                <w:b w:val="false"/>
                <w:bCs w:val="false"/>
                <w:color w:val="000000"/>
              </w:rPr>
              <w:t xml:space="preserve">0.360</w:t>
            </w:r>
          </w:p>
        </w:tc>
        <w:tc>
          <w:tcPr>
            <w:tcW w:type="dxa" w:w="1675"/>
            <w:shd w:fill="F7F9FC" w:val="clear"/>
            <w:tcMar>
              <w:top w:type="dxa" w:w="80"/>
              <w:left w:type="dxa" w:w="100"/>
              <w:bottom w:type="dxa" w:w="80"/>
              <w:right w:type="dxa" w:w="100"/>
            </w:tcMar>
          </w:tcPr>
          <w:p>
            <w:pPr>
              <w:jc w:val="center"/>
            </w:pPr>
            <w:r>
              <w:rPr>
                <w:b w:val="false"/>
                <w:bCs w:val="false"/>
                <w:color w:val="000000"/>
              </w:rPr>
              <w:t xml:space="preserve">0.666</w:t>
            </w:r>
          </w:p>
        </w:tc>
      </w:tr>
      <w:tr>
        <w:tc>
          <w:tcPr>
            <w:tcW w:type="dxa" w:w="2800"/>
            <w:shd w:fill="EEF2F7" w:val="clear"/>
            <w:tcMar>
              <w:top w:type="dxa" w:w="80"/>
              <w:left w:type="dxa" w:w="100"/>
              <w:bottom w:type="dxa" w:w="80"/>
              <w:right w:type="dxa" w:w="100"/>
            </w:tcMar>
          </w:tcPr>
          <w:p>
            <w:pPr>
              <w:jc w:val="left"/>
            </w:pPr>
            <w:r>
              <w:rPr>
                <w:b/>
                <w:bCs/>
                <w:color w:val="000000"/>
              </w:rPr>
              <w:t xml:space="preserve">Random Forest</w:t>
            </w:r>
          </w:p>
        </w:tc>
        <w:tc>
          <w:tcPr>
            <w:tcW w:type="dxa" w:w="1675"/>
            <w:shd w:fill="EEF2F7" w:val="clear"/>
            <w:tcMar>
              <w:top w:type="dxa" w:w="80"/>
              <w:left w:type="dxa" w:w="100"/>
              <w:bottom w:type="dxa" w:w="80"/>
              <w:right w:type="dxa" w:w="100"/>
            </w:tcMar>
          </w:tcPr>
          <w:p>
            <w:pPr>
              <w:jc w:val="center"/>
            </w:pPr>
            <w:r>
              <w:rPr>
                <w:b w:val="false"/>
                <w:bCs w:val="false"/>
                <w:color w:val="000000"/>
              </w:rPr>
              <w:t xml:space="preserve">0.712</w:t>
            </w:r>
          </w:p>
        </w:tc>
        <w:tc>
          <w:tcPr>
            <w:tcW w:type="dxa" w:w="1675"/>
            <w:shd w:fill="EEF2F7" w:val="clear"/>
            <w:tcMar>
              <w:top w:type="dxa" w:w="80"/>
              <w:left w:type="dxa" w:w="100"/>
              <w:bottom w:type="dxa" w:w="80"/>
              <w:right w:type="dxa" w:w="100"/>
            </w:tcMar>
          </w:tcPr>
          <w:p>
            <w:pPr>
              <w:jc w:val="center"/>
            </w:pPr>
            <w:r>
              <w:rPr>
                <w:b w:val="false"/>
                <w:bCs w:val="false"/>
                <w:color w:val="000000"/>
              </w:rPr>
              <w:t xml:space="preserve">0.334</w:t>
            </w:r>
          </w:p>
        </w:tc>
        <w:tc>
          <w:tcPr>
            <w:tcW w:type="dxa" w:w="1675"/>
            <w:shd w:fill="EEF2F7" w:val="clear"/>
            <w:tcMar>
              <w:top w:type="dxa" w:w="80"/>
              <w:left w:type="dxa" w:w="100"/>
              <w:bottom w:type="dxa" w:w="80"/>
              <w:right w:type="dxa" w:w="100"/>
            </w:tcMar>
          </w:tcPr>
          <w:p>
            <w:pPr>
              <w:jc w:val="center"/>
            </w:pPr>
            <w:r>
              <w:rPr>
                <w:b w:val="false"/>
                <w:bCs w:val="false"/>
                <w:color w:val="000000"/>
              </w:rPr>
              <w:t xml:space="preserve">0.579</w:t>
            </w:r>
          </w:p>
        </w:tc>
        <w:tc>
          <w:tcPr>
            <w:tcW w:type="dxa" w:w="1675"/>
            <w:shd w:fill="EEF2F7" w:val="clear"/>
            <w:tcMar>
              <w:top w:type="dxa" w:w="80"/>
              <w:left w:type="dxa" w:w="100"/>
              <w:bottom w:type="dxa" w:w="80"/>
              <w:right w:type="dxa" w:w="100"/>
            </w:tcMar>
          </w:tcPr>
          <w:p>
            <w:pPr>
              <w:jc w:val="center"/>
            </w:pPr>
            <w:r>
              <w:rPr>
                <w:b w:val="false"/>
                <w:bCs w:val="false"/>
                <w:color w:val="000000"/>
              </w:rPr>
              <w:t xml:space="preserve">0.424</w:t>
            </w:r>
          </w:p>
        </w:tc>
        <w:tc>
          <w:tcPr>
            <w:tcW w:type="dxa" w:w="1675"/>
            <w:shd w:fill="EEF2F7" w:val="clear"/>
            <w:tcMar>
              <w:top w:type="dxa" w:w="80"/>
              <w:left w:type="dxa" w:w="100"/>
              <w:bottom w:type="dxa" w:w="80"/>
              <w:right w:type="dxa" w:w="100"/>
            </w:tcMar>
          </w:tcPr>
          <w:p>
            <w:pPr>
              <w:jc w:val="center"/>
            </w:pPr>
            <w:r>
              <w:rPr>
                <w:b w:val="false"/>
                <w:bCs w:val="false"/>
                <w:color w:val="000000"/>
              </w:rPr>
              <w:t xml:space="preserve">0.712</w:t>
            </w:r>
          </w:p>
        </w:tc>
      </w:tr>
      <w:tr>
        <w:tc>
          <w:tcPr>
            <w:tcW w:type="dxa" w:w="2800"/>
            <w:shd w:fill="F7F9FC" w:val="clear"/>
            <w:tcMar>
              <w:top w:type="dxa" w:w="80"/>
              <w:left w:type="dxa" w:w="100"/>
              <w:bottom w:type="dxa" w:w="80"/>
              <w:right w:type="dxa" w:w="100"/>
            </w:tcMar>
          </w:tcPr>
          <w:p>
            <w:pPr>
              <w:jc w:val="left"/>
            </w:pPr>
            <w:r>
              <w:rPr>
                <w:b w:val="false"/>
                <w:bCs w:val="false"/>
                <w:color w:val="000000"/>
              </w:rPr>
              <w:t xml:space="preserve">Gradient Boosting</w:t>
            </w:r>
          </w:p>
        </w:tc>
        <w:tc>
          <w:tcPr>
            <w:tcW w:type="dxa" w:w="1675"/>
            <w:shd w:fill="F7F9FC" w:val="clear"/>
            <w:tcMar>
              <w:top w:type="dxa" w:w="80"/>
              <w:left w:type="dxa" w:w="100"/>
              <w:bottom w:type="dxa" w:w="80"/>
              <w:right w:type="dxa" w:w="100"/>
            </w:tcMar>
          </w:tcPr>
          <w:p>
            <w:pPr>
              <w:jc w:val="center"/>
            </w:pPr>
            <w:r>
              <w:rPr>
                <w:b w:val="false"/>
                <w:bCs w:val="false"/>
                <w:color w:val="000000"/>
              </w:rPr>
              <w:t xml:space="preserve">0.823</w:t>
            </w:r>
          </w:p>
        </w:tc>
        <w:tc>
          <w:tcPr>
            <w:tcW w:type="dxa" w:w="1675"/>
            <w:shd w:fill="F7F9FC" w:val="clear"/>
            <w:tcMar>
              <w:top w:type="dxa" w:w="80"/>
              <w:left w:type="dxa" w:w="100"/>
              <w:bottom w:type="dxa" w:w="80"/>
              <w:right w:type="dxa" w:w="100"/>
            </w:tcMar>
          </w:tcPr>
          <w:p>
            <w:pPr>
              <w:jc w:val="center"/>
            </w:pPr>
            <w:r>
              <w:rPr>
                <w:b w:val="false"/>
                <w:bCs w:val="false"/>
                <w:color w:val="000000"/>
              </w:rPr>
              <w:t xml:space="preserve">0.586</w:t>
            </w:r>
          </w:p>
        </w:tc>
        <w:tc>
          <w:tcPr>
            <w:tcW w:type="dxa" w:w="1675"/>
            <w:shd w:fill="F7F9FC" w:val="clear"/>
            <w:tcMar>
              <w:top w:type="dxa" w:w="80"/>
              <w:left w:type="dxa" w:w="100"/>
              <w:bottom w:type="dxa" w:w="80"/>
              <w:right w:type="dxa" w:w="100"/>
            </w:tcMar>
          </w:tcPr>
          <w:p>
            <w:pPr>
              <w:jc w:val="center"/>
            </w:pPr>
            <w:r>
              <w:rPr>
                <w:b w:val="false"/>
                <w:bCs w:val="false"/>
                <w:color w:val="000000"/>
              </w:rPr>
              <w:t xml:space="preserve">0.112</w:t>
            </w:r>
          </w:p>
        </w:tc>
        <w:tc>
          <w:tcPr>
            <w:tcW w:type="dxa" w:w="1675"/>
            <w:shd w:fill="F7F9FC" w:val="clear"/>
            <w:tcMar>
              <w:top w:type="dxa" w:w="80"/>
              <w:left w:type="dxa" w:w="100"/>
              <w:bottom w:type="dxa" w:w="80"/>
              <w:right w:type="dxa" w:w="100"/>
            </w:tcMar>
          </w:tcPr>
          <w:p>
            <w:pPr>
              <w:jc w:val="center"/>
            </w:pPr>
            <w:r>
              <w:rPr>
                <w:b w:val="false"/>
                <w:bCs w:val="false"/>
                <w:color w:val="000000"/>
              </w:rPr>
              <w:t xml:space="preserve">0.188</w:t>
            </w:r>
          </w:p>
        </w:tc>
        <w:tc>
          <w:tcPr>
            <w:tcW w:type="dxa" w:w="1675"/>
            <w:shd w:fill="F7F9FC" w:val="clear"/>
            <w:tcMar>
              <w:top w:type="dxa" w:w="80"/>
              <w:left w:type="dxa" w:w="100"/>
              <w:bottom w:type="dxa" w:w="80"/>
              <w:right w:type="dxa" w:w="100"/>
            </w:tcMar>
          </w:tcPr>
          <w:p>
            <w:pPr>
              <w:jc w:val="center"/>
            </w:pPr>
            <w:r>
              <w:rPr>
                <w:b w:val="false"/>
                <w:bCs w:val="false"/>
                <w:color w:val="000000"/>
              </w:rPr>
              <w:t xml:space="preserve">0.709</w:t>
            </w:r>
          </w:p>
        </w:tc>
      </w:tr>
    </w:tbl>
    <w:p>
      <w:pPr>
        <w:spacing w:after="160"/>
      </w:pPr>
      <w:r>
        <w:t xml:space="preserve"/>
      </w:r>
    </w:p>
    <w:p>
      <w:pPr>
        <w:spacing w:after="80" w:before="20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95675"/>
                    </a:xfrm>
                    <a:prstGeom prst="rect">
                      <a:avLst/>
                    </a:prstGeom>
                  </pic:spPr>
                </pic:pic>
              </a:graphicData>
            </a:graphic>
          </wp:inline>
        </w:drawing>
      </w:r>
    </w:p>
    <w:p>
      <w:pPr>
        <w:spacing w:after="240"/>
        <w:jc w:val="center"/>
      </w:pPr>
      <w:r>
        <w:rPr>
          <w:i/>
          <w:iCs/>
          <w:color w:val="595959"/>
          <w:sz w:val="18"/>
          <w:szCs w:val="18"/>
        </w:rPr>
        <w:t xml:space="preserve">Figure 5. Model performance comparison across all five evaluation metrics.</w:t>
      </w:r>
    </w:p>
    <w:p>
      <w:pPr>
        <w:spacing w:after="80" w:before="200"/>
        <w:jc w:val="center"/>
      </w:pPr>
      <w:r>
        <w:drawing>
          <wp:inline distT="0" distB="0" distL="0" distR="0">
            <wp:extent cx="4572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914775"/>
                    </a:xfrm>
                    <a:prstGeom prst="rect">
                      <a:avLst/>
                    </a:prstGeom>
                  </pic:spPr>
                </pic:pic>
              </a:graphicData>
            </a:graphic>
          </wp:inline>
        </w:drawing>
      </w:r>
    </w:p>
    <w:p>
      <w:pPr>
        <w:spacing w:after="240"/>
        <w:jc w:val="center"/>
      </w:pPr>
      <w:r>
        <w:rPr>
          <w:i/>
          <w:iCs/>
          <w:color w:val="595959"/>
          <w:sz w:val="18"/>
          <w:szCs w:val="18"/>
        </w:rPr>
        <w:t xml:space="preserve">Figure 6. ROC curves for all four candidate models.</w:t>
      </w:r>
    </w:p>
    <w:p>
      <w:pPr>
        <w:spacing w:after="160"/>
      </w:pPr>
      <w:r>
        <w:t xml:space="preserve">Random Forest was selected for deployment: it achieves the highest test ROC-AUC (0.712) and the best F1-score (0.424) of the four models, indicating the most balanced trade-off between correctly flagging churners (recall = 57.9%) and avoiding false alarms (precision = 33.4%). Gradient Boosting reaches higher raw accuracy (82.3%) but at the cost of very low recall (11.2%) — it defaults toward predicting the majority "retained" class, which is unsuitable for a retention use case where missing an at-risk customer is costlier than a false alarm.</w:t>
      </w:r>
    </w:p>
    <w:p>
      <w:pPr>
        <w:spacing w:after="80" w:before="200"/>
        <w:jc w:val="center"/>
      </w:pPr>
      <w:r>
        <w:drawing>
          <wp:inline distT="0" distB="0" distL="0" distR="0">
            <wp:extent cx="40005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638550"/>
                    </a:xfrm>
                    <a:prstGeom prst="rect">
                      <a:avLst/>
                    </a:prstGeom>
                  </pic:spPr>
                </pic:pic>
              </a:graphicData>
            </a:graphic>
          </wp:inline>
        </w:drawing>
      </w:r>
    </w:p>
    <w:p>
      <w:pPr>
        <w:spacing w:after="240"/>
        <w:jc w:val="center"/>
      </w:pPr>
      <w:r>
        <w:rPr>
          <w:i/>
          <w:iCs/>
          <w:color w:val="595959"/>
          <w:sz w:val="18"/>
          <w:szCs w:val="18"/>
        </w:rPr>
        <w:t xml:space="preserve">Figure 7. Confusion matrix for the deployed Random Forest model at a 0.5 probability threshold.</w:t>
      </w:r>
    </w:p>
    <w:p>
      <w:pPr>
        <w:spacing w:after="160"/>
      </w:pPr>
      <w:r>
        <w:t xml:space="preserve">The dashboard's decision threshold is adjustable (see Section 11), allowing retention teams to trade precision for recall depending on campaign capacity and cost-per-contact — lowering the threshold below 0.5 catches more true churners at the cost of more false positives, and vice versa.</w:t>
      </w:r>
    </w:p>
    <w:p>
      <w:pPr>
        <w:pStyle w:val="Heading1"/>
        <w:spacing w:after="200" w:before="400"/>
      </w:pPr>
      <w:r>
        <w:t xml:space="preserve">9. Model Explainability</w:t>
      </w:r>
    </w:p>
    <w:p>
      <w:pPr>
        <w:spacing w:after="160"/>
      </w:pPr>
      <w:r>
        <w:t xml:space="preserve">Two complementary importance methods were used to identify churn drivers and cross-validate findings, supporting both regulatory transparency and business trust:</w:t>
      </w:r>
    </w:p>
    <w:p>
      <w:pPr>
        <w:pStyle w:val="Heading2"/>
        <w:spacing w:after="140" w:before="280"/>
      </w:pPr>
      <w:r>
        <w:t xml:space="preserve">9.1 Native Feature Importance (Random Forest)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2500"/>
      </w:tblGrid>
      <w:tr>
        <w:trPr>
          <w:tblHeader/>
        </w:trPr>
        <w:tc>
          <w:tcPr>
            <w:tcW w:type="dxa" w:w="1000"/>
            <w:shd w:fill="1F3864" w:val="clear"/>
            <w:tcMar>
              <w:top w:type="dxa" w:w="80"/>
              <w:left w:type="dxa" w:w="100"/>
              <w:bottom w:type="dxa" w:w="80"/>
              <w:right w:type="dxa" w:w="100"/>
            </w:tcMar>
          </w:tcPr>
          <w:p>
            <w:pPr>
              <w:jc w:val="center"/>
            </w:pPr>
            <w:r>
              <w:rPr>
                <w:b/>
                <w:bCs/>
                <w:color w:val="FFFFFF"/>
              </w:rPr>
              <w:t xml:space="preserve">Rank</w:t>
            </w:r>
          </w:p>
        </w:tc>
        <w:tc>
          <w:tcPr>
            <w:tcW w:type="dxa" w:w="4500"/>
            <w:shd w:fill="1F3864" w:val="clear"/>
            <w:tcMar>
              <w:top w:type="dxa" w:w="80"/>
              <w:left w:type="dxa" w:w="100"/>
              <w:bottom w:type="dxa" w:w="80"/>
              <w:right w:type="dxa" w:w="100"/>
            </w:tcMar>
          </w:tcPr>
          <w:p>
            <w:pPr>
              <w:jc w:val="left"/>
            </w:pPr>
            <w:r>
              <w:rPr>
                <w:b/>
                <w:bCs/>
                <w:color w:val="FFFFFF"/>
              </w:rPr>
              <w:t xml:space="preserve">Feature</w:t>
            </w:r>
          </w:p>
        </w:tc>
        <w:tc>
          <w:tcPr>
            <w:tcW w:type="dxa" w:w="2500"/>
            <w:shd w:fill="1F3864" w:val="clear"/>
            <w:tcMar>
              <w:top w:type="dxa" w:w="80"/>
              <w:left w:type="dxa" w:w="100"/>
              <w:bottom w:type="dxa" w:w="80"/>
              <w:right w:type="dxa" w:w="100"/>
            </w:tcMar>
          </w:tcPr>
          <w:p>
            <w:pPr>
              <w:jc w:val="center"/>
            </w:pPr>
            <w:r>
              <w:rPr>
                <w:b/>
                <w:bCs/>
                <w:color w:val="FFFFFF"/>
              </w:rPr>
              <w:t xml:space="preserve">Relative Importance</w:t>
            </w:r>
          </w:p>
        </w:tc>
      </w:tr>
      <w:tr>
        <w:tc>
          <w:tcPr>
            <w:tcW w:type="dxa" w:w="1000"/>
            <w:shd w:fill="FFFFFF" w:val="clear"/>
            <w:tcMar>
              <w:top w:type="dxa" w:w="80"/>
              <w:left w:type="dxa" w:w="100"/>
              <w:bottom w:type="dxa" w:w="80"/>
              <w:right w:type="dxa" w:w="100"/>
            </w:tcMar>
          </w:tcPr>
          <w:p>
            <w:pPr>
              <w:jc w:val="center"/>
            </w:pPr>
            <w:r>
              <w:rPr>
                <w:b w:val="false"/>
                <w:bCs w:val="false"/>
                <w:color w:val="000000"/>
              </w:rPr>
              <w:t xml:space="preserve">1</w:t>
            </w:r>
          </w:p>
        </w:tc>
        <w:tc>
          <w:tcPr>
            <w:tcW w:type="dxa" w:w="4500"/>
            <w:shd w:fill="FFFFFF" w:val="clear"/>
            <w:tcMar>
              <w:top w:type="dxa" w:w="80"/>
              <w:left w:type="dxa" w:w="100"/>
              <w:bottom w:type="dxa" w:w="80"/>
              <w:right w:type="dxa" w:w="100"/>
            </w:tcMar>
          </w:tcPr>
          <w:p>
            <w:pPr>
              <w:jc w:val="left"/>
            </w:pPr>
            <w:r>
              <w:rPr>
                <w:b w:val="false"/>
                <w:bCs w:val="false"/>
                <w:color w:val="000000"/>
              </w:rPr>
              <w:t xml:space="preserve">Geography_Germany</w:t>
            </w:r>
          </w:p>
        </w:tc>
        <w:tc>
          <w:tcPr>
            <w:tcW w:type="dxa" w:w="2500"/>
            <w:shd w:fill="FFFFFF" w:val="clear"/>
            <w:tcMar>
              <w:top w:type="dxa" w:w="80"/>
              <w:left w:type="dxa" w:w="100"/>
              <w:bottom w:type="dxa" w:w="80"/>
              <w:right w:type="dxa" w:w="100"/>
            </w:tcMar>
          </w:tcPr>
          <w:p>
            <w:pPr>
              <w:jc w:val="center"/>
            </w:pPr>
            <w:r>
              <w:rPr>
                <w:b w:val="false"/>
                <w:bCs w:val="false"/>
                <w:color w:val="000000"/>
              </w:rPr>
              <w:t xml:space="preserve">0.1224</w:t>
            </w:r>
          </w:p>
        </w:tc>
      </w:tr>
      <w:tr>
        <w:tc>
          <w:tcPr>
            <w:tcW w:type="dxa" w:w="1000"/>
            <w:shd w:fill="F7F9FC" w:val="clear"/>
            <w:tcMar>
              <w:top w:type="dxa" w:w="80"/>
              <w:left w:type="dxa" w:w="100"/>
              <w:bottom w:type="dxa" w:w="80"/>
              <w:right w:type="dxa" w:w="100"/>
            </w:tcMar>
          </w:tcPr>
          <w:p>
            <w:pPr>
              <w:jc w:val="center"/>
            </w:pPr>
            <w:r>
              <w:rPr>
                <w:b w:val="false"/>
                <w:bCs w:val="false"/>
                <w:color w:val="000000"/>
              </w:rPr>
              <w:t xml:space="preserve">2</w:t>
            </w:r>
          </w:p>
        </w:tc>
        <w:tc>
          <w:tcPr>
            <w:tcW w:type="dxa" w:w="4500"/>
            <w:shd w:fill="F7F9FC" w:val="clear"/>
            <w:tcMar>
              <w:top w:type="dxa" w:w="80"/>
              <w:left w:type="dxa" w:w="100"/>
              <w:bottom w:type="dxa" w:w="80"/>
              <w:right w:type="dxa" w:w="100"/>
            </w:tcMar>
          </w:tcPr>
          <w:p>
            <w:pPr>
              <w:jc w:val="left"/>
            </w:pPr>
            <w:r>
              <w:rPr>
                <w:b w:val="false"/>
                <w:bCs w:val="false"/>
                <w:color w:val="000000"/>
              </w:rPr>
              <w:t xml:space="preserve">Age</w:t>
            </w:r>
          </w:p>
        </w:tc>
        <w:tc>
          <w:tcPr>
            <w:tcW w:type="dxa" w:w="2500"/>
            <w:shd w:fill="F7F9FC" w:val="clear"/>
            <w:tcMar>
              <w:top w:type="dxa" w:w="80"/>
              <w:left w:type="dxa" w:w="100"/>
              <w:bottom w:type="dxa" w:w="80"/>
              <w:right w:type="dxa" w:w="100"/>
            </w:tcMar>
          </w:tcPr>
          <w:p>
            <w:pPr>
              <w:jc w:val="center"/>
            </w:pPr>
            <w:r>
              <w:rPr>
                <w:b w:val="false"/>
                <w:bCs w:val="false"/>
                <w:color w:val="000000"/>
              </w:rPr>
              <w:t xml:space="preserve">0.1112</w:t>
            </w:r>
          </w:p>
        </w:tc>
      </w:tr>
      <w:tr>
        <w:tc>
          <w:tcPr>
            <w:tcW w:type="dxa" w:w="1000"/>
            <w:shd w:fill="FFFFFF" w:val="clear"/>
            <w:tcMar>
              <w:top w:type="dxa" w:w="80"/>
              <w:left w:type="dxa" w:w="100"/>
              <w:bottom w:type="dxa" w:w="80"/>
              <w:right w:type="dxa" w:w="100"/>
            </w:tcMar>
          </w:tcPr>
          <w:p>
            <w:pPr>
              <w:jc w:val="center"/>
            </w:pPr>
            <w:r>
              <w:rPr>
                <w:b w:val="false"/>
                <w:bCs w:val="false"/>
                <w:color w:val="000000"/>
              </w:rPr>
              <w:t xml:space="preserve">3</w:t>
            </w:r>
          </w:p>
        </w:tc>
        <w:tc>
          <w:tcPr>
            <w:tcW w:type="dxa" w:w="4500"/>
            <w:shd w:fill="FFFFFF" w:val="clear"/>
            <w:tcMar>
              <w:top w:type="dxa" w:w="80"/>
              <w:left w:type="dxa" w:w="100"/>
              <w:bottom w:type="dxa" w:w="80"/>
              <w:right w:type="dxa" w:w="100"/>
            </w:tcMar>
          </w:tcPr>
          <w:p>
            <w:pPr>
              <w:jc w:val="left"/>
            </w:pPr>
            <w:r>
              <w:rPr>
                <w:b w:val="false"/>
                <w:bCs w:val="false"/>
                <w:color w:val="000000"/>
              </w:rPr>
              <w:t xml:space="preserve">EngagementProductInteraction</w:t>
            </w:r>
          </w:p>
        </w:tc>
        <w:tc>
          <w:tcPr>
            <w:tcW w:type="dxa" w:w="2500"/>
            <w:shd w:fill="FFFFFF" w:val="clear"/>
            <w:tcMar>
              <w:top w:type="dxa" w:w="80"/>
              <w:left w:type="dxa" w:w="100"/>
              <w:bottom w:type="dxa" w:w="80"/>
              <w:right w:type="dxa" w:w="100"/>
            </w:tcMar>
          </w:tcPr>
          <w:p>
            <w:pPr>
              <w:jc w:val="center"/>
            </w:pPr>
            <w:r>
              <w:rPr>
                <w:b w:val="false"/>
                <w:bCs w:val="false"/>
                <w:color w:val="000000"/>
              </w:rPr>
              <w:t xml:space="preserve">0.0999</w:t>
            </w:r>
          </w:p>
        </w:tc>
      </w:tr>
      <w:tr>
        <w:tc>
          <w:tcPr>
            <w:tcW w:type="dxa" w:w="1000"/>
            <w:shd w:fill="F7F9FC" w:val="clear"/>
            <w:tcMar>
              <w:top w:type="dxa" w:w="80"/>
              <w:left w:type="dxa" w:w="100"/>
              <w:bottom w:type="dxa" w:w="80"/>
              <w:right w:type="dxa" w:w="100"/>
            </w:tcMar>
          </w:tcPr>
          <w:p>
            <w:pPr>
              <w:jc w:val="center"/>
            </w:pPr>
            <w:r>
              <w:rPr>
                <w:b w:val="false"/>
                <w:bCs w:val="false"/>
                <w:color w:val="000000"/>
              </w:rPr>
              <w:t xml:space="preserve">4</w:t>
            </w:r>
          </w:p>
        </w:tc>
        <w:tc>
          <w:tcPr>
            <w:tcW w:type="dxa" w:w="4500"/>
            <w:shd w:fill="F7F9FC" w:val="clear"/>
            <w:tcMar>
              <w:top w:type="dxa" w:w="80"/>
              <w:left w:type="dxa" w:w="100"/>
              <w:bottom w:type="dxa" w:w="80"/>
              <w:right w:type="dxa" w:w="100"/>
            </w:tcMar>
          </w:tcPr>
          <w:p>
            <w:pPr>
              <w:jc w:val="left"/>
            </w:pPr>
            <w:r>
              <w:rPr>
                <w:b w:val="false"/>
                <w:bCs w:val="false"/>
                <w:color w:val="000000"/>
              </w:rPr>
              <w:t xml:space="preserve">EstimatedSalary</w:t>
            </w:r>
          </w:p>
        </w:tc>
        <w:tc>
          <w:tcPr>
            <w:tcW w:type="dxa" w:w="2500"/>
            <w:shd w:fill="F7F9FC" w:val="clear"/>
            <w:tcMar>
              <w:top w:type="dxa" w:w="80"/>
              <w:left w:type="dxa" w:w="100"/>
              <w:bottom w:type="dxa" w:w="80"/>
              <w:right w:type="dxa" w:w="100"/>
            </w:tcMar>
          </w:tcPr>
          <w:p>
            <w:pPr>
              <w:jc w:val="center"/>
            </w:pPr>
            <w:r>
              <w:rPr>
                <w:b w:val="false"/>
                <w:bCs w:val="false"/>
                <w:color w:val="000000"/>
              </w:rPr>
              <w:t xml:space="preserve">0.0772</w:t>
            </w:r>
          </w:p>
        </w:tc>
      </w:tr>
      <w:tr>
        <w:tc>
          <w:tcPr>
            <w:tcW w:type="dxa" w:w="1000"/>
            <w:shd w:fill="FFFFFF" w:val="clear"/>
            <w:tcMar>
              <w:top w:type="dxa" w:w="80"/>
              <w:left w:type="dxa" w:w="100"/>
              <w:bottom w:type="dxa" w:w="80"/>
              <w:right w:type="dxa" w:w="100"/>
            </w:tcMar>
          </w:tcPr>
          <w:p>
            <w:pPr>
              <w:jc w:val="center"/>
            </w:pPr>
            <w:r>
              <w:rPr>
                <w:b w:val="false"/>
                <w:bCs w:val="false"/>
                <w:color w:val="000000"/>
              </w:rPr>
              <w:t xml:space="preserve">5</w:t>
            </w:r>
          </w:p>
        </w:tc>
        <w:tc>
          <w:tcPr>
            <w:tcW w:type="dxa" w:w="4500"/>
            <w:shd w:fill="FFFFFF" w:val="clear"/>
            <w:tcMar>
              <w:top w:type="dxa" w:w="80"/>
              <w:left w:type="dxa" w:w="100"/>
              <w:bottom w:type="dxa" w:w="80"/>
              <w:right w:type="dxa" w:w="100"/>
            </w:tcMar>
          </w:tcPr>
          <w:p>
            <w:pPr>
              <w:jc w:val="left"/>
            </w:pPr>
            <w:r>
              <w:rPr>
                <w:b w:val="false"/>
                <w:bCs w:val="false"/>
                <w:color w:val="000000"/>
              </w:rPr>
              <w:t xml:space="preserve">Balance</w:t>
            </w:r>
          </w:p>
        </w:tc>
        <w:tc>
          <w:tcPr>
            <w:tcW w:type="dxa" w:w="2500"/>
            <w:shd w:fill="FFFFFF" w:val="clear"/>
            <w:tcMar>
              <w:top w:type="dxa" w:w="80"/>
              <w:left w:type="dxa" w:w="100"/>
              <w:bottom w:type="dxa" w:w="80"/>
              <w:right w:type="dxa" w:w="100"/>
            </w:tcMar>
          </w:tcPr>
          <w:p>
            <w:pPr>
              <w:jc w:val="center"/>
            </w:pPr>
            <w:r>
              <w:rPr>
                <w:b w:val="false"/>
                <w:bCs w:val="false"/>
                <w:color w:val="000000"/>
              </w:rPr>
              <w:t xml:space="preserve">0.0762</w:t>
            </w:r>
          </w:p>
        </w:tc>
      </w:tr>
      <w:tr>
        <w:tc>
          <w:tcPr>
            <w:tcW w:type="dxa" w:w="1000"/>
            <w:shd w:fill="F7F9FC" w:val="clear"/>
            <w:tcMar>
              <w:top w:type="dxa" w:w="80"/>
              <w:left w:type="dxa" w:w="100"/>
              <w:bottom w:type="dxa" w:w="80"/>
              <w:right w:type="dxa" w:w="100"/>
            </w:tcMar>
          </w:tcPr>
          <w:p>
            <w:pPr>
              <w:jc w:val="center"/>
            </w:pPr>
            <w:r>
              <w:rPr>
                <w:b w:val="false"/>
                <w:bCs w:val="false"/>
                <w:color w:val="000000"/>
              </w:rPr>
              <w:t xml:space="preserve">6</w:t>
            </w:r>
          </w:p>
        </w:tc>
        <w:tc>
          <w:tcPr>
            <w:tcW w:type="dxa" w:w="4500"/>
            <w:shd w:fill="F7F9FC" w:val="clear"/>
            <w:tcMar>
              <w:top w:type="dxa" w:w="80"/>
              <w:left w:type="dxa" w:w="100"/>
              <w:bottom w:type="dxa" w:w="80"/>
              <w:right w:type="dxa" w:w="100"/>
            </w:tcMar>
          </w:tcPr>
          <w:p>
            <w:pPr>
              <w:jc w:val="left"/>
            </w:pPr>
            <w:r>
              <w:rPr>
                <w:b w:val="false"/>
                <w:bCs w:val="false"/>
                <w:color w:val="000000"/>
              </w:rPr>
              <w:t xml:space="preserve">NumOfProducts</w:t>
            </w:r>
          </w:p>
        </w:tc>
        <w:tc>
          <w:tcPr>
            <w:tcW w:type="dxa" w:w="2500"/>
            <w:shd w:fill="F7F9FC" w:val="clear"/>
            <w:tcMar>
              <w:top w:type="dxa" w:w="80"/>
              <w:left w:type="dxa" w:w="100"/>
              <w:bottom w:type="dxa" w:w="80"/>
              <w:right w:type="dxa" w:w="100"/>
            </w:tcMar>
          </w:tcPr>
          <w:p>
            <w:pPr>
              <w:jc w:val="center"/>
            </w:pPr>
            <w:r>
              <w:rPr>
                <w:b w:val="false"/>
                <w:bCs w:val="false"/>
                <w:color w:val="000000"/>
              </w:rPr>
              <w:t xml:space="preserve">0.0752</w:t>
            </w:r>
          </w:p>
        </w:tc>
      </w:tr>
      <w:tr>
        <w:tc>
          <w:tcPr>
            <w:tcW w:type="dxa" w:w="1000"/>
            <w:shd w:fill="FFFFFF" w:val="clear"/>
            <w:tcMar>
              <w:top w:type="dxa" w:w="80"/>
              <w:left w:type="dxa" w:w="100"/>
              <w:bottom w:type="dxa" w:w="80"/>
              <w:right w:type="dxa" w:w="100"/>
            </w:tcMar>
          </w:tcPr>
          <w:p>
            <w:pPr>
              <w:jc w:val="center"/>
            </w:pPr>
            <w:r>
              <w:rPr>
                <w:b w:val="false"/>
                <w:bCs w:val="false"/>
                <w:color w:val="000000"/>
              </w:rPr>
              <w:t xml:space="preserve">7</w:t>
            </w:r>
          </w:p>
        </w:tc>
        <w:tc>
          <w:tcPr>
            <w:tcW w:type="dxa" w:w="4500"/>
            <w:shd w:fill="FFFFFF" w:val="clear"/>
            <w:tcMar>
              <w:top w:type="dxa" w:w="80"/>
              <w:left w:type="dxa" w:w="100"/>
              <w:bottom w:type="dxa" w:w="80"/>
              <w:right w:type="dxa" w:w="100"/>
            </w:tcMar>
          </w:tcPr>
          <w:p>
            <w:pPr>
              <w:jc w:val="left"/>
            </w:pPr>
            <w:r>
              <w:rPr>
                <w:b w:val="false"/>
                <w:bCs w:val="false"/>
                <w:color w:val="000000"/>
              </w:rPr>
              <w:t xml:space="preserve">BalanceSalaryRatio</w:t>
            </w:r>
          </w:p>
        </w:tc>
        <w:tc>
          <w:tcPr>
            <w:tcW w:type="dxa" w:w="2500"/>
            <w:shd w:fill="FFFFFF" w:val="clear"/>
            <w:tcMar>
              <w:top w:type="dxa" w:w="80"/>
              <w:left w:type="dxa" w:w="100"/>
              <w:bottom w:type="dxa" w:w="80"/>
              <w:right w:type="dxa" w:w="100"/>
            </w:tcMar>
          </w:tcPr>
          <w:p>
            <w:pPr>
              <w:jc w:val="center"/>
            </w:pPr>
            <w:r>
              <w:rPr>
                <w:b w:val="false"/>
                <w:bCs w:val="false"/>
                <w:color w:val="000000"/>
              </w:rPr>
              <w:t xml:space="preserve">0.0751</w:t>
            </w:r>
          </w:p>
        </w:tc>
      </w:tr>
      <w:tr>
        <w:tc>
          <w:tcPr>
            <w:tcW w:type="dxa" w:w="1000"/>
            <w:shd w:fill="F7F9FC" w:val="clear"/>
            <w:tcMar>
              <w:top w:type="dxa" w:w="80"/>
              <w:left w:type="dxa" w:w="100"/>
              <w:bottom w:type="dxa" w:w="80"/>
              <w:right w:type="dxa" w:w="100"/>
            </w:tcMar>
          </w:tcPr>
          <w:p>
            <w:pPr>
              <w:jc w:val="center"/>
            </w:pPr>
            <w:r>
              <w:rPr>
                <w:b w:val="false"/>
                <w:bCs w:val="false"/>
                <w:color w:val="000000"/>
              </w:rPr>
              <w:t xml:space="preserve">8</w:t>
            </w:r>
          </w:p>
        </w:tc>
        <w:tc>
          <w:tcPr>
            <w:tcW w:type="dxa" w:w="4500"/>
            <w:shd w:fill="F7F9FC" w:val="clear"/>
            <w:tcMar>
              <w:top w:type="dxa" w:w="80"/>
              <w:left w:type="dxa" w:w="100"/>
              <w:bottom w:type="dxa" w:w="80"/>
              <w:right w:type="dxa" w:w="100"/>
            </w:tcMar>
          </w:tcPr>
          <w:p>
            <w:pPr>
              <w:jc w:val="left"/>
            </w:pPr>
            <w:r>
              <w:rPr>
                <w:b w:val="false"/>
                <w:bCs w:val="false"/>
                <w:color w:val="000000"/>
              </w:rPr>
              <w:t xml:space="preserve">CreditScore</w:t>
            </w:r>
          </w:p>
        </w:tc>
        <w:tc>
          <w:tcPr>
            <w:tcW w:type="dxa" w:w="2500"/>
            <w:shd w:fill="F7F9FC" w:val="clear"/>
            <w:tcMar>
              <w:top w:type="dxa" w:w="80"/>
              <w:left w:type="dxa" w:w="100"/>
              <w:bottom w:type="dxa" w:w="80"/>
              <w:right w:type="dxa" w:w="100"/>
            </w:tcMar>
          </w:tcPr>
          <w:p>
            <w:pPr>
              <w:jc w:val="center"/>
            </w:pPr>
            <w:r>
              <w:rPr>
                <w:b w:val="false"/>
                <w:bCs w:val="false"/>
                <w:color w:val="000000"/>
              </w:rPr>
              <w:t xml:space="preserve">0.0750</w:t>
            </w:r>
          </w:p>
        </w:tc>
      </w:tr>
      <w:tr>
        <w:tc>
          <w:tcPr>
            <w:tcW w:type="dxa" w:w="1000"/>
            <w:shd w:fill="FFFFFF" w:val="clear"/>
            <w:tcMar>
              <w:top w:type="dxa" w:w="80"/>
              <w:left w:type="dxa" w:w="100"/>
              <w:bottom w:type="dxa" w:w="80"/>
              <w:right w:type="dxa" w:w="100"/>
            </w:tcMar>
          </w:tcPr>
          <w:p>
            <w:pPr>
              <w:jc w:val="center"/>
            </w:pPr>
            <w:r>
              <w:rPr>
                <w:b w:val="false"/>
                <w:bCs w:val="false"/>
                <w:color w:val="000000"/>
              </w:rPr>
              <w:t xml:space="preserve">9</w:t>
            </w:r>
          </w:p>
        </w:tc>
        <w:tc>
          <w:tcPr>
            <w:tcW w:type="dxa" w:w="4500"/>
            <w:shd w:fill="FFFFFF" w:val="clear"/>
            <w:tcMar>
              <w:top w:type="dxa" w:w="80"/>
              <w:left w:type="dxa" w:w="100"/>
              <w:bottom w:type="dxa" w:w="80"/>
              <w:right w:type="dxa" w:w="100"/>
            </w:tcMar>
          </w:tcPr>
          <w:p>
            <w:pPr>
              <w:jc w:val="left"/>
            </w:pPr>
            <w:r>
              <w:rPr>
                <w:b w:val="false"/>
                <w:bCs w:val="false"/>
                <w:color w:val="000000"/>
              </w:rPr>
              <w:t xml:space="preserve">AgeTenureInteraction</w:t>
            </w:r>
          </w:p>
        </w:tc>
        <w:tc>
          <w:tcPr>
            <w:tcW w:type="dxa" w:w="2500"/>
            <w:shd w:fill="FFFFFF" w:val="clear"/>
            <w:tcMar>
              <w:top w:type="dxa" w:w="80"/>
              <w:left w:type="dxa" w:w="100"/>
              <w:bottom w:type="dxa" w:w="80"/>
              <w:right w:type="dxa" w:w="100"/>
            </w:tcMar>
          </w:tcPr>
          <w:p>
            <w:pPr>
              <w:jc w:val="center"/>
            </w:pPr>
            <w:r>
              <w:rPr>
                <w:b w:val="false"/>
                <w:bCs w:val="false"/>
                <w:color w:val="000000"/>
              </w:rPr>
              <w:t xml:space="preserve">0.0667</w:t>
            </w:r>
          </w:p>
        </w:tc>
      </w:tr>
      <w:tr>
        <w:tc>
          <w:tcPr>
            <w:tcW w:type="dxa" w:w="1000"/>
            <w:shd w:fill="F7F9FC" w:val="clear"/>
            <w:tcMar>
              <w:top w:type="dxa" w:w="80"/>
              <w:left w:type="dxa" w:w="100"/>
              <w:bottom w:type="dxa" w:w="80"/>
              <w:right w:type="dxa" w:w="100"/>
            </w:tcMar>
          </w:tcPr>
          <w:p>
            <w:pPr>
              <w:jc w:val="center"/>
            </w:pPr>
            <w:r>
              <w:rPr>
                <w:b w:val="false"/>
                <w:bCs w:val="false"/>
                <w:color w:val="000000"/>
              </w:rPr>
              <w:t xml:space="preserve">10</w:t>
            </w:r>
          </w:p>
        </w:tc>
        <w:tc>
          <w:tcPr>
            <w:tcW w:type="dxa" w:w="4500"/>
            <w:shd w:fill="F7F9FC" w:val="clear"/>
            <w:tcMar>
              <w:top w:type="dxa" w:w="80"/>
              <w:left w:type="dxa" w:w="100"/>
              <w:bottom w:type="dxa" w:w="80"/>
              <w:right w:type="dxa" w:w="100"/>
            </w:tcMar>
          </w:tcPr>
          <w:p>
            <w:pPr>
              <w:jc w:val="left"/>
            </w:pPr>
            <w:r>
              <w:rPr>
                <w:b w:val="false"/>
                <w:bCs w:val="false"/>
                <w:color w:val="000000"/>
              </w:rPr>
              <w:t xml:space="preserve">IsActiveMember</w:t>
            </w:r>
          </w:p>
        </w:tc>
        <w:tc>
          <w:tcPr>
            <w:tcW w:type="dxa" w:w="2500"/>
            <w:shd w:fill="F7F9FC" w:val="clear"/>
            <w:tcMar>
              <w:top w:type="dxa" w:w="80"/>
              <w:left w:type="dxa" w:w="100"/>
              <w:bottom w:type="dxa" w:w="80"/>
              <w:right w:type="dxa" w:w="100"/>
            </w:tcMar>
          </w:tcPr>
          <w:p>
            <w:pPr>
              <w:jc w:val="center"/>
            </w:pPr>
            <w:r>
              <w:rPr>
                <w:b w:val="false"/>
                <w:bCs w:val="false"/>
                <w:color w:val="000000"/>
              </w:rPr>
              <w:t xml:space="preserve">0.0619</w:t>
            </w:r>
          </w:p>
        </w:tc>
      </w:tr>
    </w:tbl>
    <w:p>
      <w:pPr>
        <w:spacing w:after="160"/>
      </w:pPr>
      <w:r>
        <w:t xml:space="preserve"/>
      </w:r>
    </w:p>
    <w:p>
      <w:pPr>
        <w:spacing w:after="80" w:before="20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286250"/>
                    </a:xfrm>
                    <a:prstGeom prst="rect">
                      <a:avLst/>
                    </a:prstGeom>
                  </pic:spPr>
                </pic:pic>
              </a:graphicData>
            </a:graphic>
          </wp:inline>
        </w:drawing>
      </w:r>
    </w:p>
    <w:p>
      <w:pPr>
        <w:spacing w:after="240"/>
        <w:jc w:val="center"/>
      </w:pPr>
      <w:r>
        <w:rPr>
          <w:i/>
          <w:iCs/>
          <w:color w:val="595959"/>
          <w:sz w:val="18"/>
          <w:szCs w:val="18"/>
        </w:rPr>
        <w:t xml:space="preserve">Figure 8. Top 12 churn drivers by native (impurity-based) feature importance.</w:t>
      </w:r>
    </w:p>
    <w:p>
      <w:pPr>
        <w:pStyle w:val="Heading2"/>
        <w:spacing w:after="140" w:before="280"/>
      </w:pPr>
      <w:r>
        <w:t xml:space="preserve">9.2 Permutation Importance (Model-Agnostic)</w:t>
      </w:r>
    </w:p>
    <w:p>
      <w:pPr>
        <w:spacing w:after="160"/>
      </w:pPr>
      <w:r>
        <w:t xml:space="preserve">Permutation importance — measuring the drop in test-set ROC-AUC when each feature is randomly shuffled — was computed as an independent check. Geography, Age, and NumOfProducts again rank at the top, corroborating the native importance ranking and indicating these are genuine, robust drivers rather than artifacts of one particular model.</w:t>
      </w:r>
    </w:p>
    <w:p>
      <w:pPr>
        <w:spacing w:after="80" w:before="20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286250"/>
                    </a:xfrm>
                    <a:prstGeom prst="rect">
                      <a:avLst/>
                    </a:prstGeom>
                  </pic:spPr>
                </pic:pic>
              </a:graphicData>
            </a:graphic>
          </wp:inline>
        </w:drawing>
      </w:r>
    </w:p>
    <w:p>
      <w:pPr>
        <w:spacing w:after="240"/>
        <w:jc w:val="center"/>
      </w:pPr>
      <w:r>
        <w:rPr>
          <w:i/>
          <w:iCs/>
          <w:color w:val="595959"/>
          <w:sz w:val="18"/>
          <w:szCs w:val="18"/>
        </w:rPr>
        <w:t xml:space="preserve">Figure 9. Permutation importance — ROC-AUC decrease when each feature is shuffled.</w:t>
      </w:r>
    </w:p>
    <w:p>
      <w:pPr>
        <w:pStyle w:val="Heading2"/>
        <w:spacing w:after="140" w:before="280"/>
      </w:pPr>
      <w:r>
        <w:t xml:space="preserve">9.3 Partial Dependence</w:t>
      </w:r>
    </w:p>
    <w:p>
      <w:pPr>
        <w:spacing w:after="160"/>
      </w:pPr>
      <w:r>
        <w:t xml:space="preserve">Partial dependence plots show how the model's predicted churn probability changes as each feature varies, holding all others constant — useful for understanding direction and shape of effect, not just magnitude.</w:t>
      </w:r>
    </w:p>
    <w:p>
      <w:pPr>
        <w:spacing w:after="80" w:before="200"/>
        <w:jc w:val="center"/>
      </w:pPr>
      <w:r>
        <w:drawing>
          <wp:inline distT="0" distB="0" distL="0" distR="0">
            <wp:extent cx="5334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019550"/>
                    </a:xfrm>
                    <a:prstGeom prst="rect">
                      <a:avLst/>
                    </a:prstGeom>
                  </pic:spPr>
                </pic:pic>
              </a:graphicData>
            </a:graphic>
          </wp:inline>
        </w:drawing>
      </w:r>
    </w:p>
    <w:p>
      <w:pPr>
        <w:spacing w:after="240"/>
        <w:jc w:val="center"/>
      </w:pPr>
      <w:r>
        <w:rPr>
          <w:i/>
          <w:iCs/>
          <w:color w:val="595959"/>
          <w:sz w:val="18"/>
          <w:szCs w:val="18"/>
        </w:rPr>
        <w:t xml:space="preserve">Figure 10. Partial dependence — churn probability vs. top numeric drivers.</w:t>
      </w:r>
    </w:p>
    <w:p>
      <w:pPr>
        <w:pStyle w:val="Heading1"/>
        <w:spacing w:after="200" w:before="400"/>
      </w:pPr>
      <w:r>
        <w:t xml:space="preserve">10. Key Insights and Recommendations</w:t>
      </w:r>
    </w:p>
    <w:p>
      <w:pPr>
        <w:pStyle w:val="Heading2"/>
        <w:spacing w:after="140" w:before="280"/>
      </w:pPr>
      <w:r>
        <w:t xml:space="preserve">10.1 Insights</w:t>
      </w:r>
    </w:p>
    <w:p>
      <w:pPr>
        <w:pStyle w:val="ListParagraph"/>
        <w:numPr>
          <w:ilvl w:val="0"/>
          <w:numId w:val="2"/>
        </w:numPr>
        <w:spacing w:after="80"/>
      </w:pPr>
      <w:r>
        <w:t xml:space="preserve">Geography is the single strongest driver: German customers churn at a materially higher rate than French or Spanish customers, even after controlling for balance and activity. This points to a market-specific competitive or service issue worth qualitative follow-up.</w:t>
      </w:r>
    </w:p>
    <w:p>
      <w:pPr>
        <w:pStyle w:val="ListParagraph"/>
        <w:numPr>
          <w:ilvl w:val="0"/>
          <w:numId w:val="2"/>
        </w:numPr>
        <w:spacing w:after="80"/>
      </w:pPr>
      <w:r>
        <w:t xml:space="preserve">Engagement matters more than tenure: inactive members are consistently higher-risk than active members regardless of how long they have banked with the institution — loyalty is driven by ongoing engagement, not history.</w:t>
      </w:r>
    </w:p>
    <w:p>
      <w:pPr>
        <w:pStyle w:val="ListParagraph"/>
        <w:numPr>
          <w:ilvl w:val="0"/>
          <w:numId w:val="2"/>
        </w:numPr>
        <w:spacing w:after="80"/>
      </w:pPr>
      <w:r>
        <w:t xml:space="preserve">Product over-concentration is a red flag, not a loyalty signal: customers holding 3–4 products churn far more than those holding 1–2, suggesting these customers were over-sold or mis-fit products rather than deepened relationships.</w:t>
      </w:r>
    </w:p>
    <w:p>
      <w:pPr>
        <w:pStyle w:val="ListParagraph"/>
        <w:numPr>
          <w:ilvl w:val="0"/>
          <w:numId w:val="2"/>
        </w:numPr>
        <w:spacing w:after="80"/>
      </w:pPr>
      <w:r>
        <w:t xml:space="preserve">Age is a strong, gradual risk factor: churn probability rises steadily with age, particularly past the mid-40s, warranting age-segment-specific retention messaging.</w:t>
      </w:r>
    </w:p>
    <w:p>
      <w:pPr>
        <w:pStyle w:val="ListParagraph"/>
        <w:numPr>
          <w:ilvl w:val="0"/>
          <w:numId w:val="2"/>
        </w:numPr>
        <w:spacing w:after="80"/>
      </w:pPr>
      <w:r>
        <w:t xml:space="preserve">Credit score and having a credit card are comparatively weak drivers — deprioritize these in manual retention scoring in favor of the engagement and product variables above.</w:t>
      </w:r>
    </w:p>
    <w:p>
      <w:pPr>
        <w:pStyle w:val="Heading2"/>
        <w:spacing w:after="140" w:before="280"/>
      </w:pPr>
      <w:r>
        <w:t xml:space="preserve">10.2 Recommendations</w:t>
      </w:r>
    </w:p>
    <w:p>
      <w:pPr>
        <w:pStyle w:val="ListParagraph"/>
        <w:numPr>
          <w:ilvl w:val="0"/>
          <w:numId w:val="2"/>
        </w:numPr>
        <w:spacing w:after="80"/>
      </w:pPr>
      <w:r>
        <w:t xml:space="preserve">Deploy the Random Forest risk score into the CRM to flag high-risk customers (≥60% probability) for proactive relationship-manager outreach within 48 hours.</w:t>
      </w:r>
    </w:p>
    <w:p>
      <w:pPr>
        <w:pStyle w:val="ListParagraph"/>
        <w:numPr>
          <w:ilvl w:val="0"/>
          <w:numId w:val="2"/>
        </w:numPr>
        <w:spacing w:after="80"/>
      </w:pPr>
      <w:r>
        <w:t xml:space="preserve">Launch a Germany-specific retention review: investigate pricing, service levels, and competitive offers in that market given its outsized churn rate.</w:t>
      </w:r>
    </w:p>
    <w:p>
      <w:pPr>
        <w:pStyle w:val="ListParagraph"/>
        <w:numPr>
          <w:ilvl w:val="0"/>
          <w:numId w:val="2"/>
        </w:numPr>
        <w:spacing w:after="80"/>
      </w:pPr>
      <w:r>
        <w:t xml:space="preserve">Build a re-engagement campaign targeting inactive members before they reach high risk — activity, not tenure, is the actionable lever.</w:t>
      </w:r>
    </w:p>
    <w:p>
      <w:pPr>
        <w:pStyle w:val="ListParagraph"/>
        <w:numPr>
          <w:ilvl w:val="0"/>
          <w:numId w:val="2"/>
        </w:numPr>
        <w:spacing w:after="80"/>
      </w:pPr>
      <w:r>
        <w:t xml:space="preserve">Audit product bundling practices for customers being sold a 3rd or 4th product; ensure product fit rather than pure cross-sell volume.</w:t>
      </w:r>
    </w:p>
    <w:p>
      <w:pPr>
        <w:pStyle w:val="ListParagraph"/>
        <w:numPr>
          <w:ilvl w:val="0"/>
          <w:numId w:val="2"/>
        </w:numPr>
        <w:spacing w:after="80"/>
      </w:pPr>
      <w:r>
        <w:t xml:space="preserve">Recalibrate the decision threshold quarterly against retention-campaign capacity and cost-per-contact, using the what-if simulator in the accompanying dashboard.</w:t>
      </w:r>
    </w:p>
    <w:p>
      <w:pPr>
        <w:pStyle w:val="ListParagraph"/>
        <w:numPr>
          <w:ilvl w:val="0"/>
          <w:numId w:val="2"/>
        </w:numPr>
        <w:spacing w:after="80"/>
      </w:pPr>
      <w:r>
        <w:t xml:space="preserve">Retrain the model on a rolling basis (e.g. quarterly) as customer behavior and market conditions shift, to guard against model drift.</w:t>
      </w:r>
    </w:p>
    <w:p>
      <w:pPr>
        <w:pStyle w:val="Heading1"/>
        <w:spacing w:after="200" w:before="400"/>
      </w:pPr>
      <w:r>
        <w:t xml:space="preserve">11. Deliverables</w:t>
      </w:r>
    </w:p>
    <w:p>
      <w:pPr>
        <w:pStyle w:val="ListParagraph"/>
        <w:numPr>
          <w:ilvl w:val="0"/>
          <w:numId w:val="2"/>
        </w:numPr>
        <w:spacing w:after="80"/>
      </w:pPr>
      <w:r>
        <w:t xml:space="preserve">This research paper (EDA, methodology, model evaluation, explainability, insights, and recommendations)</w:t>
      </w:r>
    </w:p>
    <w:p>
      <w:pPr>
        <w:pStyle w:val="ListParagraph"/>
        <w:numPr>
          <w:ilvl w:val="0"/>
          <w:numId w:val="2"/>
        </w:numPr>
        <w:spacing w:after="80"/>
      </w:pPr>
      <w:r>
        <w:t xml:space="preserve">A Streamlit dashboard providing: a customer churn risk calculator, portfolio-level probability distribution visualization, a feature importance dashboard, and a what-if scenario simulator for engagement/product variables</w:t>
      </w:r>
    </w:p>
    <w:p>
      <w:pPr>
        <w:pStyle w:val="ListParagraph"/>
        <w:numPr>
          <w:ilvl w:val="0"/>
          <w:numId w:val="2"/>
        </w:numPr>
        <w:spacing w:after="80"/>
      </w:pPr>
      <w:r>
        <w:t xml:space="preserve">An executive summary for government/regulatory stakeholders</w:t>
      </w:r>
    </w:p>
    <w:p>
      <w:pPr>
        <w:pStyle w:val="Heading1"/>
        <w:spacing w:after="200" w:before="400"/>
      </w:pPr>
      <w:r>
        <w:t xml:space="preserve">12. Conclusion</w:t>
      </w:r>
    </w:p>
    <w:p>
      <w:pPr>
        <w:spacing w:after="160"/>
      </w:pPr>
      <w:r>
        <w:t xml:space="preserve">This project reframes customer churn from a behavioral and relationship-strength perspective rather than a purely demographic one. By centering the analysis on engagement and product utilization — rather than static customer attributes — it surfaces actionable levers for retention strategy design, product optimization, and customer loyalty enhancement. The resulting Random Forest model, paired with a transparent explainability layer and an interactive scoring dashboard, gives retention teams a quantitative, auditable, and immediately actionable early-warning system: shifting churn management from reactive damage control to proactive relationship management.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Bank Customer Churn — Predictive Risk Scoring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66e8cb0e9e2fa2438b6bdcf4387a5327a5d15e.png"/><Relationship Id="rId10" Type="http://schemas.openxmlformats.org/officeDocument/2006/relationships/image" Target="media/20aff3fd3d95295a1320f244bf303f1385082d46.png"/><Relationship Id="rId11" Type="http://schemas.openxmlformats.org/officeDocument/2006/relationships/image" Target="media/aabceb063dd9c10cc921665a3005cb9e04af53ca.png"/><Relationship Id="rId12" Type="http://schemas.openxmlformats.org/officeDocument/2006/relationships/image" Target="media/03aa26423f681c8120fb031103e3218d81d754b0.png"/><Relationship Id="rId13" Type="http://schemas.openxmlformats.org/officeDocument/2006/relationships/image" Target="media/32e799fbb3dfadb36447ea53c9a6bbb547b73e75.png"/><Relationship Id="rId14" Type="http://schemas.openxmlformats.org/officeDocument/2006/relationships/image" Target="media/716a572630c076ea89e21b954b73633524419d19.png"/><Relationship Id="rId15" Type="http://schemas.openxmlformats.org/officeDocument/2006/relationships/image" Target="media/509c3280d3c2a13410677eca6938d60a758be834.png"/><Relationship Id="rId16" Type="http://schemas.openxmlformats.org/officeDocument/2006/relationships/image" Target="media/1338ad2b199f16efc9922e023217dae67bdf6fc3.png"/><Relationship Id="rId17" Type="http://schemas.openxmlformats.org/officeDocument/2006/relationships/image" Target="media/531338dd58486c5df2e1871a06ff9392b1bc5f3b.png"/><Relationship Id="rId18" Type="http://schemas.openxmlformats.org/officeDocument/2006/relationships/image" Target="media/d61e8e90f252474de35297c76c75dbd6179d079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2026-07-03T16:58:55.851Z</dcterms:created>
  <dcterms:modified xsi:type="dcterms:W3CDTF">2026-07-03T16:58:55.853Z</dcterms:modified>
</cp:coreProperties>
</file>

<file path=docProps/custom.xml><?xml version="1.0" encoding="utf-8"?>
<Properties xmlns="http://schemas.openxmlformats.org/officeDocument/2006/custom-properties" xmlns:vt="http://schemas.openxmlformats.org/officeDocument/2006/docPropsVTypes"/>
</file>