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MP06 . DESARROLLO WEB EN ENTORNO CLIENTE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UF1 . OBJETOS PREDEFINIDOS DEL LENGUAJE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chb6ykz0n5h2" w:id="0"/>
      <w:bookmarkEnd w:id="0"/>
      <w:r w:rsidDel="00000000" w:rsidR="00000000" w:rsidRPr="00000000">
        <w:rPr>
          <w:rtl w:val="0"/>
        </w:rPr>
        <w:t xml:space="preserve">Ejercicio de modificación del HTML mediante Javascript y CSS</w:t>
      </w:r>
    </w:p>
    <w:p w:rsidR="00000000" w:rsidDel="00000000" w:rsidP="00000000" w:rsidRDefault="00000000" w:rsidRPr="00000000" w14:paraId="00000005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15 puntos de evaluación contínua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Tanto con Javascript como con CSS, podemos modificar el contenido del HTML, añadiéndole una apariencia, una funcionanidad,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caso de Javscript, igual que con CSS, se pueden hacer, a veces las mismas cosas. Nuestro deber será elegir cuál de las dos sería la más adecuada.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 un index.html vinculado a un archivo .css y un 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archivo HTML simplemente mostrará dos títulos H1, centrados vertical y horizontalmente. O sea, enmedio de la página.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Consigue mediante Javascript que el primer título cambie de color contínuamente. Sólo Javascript. Sin usar CSS: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 puntos)</w:t>
      </w:r>
    </w:p>
    <w:p w:rsidR="00000000" w:rsidDel="00000000" w:rsidP="00000000" w:rsidRDefault="00000000" w:rsidRPr="00000000" w14:paraId="00000011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Consigue mediante CSS que el segundo título cambie de color contínuamente. Sólo CSS. Sin usar Javascript: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(6 puntos)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Escribe como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comentario privado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en la entrega, si crees que es más adecuado usar Javascript o CSS para conseguir ese efecto. Razona tu respuesta.</w:t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(3 puntos)</w:t>
      </w:r>
    </w:p>
    <w:p w:rsidR="00000000" w:rsidDel="00000000" w:rsidP="00000000" w:rsidRDefault="00000000" w:rsidRPr="00000000" w14:paraId="00000019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  <w:tbl>
    <w:tblPr>
      <w:tblStyle w:val="Table1"/>
      <w:tblW w:w="9021.818181818182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98.1818181818185"/>
      <w:gridCol w:w="5149.090909090909"/>
      <w:gridCol w:w="1374.5454545454547"/>
      <w:tblGridChange w:id="0">
        <w:tblGrid>
          <w:gridCol w:w="2498.1818181818185"/>
          <w:gridCol w:w="5149.090909090909"/>
          <w:gridCol w:w="1374.5454545454547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</w:rPr>
            <w:drawing>
              <wp:inline distB="19050" distT="19050" distL="19050" distR="19050">
                <wp:extent cx="1409700" cy="6953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CFGS Desarrollo de Aplicaciones Web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ACTIVIDAD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Curso 2023/24</w:t>
          </w:r>
        </w:p>
      </w:tc>
    </w:tr>
  </w:tbl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