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WattaFood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Architecture Notebook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Este documento descreve a filosofia, decisões, justificativas, elementos significantes e quaisquer aspectos gerais do sistema que formalizam o design e a implementação.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Architectural goals and philosophy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 maior preocupação da arquitetura será em facilitar a integração de mais plataformas de entrega.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O serviço será acessado por diversas plataformas - a maioria sendo mobile.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Para isso, teremos uma camada de acesso dedicada a prover diferentes métodos de acesso ao sistema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principal.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Não haverão requisitos específicos de hardware.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Dependemos de kits de desenvolvimento (SDKs) das plataformas-alvo. Assumiremos que estas continuarão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saudáveis e disponíveis através dos fornecedores.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Architecturally significant requirements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Monitoramento da dieta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Decisions, constraints, and justifications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Jamais acessar o banco por fora: Haverá uma camada específica para acesso ao banco. Qualquer acesso ao banco deverá ser feito por essa camada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Classes deverão ter no máximo 700 linhas ou 12 métodos. Se uma classe superar estes limites, deverá ser quebrada em partes menores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Não usar nenhuma feature das plataformas que seja específico da plataforma. Por exemplo, não usar nenhuma feature de alerta específico das plataformas mobile. A experiência de usuário deverá ser uniforme em todas as plataformas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Architectural Mechanisms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Camada de serviço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Esta é a camada de acesso externo ao serviço principal. Serve para diferenciar plataformas que possam requerer acesso de diferentes métodos. Por exemplo REST ou SOAP.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Camada de acesso ao banco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Esta deve ser a única camada permitida de acesso ao banco. Deve conter um mecanismo integrado com o banco de dados de restringir acesso a quaisquer outros componentes.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Camada de regras de negócio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Centraliza todas as regras de negócios individuais no mesmo componente.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Camada de log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Esta camada irá implementar um sistema de logging para todo o sistema. Usaremos isso para gravar informações sobre a execução do sistema. Estas informações serão usadas para verificar a saúde do serviço e para corrigir problemas no sistema.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Camada de Integração com Infraestrutura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Esta camada se integra com o sistema operacional que executará o processo do serviço de back-end. Precisaremos de serviços do sistema operacional para implementar os alertas que algumas regras de negócio requerem.</w:t>
      </w:r>
    </w:p>
    <w:p w:rsidR="00000000" w:rsidDel="00000000" w:rsidP="00000000" w:rsidRDefault="00000000" w:rsidRPr="00000000" w14:paraId="0000002E">
      <w:pPr>
        <w:pStyle w:val="Heading2"/>
        <w:ind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Key abstractions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Roteador de requisições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Os pedidos serializados vindos das plataformas-alvo deverão ser despachadas para as regras de negócio correspondentes. Este componente faz este roteamento.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Formatador de cadastro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Existem diversos formulários, todos irão ser validados pelo mesmo componente genérico que garantirá a integridade dos dados antes de entrarem no banco.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Alertas de sistema/plataforma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Algumas regras de negócio irão disparar alertas (monitoramento por exemplo). Dentro do sistema principal, teremos uma abstração para disparar alertas independente da plataforma.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Layers or architectural framework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Iremos usar MVC no sistema. O back-end será exclusivamente o Model. O Control será em parte no back-end e em parte na plataforma final (enviando requisitos REST, típicamente). O View será completamente na plataforma final (por exemplo, usando as bibliotecas de UI Android e iOS).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360" w:hanging="360"/>
        <w:contextualSpacing w:val="0"/>
        <w:rPr/>
      </w:pPr>
      <w:r w:rsidDel="00000000" w:rsidR="00000000" w:rsidRPr="00000000">
        <w:rPr>
          <w:rtl w:val="0"/>
        </w:rPr>
        <w:t xml:space="preserve">Architectural views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Logical: </w:t>
      </w:r>
      <w:r w:rsidDel="00000000" w:rsidR="00000000" w:rsidRPr="00000000">
        <w:rPr>
          <w:rtl w:val="0"/>
        </w:rPr>
        <w:t xml:space="preserve">Em ordem de fluxo: camada de acesso -&gt; roteador de requisição -&gt; camada de regras de negócio -&gt; camada de banco de dados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Operational:</w:t>
      </w:r>
      <w:r w:rsidDel="00000000" w:rsidR="00000000" w:rsidRPr="00000000">
        <w:rPr>
          <w:rtl w:val="0"/>
        </w:rPr>
        <w:t xml:space="preserve"> O sistema será single process, mas com uma thread para cada requisição. O banco executará em outro processo.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Monitoramento da dieta.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49">
          <w:pPr>
            <w:ind w:left="0" w:righ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A">
          <w:pPr>
            <w:contextualSpacing w:val="0"/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2018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B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573.0" w:type="dxa"/>
      <w:jc w:val="left"/>
      <w:tblInd w:w="-7.0" w:type="dxa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6379"/>
      <w:gridCol w:w="3194"/>
      <w:tblGridChange w:id="0">
        <w:tblGrid>
          <w:gridCol w:w="6379"/>
          <w:gridCol w:w="3194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  <w:tcMar>
            <w:left w:w="100.0" w:type="dxa"/>
          </w:tcMar>
        </w:tcPr>
        <w:p w:rsidR="00000000" w:rsidDel="00000000" w:rsidP="00000000" w:rsidRDefault="00000000" w:rsidRPr="00000000" w14:paraId="00000043">
          <w:pPr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WattaFood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tcMar>
            <w:left w:w="100.0" w:type="dxa"/>
          </w:tcMar>
        </w:tcPr>
        <w:p w:rsidR="00000000" w:rsidDel="00000000" w:rsidP="00000000" w:rsidRDefault="00000000" w:rsidRPr="00000000" w14:paraId="00000044">
          <w:pPr>
            <w:tabs>
              <w:tab w:val="left" w:pos="1135"/>
            </w:tabs>
            <w:spacing w:after="0" w:before="40" w:lineRule="auto"/>
            <w:ind w:left="0" w:right="68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  <w:tcMar>
            <w:left w:w="100.0" w:type="dxa"/>
          </w:tcMar>
        </w:tcPr>
        <w:p w:rsidR="00000000" w:rsidDel="00000000" w:rsidP="00000000" w:rsidRDefault="00000000" w:rsidRPr="00000000" w14:paraId="00000045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Architecture Notebook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tcMar>
            <w:left w:w="100.0" w:type="dxa"/>
          </w:tcMar>
        </w:tcPr>
        <w:p w:rsidR="00000000" w:rsidDel="00000000" w:rsidP="00000000" w:rsidRDefault="00000000" w:rsidRPr="00000000" w14:paraId="00000046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  Date:  &lt;22/05/18&gt;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%1.%3"/>
      <w:lvlJc w:val="left"/>
      <w:pPr>
        <w:ind w:left="0" w:firstLine="0"/>
      </w:pPr>
      <w:rPr/>
    </w:lvl>
    <w:lvl w:ilvl="3">
      <w:start w:val="1"/>
      <w:numFmt w:val="decimal"/>
      <w:lvlText w:val="%1.%3.%4"/>
      <w:lvlJc w:val="left"/>
      <w:pPr>
        <w:ind w:left="0" w:firstLine="0"/>
      </w:pPr>
      <w:rPr/>
    </w:lvl>
    <w:lvl w:ilvl="4">
      <w:start w:val="1"/>
      <w:numFmt w:val="decimal"/>
      <w:lvlText w:val="%1.%3.%4.%5"/>
      <w:lvlJc w:val="left"/>
      <w:pPr>
        <w:ind w:left="0" w:firstLine="0"/>
      </w:pPr>
      <w:rPr/>
    </w:lvl>
    <w:lvl w:ilvl="5">
      <w:start w:val="1"/>
      <w:numFmt w:val="decimal"/>
      <w:lvlText w:val="%1.%3.%4.%5.%6"/>
      <w:lvlJc w:val="left"/>
      <w:pPr>
        <w:ind w:left="0" w:firstLine="0"/>
      </w:pPr>
      <w:rPr/>
    </w:lvl>
    <w:lvl w:ilvl="6">
      <w:start w:val="1"/>
      <w:numFmt w:val="decimal"/>
      <w:lvlText w:val="%1.%3.%4.%5.%6.%7"/>
      <w:lvlJc w:val="left"/>
      <w:pPr>
        <w:ind w:left="0" w:firstLine="0"/>
      </w:pPr>
      <w:rPr/>
    </w:lvl>
    <w:lvl w:ilvl="7">
      <w:start w:val="1"/>
      <w:numFmt w:val="decimal"/>
      <w:lvlText w:val="%1.%3.%4.%5.%6.%7.%8"/>
      <w:lvlJc w:val="left"/>
      <w:pPr>
        <w:ind w:left="0" w:firstLine="0"/>
      </w:pPr>
      <w:rPr/>
    </w:lvl>
    <w:lvl w:ilvl="8">
      <w:start w:val="1"/>
      <w:numFmt w:val="decimal"/>
      <w:lvlText w:val="%1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360" w:hanging="36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right="0" w:firstLine="36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right="0" w:firstLine="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righ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righ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