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NS-2;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усложнённой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кольцевой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 1).</w:t>
      </w:r>
    </w:p>
    <w:p>
      <w:pPr>
        <w:pStyle w:val="CaptionedFigure"/>
      </w:pPr>
      <w:bookmarkStart w:id="23" w:name="fig:001"/>
      <w:r>
        <w:drawing>
          <wp:inline>
            <wp:extent cx="4587368" cy="1045028"/>
            <wp:effectExtent b="0" l="0" r="0" t="0"/>
            <wp:docPr descr="Рис. 1: Создание директорий и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Создание директорий и файла</w:t>
      </w:r>
    </w:p>
    <w:p>
      <w:pPr>
        <w:pStyle w:val="BodyText"/>
      </w:pPr>
      <w:r>
        <w:t xml:space="preserve">Откроем на редактирование файл shablon.tcl (рис. 2).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CaptionedFigure"/>
      </w:pPr>
      <w:bookmarkStart w:id="26" w:name="fig:002"/>
      <w:r>
        <w:drawing>
          <wp:inline>
            <wp:extent cx="4018749" cy="4172430"/>
            <wp:effectExtent b="0" l="0" r="0" t="0"/>
            <wp:docPr descr="Рис. 2: Редактирование файла shablon.tcl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417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3).</w:t>
      </w:r>
    </w:p>
    <w:p>
      <w:pPr>
        <w:pStyle w:val="CaptionedFigure"/>
      </w:pPr>
      <w:bookmarkStart w:id="29" w:name="fig:003"/>
      <w:r>
        <w:drawing>
          <wp:inline>
            <wp:extent cx="4556631" cy="4356847"/>
            <wp:effectExtent b="0" l="0" r="0" t="0"/>
            <wp:docPr descr="Рис. 3: Запуск шаблона сценария для NS-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435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Запуск шаблона сценария для NS-2</w:t>
      </w:r>
    </w:p>
    <w:bookmarkEnd w:id="31"/>
    <w:bookmarkStart w:id="38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 4).</w:t>
      </w:r>
    </w:p>
    <w:p>
      <w:pPr>
        <w:pStyle w:val="CaptionedFigure"/>
      </w:pPr>
      <w:bookmarkStart w:id="33" w:name="fig:004"/>
      <w:r>
        <w:drawing>
          <wp:inline>
            <wp:extent cx="4110957" cy="5056094"/>
            <wp:effectExtent b="0" l="0" r="0" t="0"/>
            <wp:docPr descr="Рис. 4: Пример описания топологии сети, состоящей из двух узлов и одного соедине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50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bookmarkStart w:id="34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4"/>
      <w:r>
        <w:t xml:space="preserve">Рис. 4: 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 5).</w:t>
      </w:r>
    </w:p>
    <w:p>
      <w:pPr>
        <w:pStyle w:val="CaptionedFigure"/>
      </w:pPr>
      <w:bookmarkStart w:id="36" w:name="fig:005"/>
      <w:r>
        <w:drawing>
          <wp:inline>
            <wp:extent cx="5048410" cy="3696020"/>
            <wp:effectExtent b="0" l="0" r="0" t="0"/>
            <wp:docPr descr="Рис. 5: Визуализация простой модели сети с помощью nam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bookmarkStart w:id="37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7"/>
      <w:r>
        <w:t xml:space="preserve">Рис. 5: 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38"/>
    <w:bookmarkStart w:id="51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4 узлов (n0, n1, n2, n3);</w:t>
      </w:r>
    </w:p>
    <w:p>
      <w:pPr>
        <w:numPr>
          <w:ilvl w:val="0"/>
          <w:numId w:val="1002"/>
        </w:numPr>
        <w:pStyle w:val="Compact"/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numPr>
          <w:ilvl w:val="0"/>
          <w:numId w:val="1002"/>
        </w:numPr>
        <w:pStyle w:val="Compact"/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numPr>
          <w:ilvl w:val="0"/>
          <w:numId w:val="1002"/>
        </w:numPr>
        <w:pStyle w:val="Compact"/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numPr>
          <w:ilvl w:val="0"/>
          <w:numId w:val="1002"/>
        </w:numPr>
        <w:pStyle w:val="Compact"/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numPr>
          <w:ilvl w:val="0"/>
          <w:numId w:val="1002"/>
        </w:numPr>
        <w:pStyle w:val="Compact"/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и cbr прикреплены к TCP и UDP агентам соответственно;</w:t>
      </w:r>
    </w:p>
    <w:p>
      <w:pPr>
        <w:numPr>
          <w:ilvl w:val="0"/>
          <w:numId w:val="1002"/>
        </w:numPr>
        <w:pStyle w:val="Compact"/>
      </w:pPr>
      <w:r>
        <w:t xml:space="preserve">генератор cbr генерирует пакеты размером 1 Кбайт со скоростью 1 Мбит/с;</w:t>
      </w:r>
    </w:p>
    <w:p>
      <w:pPr>
        <w:numPr>
          <w:ilvl w:val="0"/>
          <w:numId w:val="1002"/>
        </w:numPr>
        <w:pStyle w:val="Compact"/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6).</w:t>
      </w:r>
    </w:p>
    <w:p>
      <w:pPr>
        <w:pStyle w:val="CaptionedFigure"/>
      </w:pPr>
      <w:bookmarkStart w:id="40" w:name="fig:006"/>
      <w:r>
        <w:drawing>
          <wp:inline>
            <wp:extent cx="3703704" cy="1475334"/>
            <wp:effectExtent b="0" l="0" r="0" t="0"/>
            <wp:docPr descr="Рис. 6: Визуализация простой модели сети с помощью na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bookmarkStart w:id="41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1"/>
      <w:r>
        <w:t xml:space="preserve">Рис. 6: 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 7).</w:t>
      </w:r>
    </w:p>
    <w:p>
      <w:pPr>
        <w:pStyle w:val="CaptionedFigure"/>
      </w:pPr>
      <w:bookmarkStart w:id="43" w:name="fig:007"/>
      <w:r>
        <w:drawing>
          <wp:inline>
            <wp:extent cx="3580759" cy="2658675"/>
            <wp:effectExtent b="0" l="0" r="0" t="0"/>
            <wp:docPr descr="Рис. 7: 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bookmarkStart w:id="44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4"/>
      <w:r>
        <w:t xml:space="preserve">Рис. 7: Описание усложненной топологии сети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 8).</w:t>
      </w:r>
    </w:p>
    <w:p>
      <w:pPr>
        <w:pStyle w:val="CaptionedFigure"/>
      </w:pPr>
      <w:bookmarkStart w:id="46" w:name="fig:008"/>
      <w:r>
        <w:drawing>
          <wp:inline>
            <wp:extent cx="3242662" cy="3135085"/>
            <wp:effectExtent b="0" l="0" r="0" t="0"/>
            <wp:docPr descr="Рис. 8: 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7"/>
      <w:r>
        <w:t xml:space="preserve">Рис. 8: 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9).</w:t>
      </w:r>
    </w:p>
    <w:p>
      <w:pPr>
        <w:pStyle w:val="CaptionedFigure"/>
      </w:pPr>
      <w:bookmarkStart w:id="49" w:name="fig:009"/>
      <w:r>
        <w:drawing>
          <wp:inline>
            <wp:extent cx="5225142" cy="4164746"/>
            <wp:effectExtent b="0" l="0" r="0" t="0"/>
            <wp:docPr descr="Рис. 9: 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50"/>
      <w:r>
        <w:t xml:space="preserve">Рис. 9: Описание усложненной топологии сети</w:t>
      </w:r>
    </w:p>
    <w:bookmarkEnd w:id="51"/>
    <w:bookmarkStart w:id="76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7 узлов, соединённых в кольцо;</w:t>
      </w:r>
    </w:p>
    <w:p>
      <w:pPr>
        <w:numPr>
          <w:ilvl w:val="0"/>
          <w:numId w:val="1003"/>
        </w:numPr>
        <w:pStyle w:val="Compact"/>
      </w:pPr>
      <w:r>
        <w:t xml:space="preserve">данные передаются от узла n(0) к узлу n(3) по кратчайшему пути;</w:t>
      </w:r>
    </w:p>
    <w:p>
      <w:pPr>
        <w:numPr>
          <w:ilvl w:val="0"/>
          <w:numId w:val="1003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numPr>
          <w:ilvl w:val="0"/>
          <w:numId w:val="1003"/>
        </w:numPr>
        <w:pStyle w:val="Compact"/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 10).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 11).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CaptionedFigure"/>
      </w:pPr>
      <w:bookmarkStart w:id="53" w:name="fig:010"/>
      <w:r>
        <w:drawing>
          <wp:inline>
            <wp:extent cx="4318426" cy="3772860"/>
            <wp:effectExtent b="0" l="0" r="0" t="0"/>
            <wp:docPr descr="Рис. 10: Описание кольцевой топологии сети и динамической маршрутизацией пакетов" title="" id="1" name="Picture"/>
            <a:graphic>
              <a:graphicData uri="http://schemas.openxmlformats.org/drawingml/2006/picture">
                <pic:pic>
                  <pic:nvPicPr>
                    <pic:cNvPr descr="image/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377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bookmarkStart w:id="54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4"/>
      <w:r>
        <w:t xml:space="preserve">Рис. 10: Описание кольцевой топологии сети и динамической маршрутизацией пакетов</w:t>
      </w:r>
    </w:p>
    <w:p>
      <w:pPr>
        <w:pStyle w:val="CaptionedFigure"/>
      </w:pPr>
      <w:bookmarkStart w:id="56" w:name="fig:011"/>
      <w:r>
        <w:drawing>
          <wp:inline>
            <wp:extent cx="5048410" cy="4671892"/>
            <wp:effectExtent b="0" l="0" r="0" t="0"/>
            <wp:docPr descr="Рис. 11: Передача данных по кратчайшему пути сети с кольцевой топологией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4671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bookmarkStart w:id="57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57"/>
      <w:r>
        <w:t xml:space="preserve">Рис. 11: 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 12.</w:t>
      </w:r>
    </w:p>
    <w:p>
      <w:pPr>
        <w:pStyle w:val="CaptionedFigure"/>
      </w:pPr>
      <w:bookmarkStart w:id="59" w:name="fig:012"/>
      <w:r>
        <w:drawing>
          <wp:inline>
            <wp:extent cx="5048410" cy="4664208"/>
            <wp:effectExtent b="0" l="0" r="0" t="0"/>
            <wp:docPr descr="Рис. 12: Передача данных по сети с кольцевой топологией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466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bookmarkStart w:id="60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60"/>
      <w:r>
        <w:t xml:space="preserve">Рис. 12: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 13).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CaptionedFigure"/>
      </w:pPr>
      <w:bookmarkStart w:id="62" w:name="fig:013"/>
      <w:r>
        <w:drawing>
          <wp:inline>
            <wp:extent cx="5301983" cy="4802521"/>
            <wp:effectExtent b="0" l="0" r="0" t="0"/>
            <wp:docPr descr="Рис. 13: Маршрутизация данных по сети с кольцевой топологией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bookmarkStart w:id="63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63"/>
      <w:r>
        <w:t xml:space="preserve">Рис. 13: Маршрутизация данных по сети с кольцевой топологией в случае разрыва соединения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numPr>
          <w:ilvl w:val="0"/>
          <w:numId w:val="1004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n(1)(14).</w:t>
      </w:r>
    </w:p>
    <w:p>
      <w:pPr>
        <w:pStyle w:val="CaptionedFigure"/>
      </w:pPr>
      <w:bookmarkStart w:id="65" w:name="fig:014"/>
      <w:r>
        <w:drawing>
          <wp:inline>
            <wp:extent cx="5009989" cy="3941909"/>
            <wp:effectExtent b="0" l="0" r="0" t="0"/>
            <wp:docPr descr="Рис. 14: Программа для упражнения по построению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bookmarkStart w:id="66" w:name="fig14"/>
      <w:r>
        <w:t xml:space="preserve">Figure </w:t>
      </w:r>
      <w:fldSimple w:instr="SEQ Figure \* ARABIC ">
        <w:r>
          <w:t>14</w:t>
        </w:r>
      </w:fldSimple>
      <w:r>
        <w:t xml:space="preserve">:</w:t>
      </w:r>
      <w:r>
        <w:t xml:space="preserve"> </w:t>
      </w:r>
      <w:bookmarkEnd w:id="66"/>
      <w:r>
        <w:t xml:space="preserve">Рис. 14: Программа для упражнения по построению топологии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(15).</w:t>
      </w:r>
    </w:p>
    <w:p>
      <w:pPr>
        <w:pStyle w:val="CaptionedFigure"/>
      </w:pPr>
      <w:bookmarkStart w:id="68" w:name="fig:015"/>
      <w:r>
        <w:drawing>
          <wp:inline>
            <wp:extent cx="5263563" cy="4887045"/>
            <wp:effectExtent b="0" l="0" r="0" t="0"/>
            <wp:docPr descr="Рис. 15: Передача данных по изменённой кольцев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488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bookmarkStart w:id="69" w:name="fig15"/>
      <w:r>
        <w:t xml:space="preserve">Figure </w:t>
      </w:r>
      <w:fldSimple w:instr="SEQ Figure \* ARABIC ">
        <w:r>
          <w:t>15</w:t>
        </w:r>
      </w:fldSimple>
      <w:r>
        <w:t xml:space="preserve">:</w:t>
      </w:r>
      <w:r>
        <w:t xml:space="preserve"> </w:t>
      </w:r>
      <w:bookmarkEnd w:id="69"/>
      <w:r>
        <w:t xml:space="preserve">Рис. 15: Передача данных по изменённой кольцевой топологии сети</w:t>
      </w:r>
    </w:p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(16).</w:t>
      </w:r>
    </w:p>
    <w:p>
      <w:pPr>
        <w:pStyle w:val="CaptionedFigure"/>
      </w:pPr>
      <w:bookmarkStart w:id="71" w:name="fig:016"/>
      <w:r>
        <w:drawing>
          <wp:inline>
            <wp:extent cx="5240510" cy="4856309"/>
            <wp:effectExtent b="0" l="0" r="0" t="0"/>
            <wp:docPr descr="Рис. 16: Передача данных по сети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48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bookmarkStart w:id="72" w:name="fig16"/>
      <w:r>
        <w:t xml:space="preserve">Figure </w:t>
      </w:r>
      <w:fldSimple w:instr="SEQ Figure \* ARABIC ">
        <w:r>
          <w:t>16</w:t>
        </w:r>
      </w:fldSimple>
      <w:r>
        <w:t xml:space="preserve">:</w:t>
      </w:r>
      <w:r>
        <w:t xml:space="preserve"> </w:t>
      </w:r>
      <w:bookmarkEnd w:id="72"/>
      <w:r>
        <w:t xml:space="preserve">Рис. 16: Передача данных по сети в случае разрыва соединения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(17).</w:t>
      </w:r>
    </w:p>
    <w:p>
      <w:pPr>
        <w:pStyle w:val="CaptionedFigure"/>
      </w:pPr>
      <w:bookmarkStart w:id="74" w:name="fig:017"/>
      <w:r>
        <w:drawing>
          <wp:inline>
            <wp:extent cx="5248194" cy="4779468"/>
            <wp:effectExtent b="0" l="0" r="0" t="0"/>
            <wp:docPr descr="Рис. 17: Передача данных после восстановления соединения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bookmarkStart w:id="75" w:name="fig17"/>
      <w:r>
        <w:t xml:space="preserve">Figure </w:t>
      </w:r>
      <w:fldSimple w:instr="SEQ Figure \* ARABIC ">
        <w:r>
          <w:t>17</w:t>
        </w:r>
      </w:fldSimple>
      <w:r>
        <w:t xml:space="preserve">:</w:t>
      </w:r>
      <w:r>
        <w:t xml:space="preserve"> </w:t>
      </w:r>
      <w:bookmarkEnd w:id="75"/>
      <w:r>
        <w:t xml:space="preserve">Рис. 17: Передача данных после восстановления соединения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Плето Плето Мбамби</dc:creator>
  <dc:language>ru-RU</dc:language>
  <cp:keywords/>
  <dcterms:created xsi:type="dcterms:W3CDTF">2025-04-01T12:52:59Z</dcterms:created>
  <dcterms:modified xsi:type="dcterms:W3CDTF">2025-04-01T12:52:59Z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Простые модели компьютерной сети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