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numPr>
          <w:ilvl w:val="0"/>
          <w:numId w:val="1001"/>
        </w:numPr>
        <w:pStyle w:val="Compact"/>
      </w:pPr>
      <w:r>
        <w:t xml:space="preserve">Оформить отчёт о выполненной работе.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numPr>
          <w:ilvl w:val="0"/>
          <w:numId w:val="1002"/>
        </w:numPr>
        <w:pStyle w:val="Compact"/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2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2"/>
        </w:numPr>
        <w:pStyle w:val="Compact"/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 1).</w:t>
      </w:r>
    </w:p>
    <w:p>
      <w:pPr>
        <w:pStyle w:val="CaptionedFigure"/>
      </w:pPr>
      <w:bookmarkStart w:id="23" w:name="fig:001"/>
      <w:r>
        <w:drawing>
          <wp:inline>
            <wp:extent cx="5334000" cy="4297480"/>
            <wp:effectExtent b="0" l="0" r="0" t="0"/>
            <wp:docPr descr="Рис. 1: Схема моделируемой сети при N=30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Рис. 1: Схема моделируемой сети при N=30</w:t>
      </w:r>
    </w:p>
    <w:p>
      <w:pPr>
        <w:pStyle w:val="BodyText"/>
      </w:pPr>
      <w:r>
        <w:t xml:space="preserve">Также получим графики изменения размера окна TCP на линке 1-го источника (рис. 2) и на всех источниках (рис. 3). Графики построены с помощью xgraph.</w:t>
      </w:r>
    </w:p>
    <w:p>
      <w:pPr>
        <w:pStyle w:val="CaptionedFigure"/>
      </w:pPr>
      <w:bookmarkStart w:id="26" w:name="fig:002"/>
      <w:r>
        <w:drawing>
          <wp:inline>
            <wp:extent cx="5271247" cy="4280006"/>
            <wp:effectExtent b="0" l="0" r="0" t="0"/>
            <wp:docPr descr="Рис. 2: Изменение размера окна TCP на линке 1-го источника при N=30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47" cy="428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7"/>
      <w:r>
        <w:t xml:space="preserve">Рис. 2: Изменение размера окна TCP на линке 1-го источника при N=30</w:t>
      </w:r>
    </w:p>
    <w:p>
      <w:pPr>
        <w:pStyle w:val="CaptionedFigure"/>
      </w:pPr>
      <w:bookmarkStart w:id="29" w:name="fig:003"/>
      <w:r>
        <w:drawing>
          <wp:inline>
            <wp:extent cx="5334000" cy="4520338"/>
            <wp:effectExtent b="0" l="0" r="0" t="0"/>
            <wp:docPr descr="Рис. 3: Изменение размера окна TCP на всех источниках при N=30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bookmarkStart w:id="30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0"/>
      <w:r>
        <w:t xml:space="preserve">Рис. 3: Изменение размера окна TCP на всех источниках при N=30</w:t>
      </w:r>
    </w:p>
    <w:p>
      <w:pPr>
        <w:pStyle w:val="BodyText"/>
      </w:pPr>
      <w:r>
        <w:t xml:space="preserve">Еще получим графики изменения размера длины очереди (рис. 4) и размера средней длины очереди (рис. 5). Графики построены с помощью xgraph.</w:t>
      </w:r>
    </w:p>
    <w:p>
      <w:pPr>
        <w:pStyle w:val="CaptionedFigure"/>
      </w:pPr>
      <w:bookmarkStart w:id="32" w:name="fig:004"/>
      <w:r>
        <w:drawing>
          <wp:inline>
            <wp:extent cx="5163670" cy="4134010"/>
            <wp:effectExtent b="0" l="0" r="0" t="0"/>
            <wp:docPr descr="Рис. 4: Изменение размера длины очереди на линке (R1–R2) при N=30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413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bookmarkStart w:id="33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3"/>
      <w:r>
        <w:t xml:space="preserve">Рис. 4: Изменение размера длины очереди на линке (R1–R2) при N=30</w:t>
      </w:r>
    </w:p>
    <w:p>
      <w:pPr>
        <w:pStyle w:val="CaptionedFigure"/>
      </w:pPr>
      <w:bookmarkStart w:id="35" w:name="fig:005"/>
      <w:r>
        <w:drawing>
          <wp:inline>
            <wp:extent cx="5163670" cy="4087905"/>
            <wp:effectExtent b="0" l="0" r="0" t="0"/>
            <wp:docPr descr="Рис. 5: Изменение размера средней длины очереди на линке (R1–R2) при N=30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408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bookmarkStart w:id="36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6"/>
      <w:r>
        <w:t xml:space="preserve">Рис. 5: Изменение размера средней длины очереди на линке (R1–R2) при N=30</w:t>
      </w:r>
    </w:p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 6) и на всех источниках (рис. 7).</w:t>
      </w:r>
    </w:p>
    <w:p>
      <w:pPr>
        <w:pStyle w:val="CaptionedFigure"/>
      </w:pPr>
      <w:bookmarkStart w:id="38" w:name="fig:006"/>
      <w:r>
        <w:drawing>
          <wp:inline>
            <wp:extent cx="5334000" cy="3993590"/>
            <wp:effectExtent b="0" l="0" r="0" t="0"/>
            <wp:docPr descr="Рис. 6: Изменение размера окна TCP на линке 1-го источника при N=30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bookmarkStart w:id="39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39"/>
      <w:r>
        <w:t xml:space="preserve">Рис. 6: Изменение размера окна TCP на линке 1-го источника при N=30</w:t>
      </w:r>
    </w:p>
    <w:p>
      <w:pPr>
        <w:pStyle w:val="CaptionedFigure"/>
      </w:pPr>
      <w:bookmarkStart w:id="41" w:name="fig:007"/>
      <w:r>
        <w:drawing>
          <wp:inline>
            <wp:extent cx="5334000" cy="4016188"/>
            <wp:effectExtent b="0" l="0" r="0" t="0"/>
            <wp:docPr descr="Рис. 7: Изменение размера окна TCP на всех источниках при N=30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bookmarkStart w:id="42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42"/>
      <w:r>
        <w:t xml:space="preserve">Рис. 7: Изменение размера окна TCP на всех источниках при N=30</w:t>
      </w:r>
    </w:p>
    <w:p>
      <w:pPr>
        <w:pStyle w:val="BodyText"/>
      </w:pPr>
      <w:r>
        <w:t xml:space="preserve">Графики изменения размера длины очереди (рис. 8) и размера средней длины очереди (рис. 9).</w:t>
      </w:r>
    </w:p>
    <w:p>
      <w:pPr>
        <w:pStyle w:val="CaptionedFigure"/>
      </w:pPr>
      <w:bookmarkStart w:id="44" w:name="fig:008"/>
      <w:r>
        <w:drawing>
          <wp:inline>
            <wp:extent cx="5334000" cy="4005661"/>
            <wp:effectExtent b="0" l="0" r="0" t="0"/>
            <wp:docPr descr="Рис. 8: Изменение размера длины очереди на линке (R1–R2) при N=30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bookmarkStart w:id="45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45"/>
      <w:r>
        <w:t xml:space="preserve">Рис. 8: Изменение размера длины очереди на линке (R1–R2) при N=30</w:t>
      </w:r>
    </w:p>
    <w:p>
      <w:pPr>
        <w:pStyle w:val="CaptionedFigure"/>
      </w:pPr>
      <w:bookmarkStart w:id="47" w:name="fig:009"/>
      <w:r>
        <w:drawing>
          <wp:inline>
            <wp:extent cx="5334000" cy="4019281"/>
            <wp:effectExtent b="0" l="0" r="0" t="0"/>
            <wp:docPr descr="Рис. 9: Изменение размера средней длины очереди на линке (R1–R2) при N=30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bookmarkStart w:id="48" w:name="fig9"/>
      <w:r>
        <w:t xml:space="preserve">Figure </w:t>
      </w:r>
      <w:fldSimple w:instr="SEQ Figure \* ARABIC ">
        <w:r>
          <w:t>9</w:t>
        </w:r>
      </w:fldSimple>
      <w:r>
        <w:t xml:space="preserve">:</w:t>
      </w:r>
      <w:r>
        <w:t xml:space="preserve"> </w:t>
      </w:r>
      <w:bookmarkEnd w:id="48"/>
      <w:r>
        <w:t xml:space="preserve">Рис. 9: Изменение размера средней длины очереди на линке (R1–R2) при N=30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Плето Плето Мбамби</dc:creator>
  <dc:language>ru-RU</dc:language>
  <cp:keywords/>
  <dcterms:created xsi:type="dcterms:W3CDTF">2025-04-01T14:11:07Z</dcterms:created>
  <dcterms:modified xsi:type="dcterms:W3CDTF">2025-04-01T14:11:07Z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Задание для самостоятельного выполнения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