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M|M|1|</w:t>
      </w:r>
    </w:p>
    <w:p>
      <w:pPr>
        <w:pStyle w:val="Author"/>
      </w:pPr>
      <w:r>
        <w:t xml:space="preserve">Плето</w:t>
      </w:r>
      <w:r>
        <w:t xml:space="preserve"> </w:t>
      </w:r>
      <w:r>
        <w:t xml:space="preserve">Плето</w:t>
      </w:r>
      <w:r>
        <w:t xml:space="preserve"> </w:t>
      </w:r>
      <w:r>
        <w:t xml:space="preserve">Мбамби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Рассмотреть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модель 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поступления и обработки заявок;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динамики размера очереди.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Зафиксируем начальные данные:</w:t>
      </w:r>
      <w:r>
        <w:t xml:space="preserve"> </w:t>
      </w:r>
      <m:oMath>
        <m:r>
          <m:t>λ</m:t>
        </m:r>
        <m:r>
          <m:rPr>
            <m:sty m:val="p"/>
          </m:rPr>
          <m:t>=</m:t>
        </m:r>
        <m:r>
          <m:t>0.3</m:t>
        </m:r>
        <m:r>
          <m:rPr>
            <m:sty m:val="p"/>
          </m:rPr>
          <m:t>,</m:t>
        </m:r>
        <m:r>
          <m:t> </m:t>
        </m:r>
        <m:r>
          <m:t>μ</m:t>
        </m:r>
        <m:r>
          <m:rPr>
            <m:sty m:val="p"/>
          </m:rPr>
          <m:t>=</m:t>
        </m:r>
        <m:r>
          <m:t>0.35</m:t>
        </m:r>
        <m:r>
          <m:rPr>
            <m:sty m:val="p"/>
          </m:rPr>
          <m:t>,</m:t>
        </m:r>
        <m:r>
          <m:t> </m:t>
        </m:r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 В меню Моделирование, Установить контекст зададим значения коэффициентов (рис. 1).</w:t>
      </w:r>
    </w:p>
    <w:p>
      <w:pPr>
        <w:pStyle w:val="CaptionedFigure"/>
      </w:pPr>
      <w:bookmarkStart w:id="23" w:name="fig:001"/>
      <w:r>
        <w:drawing>
          <wp:inline>
            <wp:extent cx="3634547" cy="2420470"/>
            <wp:effectExtent b="0" l="0" r="0" t="0"/>
            <wp:docPr descr="Рис. 1: Задание переменных окружения в xcos для модели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547" cy="24204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bookmarkStart w:id="24" w:name="fig1"/>
      <w:r>
        <w:t xml:space="preserve">Figure </w:t>
      </w:r>
      <w:fldSimple w:instr="SEQ Figure \* ARABIC ">
        <w:r>
          <w:t>1</w:t>
        </w:r>
      </w:fldSimple>
      <w:r>
        <w:t xml:space="preserve">:</w:t>
      </w:r>
      <w:r>
        <w:t xml:space="preserve"> </w:t>
      </w:r>
      <w:bookmarkEnd w:id="24"/>
      <w:r>
        <w:t xml:space="preserve">Рис. 1: Задание переменных окружения в xcos для модели</w:t>
      </w:r>
    </w:p>
    <w:p>
      <w:pPr>
        <w:pStyle w:val="BodyText"/>
      </w:pPr>
      <w:r>
        <w:t xml:space="preserve">Суперблок, моделирующий поступление заявок, представлен на рис. 2. Тут у нас заявки поступают в систему по пуассоновскому закону. Поступает заявка в суперблок, идет в синхронизатор входных и выходных сигналов, происходит равномерное распределение на интервале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(также заявка идет в обработчик событий), далее идет преобразование в экспоненциальное распределение с параметром</w:t>
      </w:r>
      <w:r>
        <w:t xml:space="preserve"> </w:t>
      </w:r>
      <m:oMath>
        <m:r>
          <m:t>λ</m:t>
        </m:r>
      </m:oMath>
      <w:r>
        <w:t xml:space="preserve">, далее заявка опять попадает в обработчик событий и выходит из суперблока.</w:t>
      </w:r>
    </w:p>
    <w:p>
      <w:pPr>
        <w:pStyle w:val="CaptionedFigure"/>
      </w:pPr>
      <w:bookmarkStart w:id="26" w:name="fig:002"/>
      <w:r>
        <w:drawing>
          <wp:inline>
            <wp:extent cx="4572000" cy="3788228"/>
            <wp:effectExtent b="0" l="0" r="0" t="0"/>
            <wp:docPr descr="Рис. 2: Суперблок, моделирующий поступление заявок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bookmarkStart w:id="27" w:name="fig2"/>
      <w:r>
        <w:t xml:space="preserve">Figure </w:t>
      </w:r>
      <w:fldSimple w:instr="SEQ Figure \* ARABIC ">
        <w:r>
          <w:t>2</w:t>
        </w:r>
      </w:fldSimple>
      <w:r>
        <w:t xml:space="preserve">:</w:t>
      </w:r>
      <w:r>
        <w:t xml:space="preserve"> </w:t>
      </w:r>
      <w:bookmarkEnd w:id="27"/>
      <w:r>
        <w:t xml:space="preserve">Рис. 2: Суперблок, моделирующий поступление заявок</w:t>
      </w:r>
    </w:p>
    <w:p>
      <w:pPr>
        <w:pStyle w:val="BodyText"/>
      </w:pPr>
      <w:r>
        <w:t xml:space="preserve">Суперблок, моделирующий процесс обработки заявок, представлен на рис. 3. Тут происходит обработка заявок в очереди по экспоненциальному закону.</w:t>
      </w:r>
    </w:p>
    <w:p>
      <w:pPr>
        <w:pStyle w:val="CaptionedFigure"/>
      </w:pPr>
      <w:bookmarkStart w:id="29" w:name="fig:003"/>
      <w:r>
        <w:drawing>
          <wp:inline>
            <wp:extent cx="5334000" cy="4619943"/>
            <wp:effectExtent b="0" l="0" r="0" t="0"/>
            <wp:docPr descr="Рис. 3: Суперблок, моделирующий обработку заявок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19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bookmarkStart w:id="30" w:name="fig3"/>
      <w:r>
        <w:t xml:space="preserve">Figure </w:t>
      </w:r>
      <w:fldSimple w:instr="SEQ Figure \* ARABIC ">
        <w:r>
          <w:t>3</w:t>
        </w:r>
      </w:fldSimple>
      <w:r>
        <w:t xml:space="preserve">:</w:t>
      </w:r>
      <w:r>
        <w:t xml:space="preserve"> </w:t>
      </w:r>
      <w:bookmarkEnd w:id="30"/>
      <w:r>
        <w:t xml:space="preserve">Рис. 3: Суперблок, моделирующий обработку заявок</w:t>
      </w:r>
    </w:p>
    <w:p>
      <w:pPr>
        <w:pStyle w:val="BodyText"/>
      </w:pPr>
      <w:r>
        <w:t xml:space="preserve">Готовая модель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представлена на рис. 4. Тут есть селектор, два суперблока, построенных ранее, первоначальное событие на вход в суперблок, суммирование, оператор задержки (имитация очереди), также есть регистрирующие блоки: регистратор размера очереди и регистратор событий.</w:t>
      </w:r>
    </w:p>
    <w:p>
      <w:pPr>
        <w:pStyle w:val="CaptionedFigure"/>
      </w:pPr>
      <w:bookmarkStart w:id="32" w:name="fig:004"/>
      <w:r>
        <w:drawing>
          <wp:inline>
            <wp:extent cx="5155986" cy="3788228"/>
            <wp:effectExtent b="0" l="0" r="0" t="0"/>
            <wp:docPr descr="Рис. 4: Модель M|M|1|\infty в xcos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5986" cy="3788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bookmarkStart w:id="33" w:name="fig4"/>
      <w:r>
        <w:t xml:space="preserve">Figure </w:t>
      </w:r>
      <w:fldSimple w:instr="SEQ Figure \* ARABIC ">
        <w:r>
          <w:t>4</w:t>
        </w:r>
      </w:fldSimple>
      <w:r>
        <w:t xml:space="preserve">:</w:t>
      </w:r>
      <w:r>
        <w:t xml:space="preserve"> </w:t>
      </w:r>
      <w:bookmarkEnd w:id="33"/>
      <w:r>
        <w:t xml:space="preserve">Рис. 4: Модель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 </w:t>
      </w:r>
      <w:r>
        <w:t xml:space="preserve">в xcos</w:t>
      </w:r>
    </w:p>
    <w:p>
      <w:pPr>
        <w:pStyle w:val="BodyText"/>
      </w:pPr>
      <w:r>
        <w:t xml:space="preserve">Результат моделирования представлен на рис. 5 и 6. График динамики размера очереди начинается со значения 6, потому что мы указали</w:t>
      </w:r>
      <w:r>
        <w:t xml:space="preserve"> </w:t>
      </w:r>
      <m:oMath>
        <m:sSub>
          <m:e>
            <m:r>
              <m:t>z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CaptionedFigure"/>
      </w:pPr>
      <w:bookmarkStart w:id="35" w:name="fig:005"/>
      <w:r>
        <w:drawing>
          <wp:inline>
            <wp:extent cx="4595052" cy="3242662"/>
            <wp:effectExtent b="0" l="0" r="0" t="0"/>
            <wp:docPr descr="Рис. 5: Динамика размера очереди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052" cy="3242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bookmarkStart w:id="36" w:name="fig5"/>
      <w:r>
        <w:t xml:space="preserve">Figure </w:t>
      </w:r>
      <w:fldSimple w:instr="SEQ Figure \* ARABIC ">
        <w:r>
          <w:t>5</w:t>
        </w:r>
      </w:fldSimple>
      <w:r>
        <w:t xml:space="preserve">:</w:t>
      </w:r>
      <w:r>
        <w:t xml:space="preserve"> </w:t>
      </w:r>
      <w:bookmarkEnd w:id="36"/>
      <w:r>
        <w:t xml:space="preserve">Рис. 5: Динамика размера очереди</w:t>
      </w:r>
    </w:p>
    <w:p>
      <w:pPr>
        <w:pStyle w:val="CaptionedFigure"/>
      </w:pPr>
      <w:bookmarkStart w:id="38" w:name="fig:006"/>
      <w:r>
        <w:drawing>
          <wp:inline>
            <wp:extent cx="4541263" cy="3319502"/>
            <wp:effectExtent b="0" l="0" r="0" t="0"/>
            <wp:docPr descr="Рис. 6: Поступление и обработка заявок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63" cy="3319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bookmarkStart w:id="39" w:name="fig6"/>
      <w:r>
        <w:t xml:space="preserve">Figure </w:t>
      </w:r>
      <w:fldSimple w:instr="SEQ Figure \* ARABIC ">
        <w:r>
          <w:t>6</w:t>
        </w:r>
      </w:fldSimple>
      <w:r>
        <w:t xml:space="preserve">:</w:t>
      </w:r>
      <w:r>
        <w:t xml:space="preserve"> </w:t>
      </w:r>
      <w:bookmarkEnd w:id="39"/>
      <w:r>
        <w:t xml:space="preserve">Рис. 6: Поступление и обработка заявок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данной лабораторной работы я рассмотрела пример моделирования в</w:t>
      </w:r>
      <w:r>
        <w:t xml:space="preserve"> </w:t>
      </w:r>
      <w:r>
        <w:rPr>
          <w:iCs/>
          <w:i/>
        </w:rPr>
        <w:t xml:space="preserve">xcos</w:t>
      </w:r>
      <w:r>
        <w:t xml:space="preserve"> </w:t>
      </w:r>
      <w:r>
        <w:t xml:space="preserve">системы массового обслуживания типа</w:t>
      </w:r>
      <w:r>
        <w:t xml:space="preserve"> </w:t>
      </w:r>
      <m:oMath>
        <m:r>
          <m:t>M</m:t>
        </m:r>
        <m:d>
          <m:dPr>
            <m:begChr m:val="|"/>
            <m:endChr m:val="|"/>
            <m:sepChr m:val=""/>
            <m:grow/>
          </m:dPr>
          <m:e>
            <m:r>
              <m:t>M</m:t>
            </m:r>
          </m:e>
        </m:d>
        <m:r>
          <m:t>1</m:t>
        </m:r>
        <m:r>
          <m:rPr>
            <m:sty m:val="p"/>
          </m:rPr>
          <m:t>|</m:t>
        </m:r>
        <m:r>
          <m:rPr>
            <m:sty m:val="p"/>
          </m:rPr>
          <m:t>∞</m:t>
        </m:r>
      </m:oMath>
      <w:r>
        <w:t xml:space="preserve">.</w:t>
      </w:r>
    </w:p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Плето Плето Мбамби</dc:creator>
  <dc:language>ru-RU</dc:language>
  <cp:keywords/>
  <dcterms:created xsi:type="dcterms:W3CDTF">2025-04-01T22:44:58Z</dcterms:created>
  <dcterms:modified xsi:type="dcterms:W3CDTF">2025-04-01T22:44:58Z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False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Модель M|M|1|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