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21665B09" w14:textId="1322E770" w:rsidR="00127E7A"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669442" w:history="1">
        <w:r w:rsidR="00127E7A" w:rsidRPr="00E62E3C">
          <w:rPr>
            <w:rStyle w:val="Hyperlink"/>
            <w:noProof/>
            <w14:scene3d>
              <w14:camera w14:prst="orthographicFront"/>
              <w14:lightRig w14:rig="threePt" w14:dir="t">
                <w14:rot w14:lat="0" w14:lon="0" w14:rev="0"/>
              </w14:lightRig>
            </w14:scene3d>
          </w:rPr>
          <w:t>1</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Introdução</w:t>
        </w:r>
        <w:r w:rsidR="00127E7A">
          <w:rPr>
            <w:noProof/>
            <w:webHidden/>
          </w:rPr>
          <w:tab/>
        </w:r>
        <w:r w:rsidR="00127E7A">
          <w:rPr>
            <w:noProof/>
            <w:webHidden/>
          </w:rPr>
          <w:fldChar w:fldCharType="begin"/>
        </w:r>
        <w:r w:rsidR="00127E7A">
          <w:rPr>
            <w:noProof/>
            <w:webHidden/>
          </w:rPr>
          <w:instrText xml:space="preserve"> PAGEREF _Toc191669442 \h </w:instrText>
        </w:r>
        <w:r w:rsidR="00127E7A">
          <w:rPr>
            <w:noProof/>
            <w:webHidden/>
          </w:rPr>
        </w:r>
        <w:r w:rsidR="00127E7A">
          <w:rPr>
            <w:noProof/>
            <w:webHidden/>
          </w:rPr>
          <w:fldChar w:fldCharType="separate"/>
        </w:r>
        <w:r w:rsidR="00127E7A">
          <w:rPr>
            <w:noProof/>
            <w:webHidden/>
          </w:rPr>
          <w:t>6</w:t>
        </w:r>
        <w:r w:rsidR="00127E7A">
          <w:rPr>
            <w:noProof/>
            <w:webHidden/>
          </w:rPr>
          <w:fldChar w:fldCharType="end"/>
        </w:r>
      </w:hyperlink>
    </w:p>
    <w:p w14:paraId="6EBF2C01" w14:textId="48A6D7C1"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3" w:history="1">
        <w:r w:rsidR="00127E7A" w:rsidRPr="00E62E3C">
          <w:rPr>
            <w:rStyle w:val="Hyperlink"/>
            <w:noProof/>
            <w14:scene3d>
              <w14:camera w14:prst="orthographicFront"/>
              <w14:lightRig w14:rig="threePt" w14:dir="t">
                <w14:rot w14:lat="0" w14:lon="0" w14:rev="0"/>
              </w14:lightRig>
            </w14:scene3d>
          </w:rPr>
          <w:t>1.1</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Justificativa da pesquisa</w:t>
        </w:r>
        <w:r w:rsidR="00127E7A">
          <w:rPr>
            <w:noProof/>
            <w:webHidden/>
          </w:rPr>
          <w:tab/>
        </w:r>
        <w:r w:rsidR="00127E7A">
          <w:rPr>
            <w:noProof/>
            <w:webHidden/>
          </w:rPr>
          <w:fldChar w:fldCharType="begin"/>
        </w:r>
        <w:r w:rsidR="00127E7A">
          <w:rPr>
            <w:noProof/>
            <w:webHidden/>
          </w:rPr>
          <w:instrText xml:space="preserve"> PAGEREF _Toc191669443 \h </w:instrText>
        </w:r>
        <w:r w:rsidR="00127E7A">
          <w:rPr>
            <w:noProof/>
            <w:webHidden/>
          </w:rPr>
        </w:r>
        <w:r w:rsidR="00127E7A">
          <w:rPr>
            <w:noProof/>
            <w:webHidden/>
          </w:rPr>
          <w:fldChar w:fldCharType="separate"/>
        </w:r>
        <w:r w:rsidR="00127E7A">
          <w:rPr>
            <w:noProof/>
            <w:webHidden/>
          </w:rPr>
          <w:t>7</w:t>
        </w:r>
        <w:r w:rsidR="00127E7A">
          <w:rPr>
            <w:noProof/>
            <w:webHidden/>
          </w:rPr>
          <w:fldChar w:fldCharType="end"/>
        </w:r>
      </w:hyperlink>
    </w:p>
    <w:p w14:paraId="370803FF" w14:textId="72568D01"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4" w:history="1">
        <w:r w:rsidR="00127E7A" w:rsidRPr="00E62E3C">
          <w:rPr>
            <w:rStyle w:val="Hyperlink"/>
            <w:noProof/>
          </w:rPr>
          <w:t>1.1.1</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Objetivos</w:t>
        </w:r>
        <w:r w:rsidR="00127E7A">
          <w:rPr>
            <w:noProof/>
            <w:webHidden/>
          </w:rPr>
          <w:tab/>
        </w:r>
        <w:r w:rsidR="00127E7A">
          <w:rPr>
            <w:noProof/>
            <w:webHidden/>
          </w:rPr>
          <w:fldChar w:fldCharType="begin"/>
        </w:r>
        <w:r w:rsidR="00127E7A">
          <w:rPr>
            <w:noProof/>
            <w:webHidden/>
          </w:rPr>
          <w:instrText xml:space="preserve"> PAGEREF _Toc191669444 \h </w:instrText>
        </w:r>
        <w:r w:rsidR="00127E7A">
          <w:rPr>
            <w:noProof/>
            <w:webHidden/>
          </w:rPr>
        </w:r>
        <w:r w:rsidR="00127E7A">
          <w:rPr>
            <w:noProof/>
            <w:webHidden/>
          </w:rPr>
          <w:fldChar w:fldCharType="separate"/>
        </w:r>
        <w:r w:rsidR="00127E7A">
          <w:rPr>
            <w:noProof/>
            <w:webHidden/>
          </w:rPr>
          <w:t>8</w:t>
        </w:r>
        <w:r w:rsidR="00127E7A">
          <w:rPr>
            <w:noProof/>
            <w:webHidden/>
          </w:rPr>
          <w:fldChar w:fldCharType="end"/>
        </w:r>
      </w:hyperlink>
    </w:p>
    <w:p w14:paraId="498E1B30" w14:textId="5F21448F" w:rsidR="00127E7A"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5" w:history="1">
        <w:r w:rsidR="00127E7A" w:rsidRPr="00E62E3C">
          <w:rPr>
            <w:rStyle w:val="Hyperlink"/>
            <w:noProof/>
          </w:rPr>
          <w:t>1.1.1.1</w:t>
        </w:r>
        <w:r w:rsidR="00127E7A">
          <w:rPr>
            <w:rFonts w:asciiTheme="minorHAnsi" w:eastAsiaTheme="minorEastAsia" w:hAnsiTheme="minorHAnsi"/>
            <w:i w:val="0"/>
            <w:noProof/>
            <w:kern w:val="2"/>
            <w:szCs w:val="24"/>
            <w:lang w:eastAsia="pt-BR"/>
            <w14:ligatures w14:val="standardContextual"/>
          </w:rPr>
          <w:tab/>
        </w:r>
        <w:r w:rsidR="00127E7A" w:rsidRPr="00E62E3C">
          <w:rPr>
            <w:rStyle w:val="Hyperlink"/>
            <w:noProof/>
          </w:rPr>
          <w:t>Objetivo geral</w:t>
        </w:r>
        <w:r w:rsidR="00127E7A">
          <w:rPr>
            <w:noProof/>
            <w:webHidden/>
          </w:rPr>
          <w:tab/>
        </w:r>
        <w:r w:rsidR="00127E7A">
          <w:rPr>
            <w:noProof/>
            <w:webHidden/>
          </w:rPr>
          <w:fldChar w:fldCharType="begin"/>
        </w:r>
        <w:r w:rsidR="00127E7A">
          <w:rPr>
            <w:noProof/>
            <w:webHidden/>
          </w:rPr>
          <w:instrText xml:space="preserve"> PAGEREF _Toc191669445 \h </w:instrText>
        </w:r>
        <w:r w:rsidR="00127E7A">
          <w:rPr>
            <w:noProof/>
            <w:webHidden/>
          </w:rPr>
        </w:r>
        <w:r w:rsidR="00127E7A">
          <w:rPr>
            <w:noProof/>
            <w:webHidden/>
          </w:rPr>
          <w:fldChar w:fldCharType="separate"/>
        </w:r>
        <w:r w:rsidR="00127E7A">
          <w:rPr>
            <w:noProof/>
            <w:webHidden/>
          </w:rPr>
          <w:t>8</w:t>
        </w:r>
        <w:r w:rsidR="00127E7A">
          <w:rPr>
            <w:noProof/>
            <w:webHidden/>
          </w:rPr>
          <w:fldChar w:fldCharType="end"/>
        </w:r>
      </w:hyperlink>
    </w:p>
    <w:p w14:paraId="6BB5DA33" w14:textId="455CAC17" w:rsidR="00127E7A"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6" w:history="1">
        <w:r w:rsidR="00127E7A" w:rsidRPr="00E62E3C">
          <w:rPr>
            <w:rStyle w:val="Hyperlink"/>
            <w:rFonts w:cs="Arial"/>
            <w:noProof/>
          </w:rPr>
          <w:t>1.1.1.2</w:t>
        </w:r>
        <w:r w:rsidR="00127E7A">
          <w:rPr>
            <w:rFonts w:asciiTheme="minorHAnsi" w:eastAsiaTheme="minorEastAsia" w:hAnsiTheme="minorHAnsi"/>
            <w:i w:val="0"/>
            <w:noProof/>
            <w:kern w:val="2"/>
            <w:szCs w:val="24"/>
            <w:lang w:eastAsia="pt-BR"/>
            <w14:ligatures w14:val="standardContextual"/>
          </w:rPr>
          <w:tab/>
        </w:r>
        <w:r w:rsidR="00127E7A" w:rsidRPr="00E62E3C">
          <w:rPr>
            <w:rStyle w:val="Hyperlink"/>
            <w:noProof/>
          </w:rPr>
          <w:t>Objetivos específicos</w:t>
        </w:r>
        <w:r w:rsidR="00127E7A">
          <w:rPr>
            <w:noProof/>
            <w:webHidden/>
          </w:rPr>
          <w:tab/>
        </w:r>
        <w:r w:rsidR="00127E7A">
          <w:rPr>
            <w:noProof/>
            <w:webHidden/>
          </w:rPr>
          <w:fldChar w:fldCharType="begin"/>
        </w:r>
        <w:r w:rsidR="00127E7A">
          <w:rPr>
            <w:noProof/>
            <w:webHidden/>
          </w:rPr>
          <w:instrText xml:space="preserve"> PAGEREF _Toc191669446 \h </w:instrText>
        </w:r>
        <w:r w:rsidR="00127E7A">
          <w:rPr>
            <w:noProof/>
            <w:webHidden/>
          </w:rPr>
        </w:r>
        <w:r w:rsidR="00127E7A">
          <w:rPr>
            <w:noProof/>
            <w:webHidden/>
          </w:rPr>
          <w:fldChar w:fldCharType="separate"/>
        </w:r>
        <w:r w:rsidR="00127E7A">
          <w:rPr>
            <w:noProof/>
            <w:webHidden/>
          </w:rPr>
          <w:t>8</w:t>
        </w:r>
        <w:r w:rsidR="00127E7A">
          <w:rPr>
            <w:noProof/>
            <w:webHidden/>
          </w:rPr>
          <w:fldChar w:fldCharType="end"/>
        </w:r>
      </w:hyperlink>
    </w:p>
    <w:p w14:paraId="3A80C798" w14:textId="418F3B20" w:rsidR="00127E7A"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47" w:history="1">
        <w:r w:rsidR="00127E7A" w:rsidRPr="00E62E3C">
          <w:rPr>
            <w:rStyle w:val="Hyperlink"/>
            <w:noProof/>
            <w14:scene3d>
              <w14:camera w14:prst="orthographicFront"/>
              <w14:lightRig w14:rig="threePt" w14:dir="t">
                <w14:rot w14:lat="0" w14:lon="0" w14:rev="0"/>
              </w14:lightRig>
            </w14:scene3d>
          </w:rPr>
          <w:t>2</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fundamentação teórica</w:t>
        </w:r>
        <w:r w:rsidR="00127E7A">
          <w:rPr>
            <w:noProof/>
            <w:webHidden/>
          </w:rPr>
          <w:tab/>
        </w:r>
        <w:r w:rsidR="00127E7A">
          <w:rPr>
            <w:noProof/>
            <w:webHidden/>
          </w:rPr>
          <w:fldChar w:fldCharType="begin"/>
        </w:r>
        <w:r w:rsidR="00127E7A">
          <w:rPr>
            <w:noProof/>
            <w:webHidden/>
          </w:rPr>
          <w:instrText xml:space="preserve"> PAGEREF _Toc191669447 \h </w:instrText>
        </w:r>
        <w:r w:rsidR="00127E7A">
          <w:rPr>
            <w:noProof/>
            <w:webHidden/>
          </w:rPr>
        </w:r>
        <w:r w:rsidR="00127E7A">
          <w:rPr>
            <w:noProof/>
            <w:webHidden/>
          </w:rPr>
          <w:fldChar w:fldCharType="separate"/>
        </w:r>
        <w:r w:rsidR="00127E7A">
          <w:rPr>
            <w:noProof/>
            <w:webHidden/>
          </w:rPr>
          <w:t>8</w:t>
        </w:r>
        <w:r w:rsidR="00127E7A">
          <w:rPr>
            <w:noProof/>
            <w:webHidden/>
          </w:rPr>
          <w:fldChar w:fldCharType="end"/>
        </w:r>
      </w:hyperlink>
    </w:p>
    <w:p w14:paraId="7975EFCD" w14:textId="007DD543"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8" w:history="1">
        <w:r w:rsidR="00127E7A" w:rsidRPr="00E62E3C">
          <w:rPr>
            <w:rStyle w:val="Hyperlink"/>
            <w:noProof/>
            <w14:scene3d>
              <w14:camera w14:prst="orthographicFront"/>
              <w14:lightRig w14:rig="threePt" w14:dir="t">
                <w14:rot w14:lat="0" w14:lon="0" w14:rev="0"/>
              </w14:lightRig>
            </w14:scene3d>
          </w:rPr>
          <w:t>2.1</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O CIATA</w:t>
        </w:r>
        <w:r w:rsidR="00127E7A">
          <w:rPr>
            <w:noProof/>
            <w:webHidden/>
          </w:rPr>
          <w:tab/>
        </w:r>
        <w:r w:rsidR="00127E7A">
          <w:rPr>
            <w:noProof/>
            <w:webHidden/>
          </w:rPr>
          <w:fldChar w:fldCharType="begin"/>
        </w:r>
        <w:r w:rsidR="00127E7A">
          <w:rPr>
            <w:noProof/>
            <w:webHidden/>
          </w:rPr>
          <w:instrText xml:space="preserve"> PAGEREF _Toc191669448 \h </w:instrText>
        </w:r>
        <w:r w:rsidR="00127E7A">
          <w:rPr>
            <w:noProof/>
            <w:webHidden/>
          </w:rPr>
        </w:r>
        <w:r w:rsidR="00127E7A">
          <w:rPr>
            <w:noProof/>
            <w:webHidden/>
          </w:rPr>
          <w:fldChar w:fldCharType="separate"/>
        </w:r>
        <w:r w:rsidR="00127E7A">
          <w:rPr>
            <w:noProof/>
            <w:webHidden/>
          </w:rPr>
          <w:t>9</w:t>
        </w:r>
        <w:r w:rsidR="00127E7A">
          <w:rPr>
            <w:noProof/>
            <w:webHidden/>
          </w:rPr>
          <w:fldChar w:fldCharType="end"/>
        </w:r>
      </w:hyperlink>
    </w:p>
    <w:p w14:paraId="3C7D86A8" w14:textId="41AA8E3A"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9" w:history="1">
        <w:r w:rsidR="00127E7A" w:rsidRPr="00E62E3C">
          <w:rPr>
            <w:rStyle w:val="Hyperlink"/>
            <w:noProof/>
          </w:rPr>
          <w:t>2.1.1</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Modelo conceitual do CIATA</w:t>
        </w:r>
        <w:r w:rsidR="00127E7A">
          <w:rPr>
            <w:noProof/>
            <w:webHidden/>
          </w:rPr>
          <w:tab/>
        </w:r>
        <w:r w:rsidR="00127E7A">
          <w:rPr>
            <w:noProof/>
            <w:webHidden/>
          </w:rPr>
          <w:fldChar w:fldCharType="begin"/>
        </w:r>
        <w:r w:rsidR="00127E7A">
          <w:rPr>
            <w:noProof/>
            <w:webHidden/>
          </w:rPr>
          <w:instrText xml:space="preserve"> PAGEREF _Toc191669449 \h </w:instrText>
        </w:r>
        <w:r w:rsidR="00127E7A">
          <w:rPr>
            <w:noProof/>
            <w:webHidden/>
          </w:rPr>
        </w:r>
        <w:r w:rsidR="00127E7A">
          <w:rPr>
            <w:noProof/>
            <w:webHidden/>
          </w:rPr>
          <w:fldChar w:fldCharType="separate"/>
        </w:r>
        <w:r w:rsidR="00127E7A">
          <w:rPr>
            <w:noProof/>
            <w:webHidden/>
          </w:rPr>
          <w:t>9</w:t>
        </w:r>
        <w:r w:rsidR="00127E7A">
          <w:rPr>
            <w:noProof/>
            <w:webHidden/>
          </w:rPr>
          <w:fldChar w:fldCharType="end"/>
        </w:r>
      </w:hyperlink>
    </w:p>
    <w:p w14:paraId="36A3A62F" w14:textId="70F99AE3"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0" w:history="1">
        <w:r w:rsidR="00127E7A" w:rsidRPr="00E62E3C">
          <w:rPr>
            <w:rStyle w:val="Hyperlink"/>
            <w:noProof/>
          </w:rPr>
          <w:t>2.1.2</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Contexto Histórico e Tecnológico do CIATA</w:t>
        </w:r>
        <w:r w:rsidR="00127E7A">
          <w:rPr>
            <w:noProof/>
            <w:webHidden/>
          </w:rPr>
          <w:tab/>
        </w:r>
        <w:r w:rsidR="00127E7A">
          <w:rPr>
            <w:noProof/>
            <w:webHidden/>
          </w:rPr>
          <w:fldChar w:fldCharType="begin"/>
        </w:r>
        <w:r w:rsidR="00127E7A">
          <w:rPr>
            <w:noProof/>
            <w:webHidden/>
          </w:rPr>
          <w:instrText xml:space="preserve"> PAGEREF _Toc191669450 \h </w:instrText>
        </w:r>
        <w:r w:rsidR="00127E7A">
          <w:rPr>
            <w:noProof/>
            <w:webHidden/>
          </w:rPr>
        </w:r>
        <w:r w:rsidR="00127E7A">
          <w:rPr>
            <w:noProof/>
            <w:webHidden/>
          </w:rPr>
          <w:fldChar w:fldCharType="separate"/>
        </w:r>
        <w:r w:rsidR="00127E7A">
          <w:rPr>
            <w:noProof/>
            <w:webHidden/>
          </w:rPr>
          <w:t>10</w:t>
        </w:r>
        <w:r w:rsidR="00127E7A">
          <w:rPr>
            <w:noProof/>
            <w:webHidden/>
          </w:rPr>
          <w:fldChar w:fldCharType="end"/>
        </w:r>
      </w:hyperlink>
    </w:p>
    <w:p w14:paraId="3F2B3A08" w14:textId="0600FD57" w:rsidR="00127E7A"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1" w:history="1">
        <w:r w:rsidR="00127E7A" w:rsidRPr="00E62E3C">
          <w:rPr>
            <w:rStyle w:val="Hyperlink"/>
            <w:noProof/>
          </w:rPr>
          <w:t>2.1.2.1</w:t>
        </w:r>
        <w:r w:rsidR="00127E7A">
          <w:rPr>
            <w:rFonts w:asciiTheme="minorHAnsi" w:eastAsiaTheme="minorEastAsia" w:hAnsiTheme="minorHAnsi"/>
            <w:i w:val="0"/>
            <w:noProof/>
            <w:kern w:val="2"/>
            <w:szCs w:val="24"/>
            <w:lang w:eastAsia="pt-BR"/>
            <w14:ligatures w14:val="standardContextual"/>
          </w:rPr>
          <w:tab/>
        </w:r>
        <w:r w:rsidR="00127E7A" w:rsidRPr="00E62E3C">
          <w:rPr>
            <w:rStyle w:val="Hyperlink"/>
            <w:noProof/>
          </w:rPr>
          <w:t>Custo dos equipamentos</w:t>
        </w:r>
        <w:r w:rsidR="00127E7A">
          <w:rPr>
            <w:noProof/>
            <w:webHidden/>
          </w:rPr>
          <w:tab/>
        </w:r>
        <w:r w:rsidR="00127E7A">
          <w:rPr>
            <w:noProof/>
            <w:webHidden/>
          </w:rPr>
          <w:fldChar w:fldCharType="begin"/>
        </w:r>
        <w:r w:rsidR="00127E7A">
          <w:rPr>
            <w:noProof/>
            <w:webHidden/>
          </w:rPr>
          <w:instrText xml:space="preserve"> PAGEREF _Toc191669451 \h </w:instrText>
        </w:r>
        <w:r w:rsidR="00127E7A">
          <w:rPr>
            <w:noProof/>
            <w:webHidden/>
          </w:rPr>
        </w:r>
        <w:r w:rsidR="00127E7A">
          <w:rPr>
            <w:noProof/>
            <w:webHidden/>
          </w:rPr>
          <w:fldChar w:fldCharType="separate"/>
        </w:r>
        <w:r w:rsidR="00127E7A">
          <w:rPr>
            <w:noProof/>
            <w:webHidden/>
          </w:rPr>
          <w:t>10</w:t>
        </w:r>
        <w:r w:rsidR="00127E7A">
          <w:rPr>
            <w:noProof/>
            <w:webHidden/>
          </w:rPr>
          <w:fldChar w:fldCharType="end"/>
        </w:r>
      </w:hyperlink>
    </w:p>
    <w:p w14:paraId="785E2064" w14:textId="1DACF233" w:rsidR="00127E7A"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2" w:history="1">
        <w:r w:rsidR="00127E7A" w:rsidRPr="00E62E3C">
          <w:rPr>
            <w:rStyle w:val="Hyperlink"/>
            <w:noProof/>
          </w:rPr>
          <w:t>2.1.2.2</w:t>
        </w:r>
        <w:r w:rsidR="00127E7A">
          <w:rPr>
            <w:rFonts w:asciiTheme="minorHAnsi" w:eastAsiaTheme="minorEastAsia" w:hAnsiTheme="minorHAnsi"/>
            <w:i w:val="0"/>
            <w:noProof/>
            <w:kern w:val="2"/>
            <w:szCs w:val="24"/>
            <w:lang w:eastAsia="pt-BR"/>
            <w14:ligatures w14:val="standardContextual"/>
          </w:rPr>
          <w:tab/>
        </w:r>
        <w:r w:rsidR="00127E7A" w:rsidRPr="00E62E3C">
          <w:rPr>
            <w:rStyle w:val="Hyperlink"/>
            <w:noProof/>
          </w:rPr>
          <w:t>Memória secundária LIMITADA</w:t>
        </w:r>
        <w:r w:rsidR="00127E7A">
          <w:rPr>
            <w:noProof/>
            <w:webHidden/>
          </w:rPr>
          <w:tab/>
        </w:r>
        <w:r w:rsidR="00127E7A">
          <w:rPr>
            <w:noProof/>
            <w:webHidden/>
          </w:rPr>
          <w:fldChar w:fldCharType="begin"/>
        </w:r>
        <w:r w:rsidR="00127E7A">
          <w:rPr>
            <w:noProof/>
            <w:webHidden/>
          </w:rPr>
          <w:instrText xml:space="preserve"> PAGEREF _Toc191669452 \h </w:instrText>
        </w:r>
        <w:r w:rsidR="00127E7A">
          <w:rPr>
            <w:noProof/>
            <w:webHidden/>
          </w:rPr>
        </w:r>
        <w:r w:rsidR="00127E7A">
          <w:rPr>
            <w:noProof/>
            <w:webHidden/>
          </w:rPr>
          <w:fldChar w:fldCharType="separate"/>
        </w:r>
        <w:r w:rsidR="00127E7A">
          <w:rPr>
            <w:noProof/>
            <w:webHidden/>
          </w:rPr>
          <w:t>11</w:t>
        </w:r>
        <w:r w:rsidR="00127E7A">
          <w:rPr>
            <w:noProof/>
            <w:webHidden/>
          </w:rPr>
          <w:fldChar w:fldCharType="end"/>
        </w:r>
      </w:hyperlink>
    </w:p>
    <w:p w14:paraId="4E0D9436" w14:textId="4913959B" w:rsidR="00127E7A"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3" w:history="1">
        <w:r w:rsidR="00127E7A" w:rsidRPr="00E62E3C">
          <w:rPr>
            <w:rStyle w:val="Hyperlink"/>
            <w:noProof/>
          </w:rPr>
          <w:t>2.1.2.3</w:t>
        </w:r>
        <w:r w:rsidR="00127E7A">
          <w:rPr>
            <w:rFonts w:asciiTheme="minorHAnsi" w:eastAsiaTheme="minorEastAsia" w:hAnsiTheme="minorHAnsi"/>
            <w:i w:val="0"/>
            <w:noProof/>
            <w:kern w:val="2"/>
            <w:szCs w:val="24"/>
            <w:lang w:eastAsia="pt-BR"/>
            <w14:ligatures w14:val="standardContextual"/>
          </w:rPr>
          <w:tab/>
        </w:r>
        <w:r w:rsidR="00127E7A" w:rsidRPr="00E62E3C">
          <w:rPr>
            <w:rStyle w:val="Hyperlink"/>
            <w:noProof/>
          </w:rPr>
          <w:t>Linguagens de programação Pré-SGBDs</w:t>
        </w:r>
        <w:r w:rsidR="00127E7A">
          <w:rPr>
            <w:noProof/>
            <w:webHidden/>
          </w:rPr>
          <w:tab/>
        </w:r>
        <w:r w:rsidR="00127E7A">
          <w:rPr>
            <w:noProof/>
            <w:webHidden/>
          </w:rPr>
          <w:fldChar w:fldCharType="begin"/>
        </w:r>
        <w:r w:rsidR="00127E7A">
          <w:rPr>
            <w:noProof/>
            <w:webHidden/>
          </w:rPr>
          <w:instrText xml:space="preserve"> PAGEREF _Toc191669453 \h </w:instrText>
        </w:r>
        <w:r w:rsidR="00127E7A">
          <w:rPr>
            <w:noProof/>
            <w:webHidden/>
          </w:rPr>
        </w:r>
        <w:r w:rsidR="00127E7A">
          <w:rPr>
            <w:noProof/>
            <w:webHidden/>
          </w:rPr>
          <w:fldChar w:fldCharType="separate"/>
        </w:r>
        <w:r w:rsidR="00127E7A">
          <w:rPr>
            <w:noProof/>
            <w:webHidden/>
          </w:rPr>
          <w:t>12</w:t>
        </w:r>
        <w:r w:rsidR="00127E7A">
          <w:rPr>
            <w:noProof/>
            <w:webHidden/>
          </w:rPr>
          <w:fldChar w:fldCharType="end"/>
        </w:r>
      </w:hyperlink>
    </w:p>
    <w:p w14:paraId="79FBCD6E" w14:textId="6AE87DA7"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4" w:history="1">
        <w:r w:rsidR="00127E7A" w:rsidRPr="00E62E3C">
          <w:rPr>
            <w:rStyle w:val="Hyperlink"/>
            <w:noProof/>
            <w:lang w:val="en-US"/>
          </w:rPr>
          <w:t>2.1.3</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lang w:val="en-US"/>
          </w:rPr>
          <w:t>O CIATA e o Fit-For-Purpose Land Administration – FFP-LA</w:t>
        </w:r>
        <w:r w:rsidR="00127E7A">
          <w:rPr>
            <w:noProof/>
            <w:webHidden/>
          </w:rPr>
          <w:tab/>
        </w:r>
        <w:r w:rsidR="00127E7A">
          <w:rPr>
            <w:noProof/>
            <w:webHidden/>
          </w:rPr>
          <w:fldChar w:fldCharType="begin"/>
        </w:r>
        <w:r w:rsidR="00127E7A">
          <w:rPr>
            <w:noProof/>
            <w:webHidden/>
          </w:rPr>
          <w:instrText xml:space="preserve"> PAGEREF _Toc191669454 \h </w:instrText>
        </w:r>
        <w:r w:rsidR="00127E7A">
          <w:rPr>
            <w:noProof/>
            <w:webHidden/>
          </w:rPr>
        </w:r>
        <w:r w:rsidR="00127E7A">
          <w:rPr>
            <w:noProof/>
            <w:webHidden/>
          </w:rPr>
          <w:fldChar w:fldCharType="separate"/>
        </w:r>
        <w:r w:rsidR="00127E7A">
          <w:rPr>
            <w:noProof/>
            <w:webHidden/>
          </w:rPr>
          <w:t>13</w:t>
        </w:r>
        <w:r w:rsidR="00127E7A">
          <w:rPr>
            <w:noProof/>
            <w:webHidden/>
          </w:rPr>
          <w:fldChar w:fldCharType="end"/>
        </w:r>
      </w:hyperlink>
    </w:p>
    <w:p w14:paraId="4C04F1CB" w14:textId="648353FE"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5" w:history="1">
        <w:r w:rsidR="00127E7A" w:rsidRPr="00E62E3C">
          <w:rPr>
            <w:rStyle w:val="Hyperlink"/>
            <w:noProof/>
          </w:rPr>
          <w:t>2.1.4</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O CIATA e o LADM</w:t>
        </w:r>
        <w:r w:rsidR="00127E7A">
          <w:rPr>
            <w:noProof/>
            <w:webHidden/>
          </w:rPr>
          <w:tab/>
        </w:r>
        <w:r w:rsidR="00127E7A">
          <w:rPr>
            <w:noProof/>
            <w:webHidden/>
          </w:rPr>
          <w:fldChar w:fldCharType="begin"/>
        </w:r>
        <w:r w:rsidR="00127E7A">
          <w:rPr>
            <w:noProof/>
            <w:webHidden/>
          </w:rPr>
          <w:instrText xml:space="preserve"> PAGEREF _Toc191669455 \h </w:instrText>
        </w:r>
        <w:r w:rsidR="00127E7A">
          <w:rPr>
            <w:noProof/>
            <w:webHidden/>
          </w:rPr>
        </w:r>
        <w:r w:rsidR="00127E7A">
          <w:rPr>
            <w:noProof/>
            <w:webHidden/>
          </w:rPr>
          <w:fldChar w:fldCharType="separate"/>
        </w:r>
        <w:r w:rsidR="00127E7A">
          <w:rPr>
            <w:noProof/>
            <w:webHidden/>
          </w:rPr>
          <w:t>14</w:t>
        </w:r>
        <w:r w:rsidR="00127E7A">
          <w:rPr>
            <w:noProof/>
            <w:webHidden/>
          </w:rPr>
          <w:fldChar w:fldCharType="end"/>
        </w:r>
      </w:hyperlink>
    </w:p>
    <w:p w14:paraId="74BCC3E5" w14:textId="66CCB015"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6" w:history="1">
        <w:r w:rsidR="00127E7A" w:rsidRPr="00E62E3C">
          <w:rPr>
            <w:rStyle w:val="Hyperlink"/>
            <w:rFonts w:eastAsia="Times New Roman"/>
            <w:noProof/>
            <w:lang w:eastAsia="pt-BR"/>
          </w:rPr>
          <w:t>2.1.5</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rFonts w:eastAsia="Times New Roman"/>
            <w:noProof/>
            <w:lang w:eastAsia="pt-BR"/>
          </w:rPr>
          <w:t>Ciata e o CTM</w:t>
        </w:r>
        <w:r w:rsidR="00127E7A">
          <w:rPr>
            <w:noProof/>
            <w:webHidden/>
          </w:rPr>
          <w:tab/>
        </w:r>
        <w:r w:rsidR="00127E7A">
          <w:rPr>
            <w:noProof/>
            <w:webHidden/>
          </w:rPr>
          <w:fldChar w:fldCharType="begin"/>
        </w:r>
        <w:r w:rsidR="00127E7A">
          <w:rPr>
            <w:noProof/>
            <w:webHidden/>
          </w:rPr>
          <w:instrText xml:space="preserve"> PAGEREF _Toc191669456 \h </w:instrText>
        </w:r>
        <w:r w:rsidR="00127E7A">
          <w:rPr>
            <w:noProof/>
            <w:webHidden/>
          </w:rPr>
        </w:r>
        <w:r w:rsidR="00127E7A">
          <w:rPr>
            <w:noProof/>
            <w:webHidden/>
          </w:rPr>
          <w:fldChar w:fldCharType="separate"/>
        </w:r>
        <w:r w:rsidR="00127E7A">
          <w:rPr>
            <w:noProof/>
            <w:webHidden/>
          </w:rPr>
          <w:t>18</w:t>
        </w:r>
        <w:r w:rsidR="00127E7A">
          <w:rPr>
            <w:noProof/>
            <w:webHidden/>
          </w:rPr>
          <w:fldChar w:fldCharType="end"/>
        </w:r>
      </w:hyperlink>
    </w:p>
    <w:p w14:paraId="08B42F84" w14:textId="20ED8141"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7" w:history="1">
        <w:r w:rsidR="00127E7A" w:rsidRPr="00E62E3C">
          <w:rPr>
            <w:rStyle w:val="Hyperlink"/>
            <w:noProof/>
          </w:rPr>
          <w:t>2.1.6</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Presença do CIATA nos cadastros imobiliários</w:t>
        </w:r>
        <w:r w:rsidR="00127E7A">
          <w:rPr>
            <w:noProof/>
            <w:webHidden/>
          </w:rPr>
          <w:tab/>
        </w:r>
        <w:r w:rsidR="00127E7A">
          <w:rPr>
            <w:noProof/>
            <w:webHidden/>
          </w:rPr>
          <w:fldChar w:fldCharType="begin"/>
        </w:r>
        <w:r w:rsidR="00127E7A">
          <w:rPr>
            <w:noProof/>
            <w:webHidden/>
          </w:rPr>
          <w:instrText xml:space="preserve"> PAGEREF _Toc191669457 \h </w:instrText>
        </w:r>
        <w:r w:rsidR="00127E7A">
          <w:rPr>
            <w:noProof/>
            <w:webHidden/>
          </w:rPr>
        </w:r>
        <w:r w:rsidR="00127E7A">
          <w:rPr>
            <w:noProof/>
            <w:webHidden/>
          </w:rPr>
          <w:fldChar w:fldCharType="separate"/>
        </w:r>
        <w:r w:rsidR="00127E7A">
          <w:rPr>
            <w:noProof/>
            <w:webHidden/>
          </w:rPr>
          <w:t>21</w:t>
        </w:r>
        <w:r w:rsidR="00127E7A">
          <w:rPr>
            <w:noProof/>
            <w:webHidden/>
          </w:rPr>
          <w:fldChar w:fldCharType="end"/>
        </w:r>
      </w:hyperlink>
    </w:p>
    <w:p w14:paraId="038F903B" w14:textId="6DA1225F"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8" w:history="1">
        <w:r w:rsidR="00127E7A" w:rsidRPr="00E62E3C">
          <w:rPr>
            <w:rStyle w:val="Hyperlink"/>
            <w:noProof/>
            <w:lang w:eastAsia="pt-BR"/>
          </w:rPr>
          <w:t>2.1.7</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lang w:eastAsia="pt-BR"/>
          </w:rPr>
          <w:t>CIATA e imageamento</w:t>
        </w:r>
        <w:r w:rsidR="00127E7A">
          <w:rPr>
            <w:noProof/>
            <w:webHidden/>
          </w:rPr>
          <w:tab/>
        </w:r>
        <w:r w:rsidR="00127E7A">
          <w:rPr>
            <w:noProof/>
            <w:webHidden/>
          </w:rPr>
          <w:fldChar w:fldCharType="begin"/>
        </w:r>
        <w:r w:rsidR="00127E7A">
          <w:rPr>
            <w:noProof/>
            <w:webHidden/>
          </w:rPr>
          <w:instrText xml:space="preserve"> PAGEREF _Toc191669458 \h </w:instrText>
        </w:r>
        <w:r w:rsidR="00127E7A">
          <w:rPr>
            <w:noProof/>
            <w:webHidden/>
          </w:rPr>
        </w:r>
        <w:r w:rsidR="00127E7A">
          <w:rPr>
            <w:noProof/>
            <w:webHidden/>
          </w:rPr>
          <w:fldChar w:fldCharType="separate"/>
        </w:r>
        <w:r w:rsidR="00127E7A">
          <w:rPr>
            <w:noProof/>
            <w:webHidden/>
          </w:rPr>
          <w:t>22</w:t>
        </w:r>
        <w:r w:rsidR="00127E7A">
          <w:rPr>
            <w:noProof/>
            <w:webHidden/>
          </w:rPr>
          <w:fldChar w:fldCharType="end"/>
        </w:r>
      </w:hyperlink>
    </w:p>
    <w:p w14:paraId="359CE088" w14:textId="675B8CB2"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9" w:history="1">
        <w:r w:rsidR="00127E7A" w:rsidRPr="00E62E3C">
          <w:rPr>
            <w:rStyle w:val="Hyperlink"/>
            <w:noProof/>
            <w:lang w:eastAsia="pt-BR"/>
          </w:rPr>
          <w:t>2.1.8</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lang w:eastAsia="pt-BR"/>
          </w:rPr>
          <w:t>CIATA e a Lei Geral de Proteção de Dados (LGPD)</w:t>
        </w:r>
        <w:r w:rsidR="00127E7A">
          <w:rPr>
            <w:noProof/>
            <w:webHidden/>
          </w:rPr>
          <w:tab/>
        </w:r>
        <w:r w:rsidR="00127E7A">
          <w:rPr>
            <w:noProof/>
            <w:webHidden/>
          </w:rPr>
          <w:fldChar w:fldCharType="begin"/>
        </w:r>
        <w:r w:rsidR="00127E7A">
          <w:rPr>
            <w:noProof/>
            <w:webHidden/>
          </w:rPr>
          <w:instrText xml:space="preserve"> PAGEREF _Toc191669459 \h </w:instrText>
        </w:r>
        <w:r w:rsidR="00127E7A">
          <w:rPr>
            <w:noProof/>
            <w:webHidden/>
          </w:rPr>
        </w:r>
        <w:r w:rsidR="00127E7A">
          <w:rPr>
            <w:noProof/>
            <w:webHidden/>
          </w:rPr>
          <w:fldChar w:fldCharType="separate"/>
        </w:r>
        <w:r w:rsidR="00127E7A">
          <w:rPr>
            <w:noProof/>
            <w:webHidden/>
          </w:rPr>
          <w:t>23</w:t>
        </w:r>
        <w:r w:rsidR="00127E7A">
          <w:rPr>
            <w:noProof/>
            <w:webHidden/>
          </w:rPr>
          <w:fldChar w:fldCharType="end"/>
        </w:r>
      </w:hyperlink>
    </w:p>
    <w:p w14:paraId="5E5E849E" w14:textId="312197D2"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0" w:history="1">
        <w:r w:rsidR="00127E7A" w:rsidRPr="00E62E3C">
          <w:rPr>
            <w:rStyle w:val="Hyperlink"/>
            <w:rFonts w:eastAsia="Times New Roman"/>
            <w:noProof/>
            <w:lang w:eastAsia="pt-BR"/>
            <w14:scene3d>
              <w14:camera w14:prst="orthographicFront"/>
              <w14:lightRig w14:rig="threePt" w14:dir="t">
                <w14:rot w14:lat="0" w14:lon="0" w14:rev="0"/>
              </w14:lightRig>
            </w14:scene3d>
          </w:rPr>
          <w:t>2.2</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rFonts w:eastAsia="Times New Roman"/>
            <w:noProof/>
            <w:lang w:eastAsia="pt-BR"/>
          </w:rPr>
          <w:t>BANCOS DE DADOS CONVENCIONAIS E BANCOS DE DADOS GEOGRÁFICOS</w:t>
        </w:r>
        <w:r w:rsidR="00127E7A">
          <w:rPr>
            <w:noProof/>
            <w:webHidden/>
          </w:rPr>
          <w:tab/>
        </w:r>
        <w:r w:rsidR="00127E7A">
          <w:rPr>
            <w:noProof/>
            <w:webHidden/>
          </w:rPr>
          <w:fldChar w:fldCharType="begin"/>
        </w:r>
        <w:r w:rsidR="00127E7A">
          <w:rPr>
            <w:noProof/>
            <w:webHidden/>
          </w:rPr>
          <w:instrText xml:space="preserve"> PAGEREF _Toc191669460 \h </w:instrText>
        </w:r>
        <w:r w:rsidR="00127E7A">
          <w:rPr>
            <w:noProof/>
            <w:webHidden/>
          </w:rPr>
        </w:r>
        <w:r w:rsidR="00127E7A">
          <w:rPr>
            <w:noProof/>
            <w:webHidden/>
          </w:rPr>
          <w:fldChar w:fldCharType="separate"/>
        </w:r>
        <w:r w:rsidR="00127E7A">
          <w:rPr>
            <w:noProof/>
            <w:webHidden/>
          </w:rPr>
          <w:t>24</w:t>
        </w:r>
        <w:r w:rsidR="00127E7A">
          <w:rPr>
            <w:noProof/>
            <w:webHidden/>
          </w:rPr>
          <w:fldChar w:fldCharType="end"/>
        </w:r>
      </w:hyperlink>
    </w:p>
    <w:p w14:paraId="6B12789D" w14:textId="6AD4C517"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1" w:history="1">
        <w:r w:rsidR="00127E7A" w:rsidRPr="00E62E3C">
          <w:rPr>
            <w:rStyle w:val="Hyperlink"/>
            <w:noProof/>
            <w14:scene3d>
              <w14:camera w14:prst="orthographicFront"/>
              <w14:lightRig w14:rig="threePt" w14:dir="t">
                <w14:rot w14:lat="0" w14:lon="0" w14:rev="0"/>
              </w14:lightRig>
            </w14:scene3d>
          </w:rPr>
          <w:t>2.3</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Sistemas de Informação Geográfica (SIG).</w:t>
        </w:r>
        <w:r w:rsidR="00127E7A">
          <w:rPr>
            <w:noProof/>
            <w:webHidden/>
          </w:rPr>
          <w:tab/>
        </w:r>
        <w:r w:rsidR="00127E7A">
          <w:rPr>
            <w:noProof/>
            <w:webHidden/>
          </w:rPr>
          <w:fldChar w:fldCharType="begin"/>
        </w:r>
        <w:r w:rsidR="00127E7A">
          <w:rPr>
            <w:noProof/>
            <w:webHidden/>
          </w:rPr>
          <w:instrText xml:space="preserve"> PAGEREF _Toc191669461 \h </w:instrText>
        </w:r>
        <w:r w:rsidR="00127E7A">
          <w:rPr>
            <w:noProof/>
            <w:webHidden/>
          </w:rPr>
        </w:r>
        <w:r w:rsidR="00127E7A">
          <w:rPr>
            <w:noProof/>
            <w:webHidden/>
          </w:rPr>
          <w:fldChar w:fldCharType="separate"/>
        </w:r>
        <w:r w:rsidR="00127E7A">
          <w:rPr>
            <w:noProof/>
            <w:webHidden/>
          </w:rPr>
          <w:t>25</w:t>
        </w:r>
        <w:r w:rsidR="00127E7A">
          <w:rPr>
            <w:noProof/>
            <w:webHidden/>
          </w:rPr>
          <w:fldChar w:fldCharType="end"/>
        </w:r>
      </w:hyperlink>
    </w:p>
    <w:p w14:paraId="3EAA095C" w14:textId="33A1632B"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2" w:history="1">
        <w:r w:rsidR="00127E7A" w:rsidRPr="00E62E3C">
          <w:rPr>
            <w:rStyle w:val="Hyperlink"/>
            <w:noProof/>
            <w14:scene3d>
              <w14:camera w14:prst="orthographicFront"/>
              <w14:lightRig w14:rig="threePt" w14:dir="t">
                <w14:rot w14:lat="0" w14:lon="0" w14:rev="0"/>
              </w14:lightRig>
            </w14:scene3d>
          </w:rPr>
          <w:t>2.4</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Cadastro Imobiliário e Georreferenciamento.</w:t>
        </w:r>
        <w:r w:rsidR="00127E7A">
          <w:rPr>
            <w:noProof/>
            <w:webHidden/>
          </w:rPr>
          <w:tab/>
        </w:r>
        <w:r w:rsidR="00127E7A">
          <w:rPr>
            <w:noProof/>
            <w:webHidden/>
          </w:rPr>
          <w:fldChar w:fldCharType="begin"/>
        </w:r>
        <w:r w:rsidR="00127E7A">
          <w:rPr>
            <w:noProof/>
            <w:webHidden/>
          </w:rPr>
          <w:instrText xml:space="preserve"> PAGEREF _Toc191669462 \h </w:instrText>
        </w:r>
        <w:r w:rsidR="00127E7A">
          <w:rPr>
            <w:noProof/>
            <w:webHidden/>
          </w:rPr>
        </w:r>
        <w:r w:rsidR="00127E7A">
          <w:rPr>
            <w:noProof/>
            <w:webHidden/>
          </w:rPr>
          <w:fldChar w:fldCharType="separate"/>
        </w:r>
        <w:r w:rsidR="00127E7A">
          <w:rPr>
            <w:noProof/>
            <w:webHidden/>
          </w:rPr>
          <w:t>25</w:t>
        </w:r>
        <w:r w:rsidR="00127E7A">
          <w:rPr>
            <w:noProof/>
            <w:webHidden/>
          </w:rPr>
          <w:fldChar w:fldCharType="end"/>
        </w:r>
      </w:hyperlink>
    </w:p>
    <w:p w14:paraId="1C35DEAC" w14:textId="346FE40F" w:rsidR="00127E7A"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3" w:history="1">
        <w:r w:rsidR="00127E7A" w:rsidRPr="00E62E3C">
          <w:rPr>
            <w:rStyle w:val="Hyperlink"/>
            <w:noProof/>
            <w14:scene3d>
              <w14:camera w14:prst="orthographicFront"/>
              <w14:lightRig w14:rig="threePt" w14:dir="t">
                <w14:rot w14:lat="0" w14:lon="0" w14:rev="0"/>
              </w14:lightRig>
            </w14:scene3d>
          </w:rPr>
          <w:t>3</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Metodologia da pesquisa</w:t>
        </w:r>
        <w:r w:rsidR="00127E7A">
          <w:rPr>
            <w:noProof/>
            <w:webHidden/>
          </w:rPr>
          <w:tab/>
        </w:r>
        <w:r w:rsidR="00127E7A">
          <w:rPr>
            <w:noProof/>
            <w:webHidden/>
          </w:rPr>
          <w:fldChar w:fldCharType="begin"/>
        </w:r>
        <w:r w:rsidR="00127E7A">
          <w:rPr>
            <w:noProof/>
            <w:webHidden/>
          </w:rPr>
          <w:instrText xml:space="preserve"> PAGEREF _Toc191669463 \h </w:instrText>
        </w:r>
        <w:r w:rsidR="00127E7A">
          <w:rPr>
            <w:noProof/>
            <w:webHidden/>
          </w:rPr>
        </w:r>
        <w:r w:rsidR="00127E7A">
          <w:rPr>
            <w:noProof/>
            <w:webHidden/>
          </w:rPr>
          <w:fldChar w:fldCharType="separate"/>
        </w:r>
        <w:r w:rsidR="00127E7A">
          <w:rPr>
            <w:noProof/>
            <w:webHidden/>
          </w:rPr>
          <w:t>25</w:t>
        </w:r>
        <w:r w:rsidR="00127E7A">
          <w:rPr>
            <w:noProof/>
            <w:webHidden/>
          </w:rPr>
          <w:fldChar w:fldCharType="end"/>
        </w:r>
      </w:hyperlink>
    </w:p>
    <w:p w14:paraId="59AC3490" w14:textId="23C7EDAB"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4" w:history="1">
        <w:r w:rsidR="00127E7A" w:rsidRPr="00E62E3C">
          <w:rPr>
            <w:rStyle w:val="Hyperlink"/>
            <w:noProof/>
            <w14:scene3d>
              <w14:camera w14:prst="orthographicFront"/>
              <w14:lightRig w14:rig="threePt" w14:dir="t">
                <w14:rot w14:lat="0" w14:lon="0" w14:rev="0"/>
              </w14:lightRig>
            </w14:scene3d>
          </w:rPr>
          <w:t>3.1</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Etapas</w:t>
        </w:r>
        <w:r w:rsidR="00127E7A">
          <w:rPr>
            <w:noProof/>
            <w:webHidden/>
          </w:rPr>
          <w:tab/>
        </w:r>
        <w:r w:rsidR="00127E7A">
          <w:rPr>
            <w:noProof/>
            <w:webHidden/>
          </w:rPr>
          <w:fldChar w:fldCharType="begin"/>
        </w:r>
        <w:r w:rsidR="00127E7A">
          <w:rPr>
            <w:noProof/>
            <w:webHidden/>
          </w:rPr>
          <w:instrText xml:space="preserve"> PAGEREF _Toc191669464 \h </w:instrText>
        </w:r>
        <w:r w:rsidR="00127E7A">
          <w:rPr>
            <w:noProof/>
            <w:webHidden/>
          </w:rPr>
        </w:r>
        <w:r w:rsidR="00127E7A">
          <w:rPr>
            <w:noProof/>
            <w:webHidden/>
          </w:rPr>
          <w:fldChar w:fldCharType="separate"/>
        </w:r>
        <w:r w:rsidR="00127E7A">
          <w:rPr>
            <w:noProof/>
            <w:webHidden/>
          </w:rPr>
          <w:t>25</w:t>
        </w:r>
        <w:r w:rsidR="00127E7A">
          <w:rPr>
            <w:noProof/>
            <w:webHidden/>
          </w:rPr>
          <w:fldChar w:fldCharType="end"/>
        </w:r>
      </w:hyperlink>
    </w:p>
    <w:p w14:paraId="3E696E7A" w14:textId="75BDD766"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5" w:history="1">
        <w:r w:rsidR="00127E7A" w:rsidRPr="00E62E3C">
          <w:rPr>
            <w:rStyle w:val="Hyperlink"/>
            <w:noProof/>
          </w:rPr>
          <w:t>3.1.1</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Obter dados dos lotes de municípios parceiros: identificação do lote e da quadra, logradouro, número, largura do lote (testada) e outras dimensões disponíveis</w:t>
        </w:r>
        <w:r w:rsidR="00127E7A">
          <w:rPr>
            <w:noProof/>
            <w:webHidden/>
          </w:rPr>
          <w:tab/>
        </w:r>
        <w:r w:rsidR="00127E7A">
          <w:rPr>
            <w:noProof/>
            <w:webHidden/>
          </w:rPr>
          <w:fldChar w:fldCharType="begin"/>
        </w:r>
        <w:r w:rsidR="00127E7A">
          <w:rPr>
            <w:noProof/>
            <w:webHidden/>
          </w:rPr>
          <w:instrText xml:space="preserve"> PAGEREF _Toc191669465 \h </w:instrText>
        </w:r>
        <w:r w:rsidR="00127E7A">
          <w:rPr>
            <w:noProof/>
            <w:webHidden/>
          </w:rPr>
        </w:r>
        <w:r w:rsidR="00127E7A">
          <w:rPr>
            <w:noProof/>
            <w:webHidden/>
          </w:rPr>
          <w:fldChar w:fldCharType="separate"/>
        </w:r>
        <w:r w:rsidR="00127E7A">
          <w:rPr>
            <w:noProof/>
            <w:webHidden/>
          </w:rPr>
          <w:t>25</w:t>
        </w:r>
        <w:r w:rsidR="00127E7A">
          <w:rPr>
            <w:noProof/>
            <w:webHidden/>
          </w:rPr>
          <w:fldChar w:fldCharType="end"/>
        </w:r>
      </w:hyperlink>
    </w:p>
    <w:p w14:paraId="6DC002F4" w14:textId="02338879"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6" w:history="1">
        <w:r w:rsidR="00127E7A" w:rsidRPr="00E62E3C">
          <w:rPr>
            <w:rStyle w:val="Hyperlink"/>
            <w:noProof/>
          </w:rPr>
          <w:t>3.1.2</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Definir e povoar um banco de dados relacional com os dados dos imóveis</w:t>
        </w:r>
        <w:r w:rsidR="00127E7A">
          <w:rPr>
            <w:noProof/>
            <w:webHidden/>
          </w:rPr>
          <w:tab/>
        </w:r>
        <w:r w:rsidR="00127E7A">
          <w:rPr>
            <w:noProof/>
            <w:webHidden/>
          </w:rPr>
          <w:fldChar w:fldCharType="begin"/>
        </w:r>
        <w:r w:rsidR="00127E7A">
          <w:rPr>
            <w:noProof/>
            <w:webHidden/>
          </w:rPr>
          <w:instrText xml:space="preserve"> PAGEREF _Toc191669466 \h </w:instrText>
        </w:r>
        <w:r w:rsidR="00127E7A">
          <w:rPr>
            <w:noProof/>
            <w:webHidden/>
          </w:rPr>
        </w:r>
        <w:r w:rsidR="00127E7A">
          <w:rPr>
            <w:noProof/>
            <w:webHidden/>
          </w:rPr>
          <w:fldChar w:fldCharType="separate"/>
        </w:r>
        <w:r w:rsidR="00127E7A">
          <w:rPr>
            <w:noProof/>
            <w:webHidden/>
          </w:rPr>
          <w:t>26</w:t>
        </w:r>
        <w:r w:rsidR="00127E7A">
          <w:rPr>
            <w:noProof/>
            <w:webHidden/>
          </w:rPr>
          <w:fldChar w:fldCharType="end"/>
        </w:r>
      </w:hyperlink>
    </w:p>
    <w:p w14:paraId="7A3E332A" w14:textId="7B7D0F87" w:rsidR="00127E7A"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7" w:history="1">
        <w:r w:rsidR="00127E7A" w:rsidRPr="00E62E3C">
          <w:rPr>
            <w:rStyle w:val="Hyperlink"/>
            <w:noProof/>
          </w:rPr>
          <w:t>3.1.3</w:t>
        </w:r>
        <w:r w:rsidR="00127E7A">
          <w:rPr>
            <w:rFonts w:asciiTheme="minorHAnsi" w:eastAsiaTheme="minorEastAsia" w:hAnsiTheme="minorHAnsi"/>
            <w:b w:val="0"/>
            <w:noProof/>
            <w:kern w:val="2"/>
            <w:szCs w:val="24"/>
            <w:lang w:eastAsia="pt-BR"/>
            <w14:ligatures w14:val="standardContextual"/>
          </w:rPr>
          <w:tab/>
        </w:r>
        <w:r w:rsidR="00127E7A" w:rsidRPr="00E62E3C">
          <w:rPr>
            <w:rStyle w:val="Hyperlink"/>
            <w:noProof/>
          </w:rPr>
          <w:t>Selecionar um conjunto ótimo de informações cadastrais contendo quadras retangulares com pelo menos um endereço em cada logradouro (Retangópolis).</w:t>
        </w:r>
        <w:r w:rsidR="00127E7A">
          <w:rPr>
            <w:noProof/>
            <w:webHidden/>
          </w:rPr>
          <w:tab/>
        </w:r>
        <w:r w:rsidR="00127E7A">
          <w:rPr>
            <w:noProof/>
            <w:webHidden/>
          </w:rPr>
          <w:fldChar w:fldCharType="begin"/>
        </w:r>
        <w:r w:rsidR="00127E7A">
          <w:rPr>
            <w:noProof/>
            <w:webHidden/>
          </w:rPr>
          <w:instrText xml:space="preserve"> PAGEREF _Toc191669467 \h </w:instrText>
        </w:r>
        <w:r w:rsidR="00127E7A">
          <w:rPr>
            <w:noProof/>
            <w:webHidden/>
          </w:rPr>
        </w:r>
        <w:r w:rsidR="00127E7A">
          <w:rPr>
            <w:noProof/>
            <w:webHidden/>
          </w:rPr>
          <w:fldChar w:fldCharType="separate"/>
        </w:r>
        <w:r w:rsidR="00127E7A">
          <w:rPr>
            <w:noProof/>
            <w:webHidden/>
          </w:rPr>
          <w:t>26</w:t>
        </w:r>
        <w:r w:rsidR="00127E7A">
          <w:rPr>
            <w:noProof/>
            <w:webHidden/>
          </w:rPr>
          <w:fldChar w:fldCharType="end"/>
        </w:r>
      </w:hyperlink>
    </w:p>
    <w:p w14:paraId="3F3DBB15" w14:textId="1CEEC3E5"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8" w:history="1">
        <w:r w:rsidR="00127E7A" w:rsidRPr="00E62E3C">
          <w:rPr>
            <w:rStyle w:val="Hyperlink"/>
            <w:noProof/>
            <w14:scene3d>
              <w14:camera w14:prst="orthographicFront"/>
              <w14:lightRig w14:rig="threePt" w14:dir="t">
                <w14:rot w14:lat="0" w14:lon="0" w14:rev="0"/>
              </w14:lightRig>
            </w14:scene3d>
          </w:rPr>
          <w:t>3.2</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cronograma</w:t>
        </w:r>
        <w:r w:rsidR="00127E7A">
          <w:rPr>
            <w:noProof/>
            <w:webHidden/>
          </w:rPr>
          <w:tab/>
        </w:r>
        <w:r w:rsidR="00127E7A">
          <w:rPr>
            <w:noProof/>
            <w:webHidden/>
          </w:rPr>
          <w:fldChar w:fldCharType="begin"/>
        </w:r>
        <w:r w:rsidR="00127E7A">
          <w:rPr>
            <w:noProof/>
            <w:webHidden/>
          </w:rPr>
          <w:instrText xml:space="preserve"> PAGEREF _Toc191669468 \h </w:instrText>
        </w:r>
        <w:r w:rsidR="00127E7A">
          <w:rPr>
            <w:noProof/>
            <w:webHidden/>
          </w:rPr>
        </w:r>
        <w:r w:rsidR="00127E7A">
          <w:rPr>
            <w:noProof/>
            <w:webHidden/>
          </w:rPr>
          <w:fldChar w:fldCharType="separate"/>
        </w:r>
        <w:r w:rsidR="00127E7A">
          <w:rPr>
            <w:noProof/>
            <w:webHidden/>
          </w:rPr>
          <w:t>26</w:t>
        </w:r>
        <w:r w:rsidR="00127E7A">
          <w:rPr>
            <w:noProof/>
            <w:webHidden/>
          </w:rPr>
          <w:fldChar w:fldCharType="end"/>
        </w:r>
      </w:hyperlink>
    </w:p>
    <w:p w14:paraId="3E3EF2F7" w14:textId="55250F8D" w:rsidR="00127E7A"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9" w:history="1">
        <w:r w:rsidR="00127E7A" w:rsidRPr="00E62E3C">
          <w:rPr>
            <w:rStyle w:val="Hyperlink"/>
            <w:noProof/>
            <w14:scene3d>
              <w14:camera w14:prst="orthographicFront"/>
              <w14:lightRig w14:rig="threePt" w14:dir="t">
                <w14:rot w14:lat="0" w14:lon="0" w14:rev="0"/>
              </w14:lightRig>
            </w14:scene3d>
          </w:rPr>
          <w:t>4</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Desenvolvimento do Protótipo:</w:t>
        </w:r>
        <w:r w:rsidR="00127E7A">
          <w:rPr>
            <w:noProof/>
            <w:webHidden/>
          </w:rPr>
          <w:tab/>
        </w:r>
        <w:r w:rsidR="00127E7A">
          <w:rPr>
            <w:noProof/>
            <w:webHidden/>
          </w:rPr>
          <w:fldChar w:fldCharType="begin"/>
        </w:r>
        <w:r w:rsidR="00127E7A">
          <w:rPr>
            <w:noProof/>
            <w:webHidden/>
          </w:rPr>
          <w:instrText xml:space="preserve"> PAGEREF _Toc191669469 \h </w:instrText>
        </w:r>
        <w:r w:rsidR="00127E7A">
          <w:rPr>
            <w:noProof/>
            <w:webHidden/>
          </w:rPr>
        </w:r>
        <w:r w:rsidR="00127E7A">
          <w:rPr>
            <w:noProof/>
            <w:webHidden/>
          </w:rPr>
          <w:fldChar w:fldCharType="separate"/>
        </w:r>
        <w:r w:rsidR="00127E7A">
          <w:rPr>
            <w:noProof/>
            <w:webHidden/>
          </w:rPr>
          <w:t>26</w:t>
        </w:r>
        <w:r w:rsidR="00127E7A">
          <w:rPr>
            <w:noProof/>
            <w:webHidden/>
          </w:rPr>
          <w:fldChar w:fldCharType="end"/>
        </w:r>
      </w:hyperlink>
    </w:p>
    <w:p w14:paraId="0FFBBB82" w14:textId="630B784F"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0" w:history="1">
        <w:r w:rsidR="00127E7A" w:rsidRPr="00E62E3C">
          <w:rPr>
            <w:rStyle w:val="Hyperlink"/>
            <w:noProof/>
            <w14:scene3d>
              <w14:camera w14:prst="orthographicFront"/>
              <w14:lightRig w14:rig="threePt" w14:dir="t">
                <w14:rot w14:lat="0" w14:lon="0" w14:rev="0"/>
              </w14:lightRig>
            </w14:scene3d>
          </w:rPr>
          <w:t>4.1</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Arquitetura do sistema.</w:t>
        </w:r>
        <w:r w:rsidR="00127E7A">
          <w:rPr>
            <w:noProof/>
            <w:webHidden/>
          </w:rPr>
          <w:tab/>
        </w:r>
        <w:r w:rsidR="00127E7A">
          <w:rPr>
            <w:noProof/>
            <w:webHidden/>
          </w:rPr>
          <w:fldChar w:fldCharType="begin"/>
        </w:r>
        <w:r w:rsidR="00127E7A">
          <w:rPr>
            <w:noProof/>
            <w:webHidden/>
          </w:rPr>
          <w:instrText xml:space="preserve"> PAGEREF _Toc191669470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47553288" w14:textId="19AD8291"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1" w:history="1">
        <w:r w:rsidR="00127E7A" w:rsidRPr="00E62E3C">
          <w:rPr>
            <w:rStyle w:val="Hyperlink"/>
            <w:noProof/>
            <w14:scene3d>
              <w14:camera w14:prst="orthographicFront"/>
              <w14:lightRig w14:rig="threePt" w14:dir="t">
                <w14:rot w14:lat="0" w14:lon="0" w14:rev="0"/>
              </w14:lightRig>
            </w14:scene3d>
          </w:rPr>
          <w:t>4.2</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Implementação do Banco de Dados Textual.</w:t>
        </w:r>
        <w:r w:rsidR="00127E7A">
          <w:rPr>
            <w:noProof/>
            <w:webHidden/>
          </w:rPr>
          <w:tab/>
        </w:r>
        <w:r w:rsidR="00127E7A">
          <w:rPr>
            <w:noProof/>
            <w:webHidden/>
          </w:rPr>
          <w:fldChar w:fldCharType="begin"/>
        </w:r>
        <w:r w:rsidR="00127E7A">
          <w:rPr>
            <w:noProof/>
            <w:webHidden/>
          </w:rPr>
          <w:instrText xml:space="preserve"> PAGEREF _Toc191669471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2A80701D" w14:textId="18E84E1B"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2" w:history="1">
        <w:r w:rsidR="00127E7A" w:rsidRPr="00E62E3C">
          <w:rPr>
            <w:rStyle w:val="Hyperlink"/>
            <w:noProof/>
            <w14:scene3d>
              <w14:camera w14:prst="orthographicFront"/>
              <w14:lightRig w14:rig="threePt" w14:dir="t">
                <w14:rot w14:lat="0" w14:lon="0" w14:rev="0"/>
              </w14:lightRig>
            </w14:scene3d>
          </w:rPr>
          <w:t>4.3</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Desenvolvimento da Interface de usuário.</w:t>
        </w:r>
        <w:r w:rsidR="00127E7A">
          <w:rPr>
            <w:noProof/>
            <w:webHidden/>
          </w:rPr>
          <w:tab/>
        </w:r>
        <w:r w:rsidR="00127E7A">
          <w:rPr>
            <w:noProof/>
            <w:webHidden/>
          </w:rPr>
          <w:fldChar w:fldCharType="begin"/>
        </w:r>
        <w:r w:rsidR="00127E7A">
          <w:rPr>
            <w:noProof/>
            <w:webHidden/>
          </w:rPr>
          <w:instrText xml:space="preserve"> PAGEREF _Toc191669472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1C59C0CF" w14:textId="62626120"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3" w:history="1">
        <w:r w:rsidR="00127E7A" w:rsidRPr="00E62E3C">
          <w:rPr>
            <w:rStyle w:val="Hyperlink"/>
            <w:noProof/>
            <w14:scene3d>
              <w14:camera w14:prst="orthographicFront"/>
              <w14:lightRig w14:rig="threePt" w14:dir="t">
                <w14:rot w14:lat="0" w14:lon="0" w14:rev="0"/>
              </w14:lightRig>
            </w14:scene3d>
          </w:rPr>
          <w:t>4.4</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Integração com sistemas de georreferencIamento.</w:t>
        </w:r>
        <w:r w:rsidR="00127E7A">
          <w:rPr>
            <w:noProof/>
            <w:webHidden/>
          </w:rPr>
          <w:tab/>
        </w:r>
        <w:r w:rsidR="00127E7A">
          <w:rPr>
            <w:noProof/>
            <w:webHidden/>
          </w:rPr>
          <w:fldChar w:fldCharType="begin"/>
        </w:r>
        <w:r w:rsidR="00127E7A">
          <w:rPr>
            <w:noProof/>
            <w:webHidden/>
          </w:rPr>
          <w:instrText xml:space="preserve"> PAGEREF _Toc191669473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3A46887C" w14:textId="586EDF05" w:rsidR="00127E7A"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4" w:history="1">
        <w:r w:rsidR="00127E7A" w:rsidRPr="00E62E3C">
          <w:rPr>
            <w:rStyle w:val="Hyperlink"/>
            <w:noProof/>
            <w14:scene3d>
              <w14:camera w14:prst="orthographicFront"/>
              <w14:lightRig w14:rig="threePt" w14:dir="t">
                <w14:rot w14:lat="0" w14:lon="0" w14:rev="0"/>
              </w14:lightRig>
            </w14:scene3d>
          </w:rPr>
          <w:t>4.5</w:t>
        </w:r>
        <w:r w:rsidR="00127E7A">
          <w:rPr>
            <w:rFonts w:asciiTheme="minorHAnsi" w:eastAsiaTheme="minorEastAsia" w:hAnsiTheme="minorHAnsi"/>
            <w:caps w:val="0"/>
            <w:noProof/>
            <w:kern w:val="2"/>
            <w:szCs w:val="24"/>
            <w:lang w:eastAsia="pt-BR"/>
            <w14:ligatures w14:val="standardContextual"/>
          </w:rPr>
          <w:tab/>
        </w:r>
        <w:r w:rsidR="00127E7A" w:rsidRPr="00E62E3C">
          <w:rPr>
            <w:rStyle w:val="Hyperlink"/>
            <w:noProof/>
          </w:rPr>
          <w:t>Resultados e Discussão:</w:t>
        </w:r>
        <w:r w:rsidR="00127E7A">
          <w:rPr>
            <w:noProof/>
            <w:webHidden/>
          </w:rPr>
          <w:tab/>
        </w:r>
        <w:r w:rsidR="00127E7A">
          <w:rPr>
            <w:noProof/>
            <w:webHidden/>
          </w:rPr>
          <w:fldChar w:fldCharType="begin"/>
        </w:r>
        <w:r w:rsidR="00127E7A">
          <w:rPr>
            <w:noProof/>
            <w:webHidden/>
          </w:rPr>
          <w:instrText xml:space="preserve"> PAGEREF _Toc191669474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3EEEDB3B" w14:textId="27B4AD35" w:rsidR="00127E7A"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75" w:history="1">
        <w:r w:rsidR="00127E7A" w:rsidRPr="00E62E3C">
          <w:rPr>
            <w:rStyle w:val="Hyperlink"/>
            <w:noProof/>
            <w14:scene3d>
              <w14:camera w14:prst="orthographicFront"/>
              <w14:lightRig w14:rig="threePt" w14:dir="t">
                <w14:rot w14:lat="0" w14:lon="0" w14:rev="0"/>
              </w14:lightRig>
            </w14:scene3d>
          </w:rPr>
          <w:t>5</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bibliografia</w:t>
        </w:r>
        <w:r w:rsidR="00127E7A">
          <w:rPr>
            <w:noProof/>
            <w:webHidden/>
          </w:rPr>
          <w:tab/>
        </w:r>
        <w:r w:rsidR="00127E7A">
          <w:rPr>
            <w:noProof/>
            <w:webHidden/>
          </w:rPr>
          <w:fldChar w:fldCharType="begin"/>
        </w:r>
        <w:r w:rsidR="00127E7A">
          <w:rPr>
            <w:noProof/>
            <w:webHidden/>
          </w:rPr>
          <w:instrText xml:space="preserve"> PAGEREF _Toc191669475 \h </w:instrText>
        </w:r>
        <w:r w:rsidR="00127E7A">
          <w:rPr>
            <w:noProof/>
            <w:webHidden/>
          </w:rPr>
        </w:r>
        <w:r w:rsidR="00127E7A">
          <w:rPr>
            <w:noProof/>
            <w:webHidden/>
          </w:rPr>
          <w:fldChar w:fldCharType="separate"/>
        </w:r>
        <w:r w:rsidR="00127E7A">
          <w:rPr>
            <w:noProof/>
            <w:webHidden/>
          </w:rPr>
          <w:t>27</w:t>
        </w:r>
        <w:r w:rsidR="00127E7A">
          <w:rPr>
            <w:noProof/>
            <w:webHidden/>
          </w:rPr>
          <w:fldChar w:fldCharType="end"/>
        </w:r>
      </w:hyperlink>
    </w:p>
    <w:p w14:paraId="090660D3" w14:textId="6C5D4CA2"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669442"/>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1BED68EA" w14:textId="77777777" w:rsidR="00AC438D" w:rsidRPr="00AC438D" w:rsidRDefault="00AC438D" w:rsidP="00AC438D">
      <w:r w:rsidRPr="00AC438D">
        <w:t xml:space="preserve">De acordo com </w:t>
      </w:r>
      <w:r w:rsidR="006311A1">
        <w:rPr>
          <w:rFonts w:cs="Arial"/>
          <w:szCs w:val="24"/>
        </w:rPr>
        <w:fldChar w:fldCharType="begin"/>
      </w:r>
      <w:r w:rsidR="006311A1">
        <w:rPr>
          <w:rFonts w:cs="Arial"/>
          <w:szCs w:val="24"/>
        </w:rPr>
        <w:instrText xml:space="preserve"> ADDIN ZOTERO_ITEM CSL_CITATION {"citationID":"xZ3PImRC","properties":{"formattedCitation":"(Cunha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rPr>
          <w:rFonts w:cs="Arial"/>
          <w:szCs w:val="24"/>
        </w:rPr>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rPr>
          <w:rFonts w:cs="Arial"/>
          <w:szCs w:val="24"/>
        </w:rPr>
        <w:fldChar w:fldCharType="end"/>
      </w:r>
      <w:r w:rsidR="006311A1">
        <w:rPr>
          <w:rFonts w:cs="Arial"/>
          <w:szCs w:val="24"/>
        </w:rPr>
        <w:t xml:space="preserve">, </w:t>
      </w:r>
      <w:r w:rsidRPr="00AC438D">
        <w:t>a organização dos primeiros cadastros fiscais imobiliários nos municípios brasileiros teve início com a Constituição de 1946, que concedeu maior autonomia aos municípios na arrecadação de tributos, especialmente o IPTU. Posteriormente, a Constituição de 1988 e o Estatuto da Cidade (Lei nº 10.257/2001) estabeleceram diretrizes para a política urbana, visando ao desenvolvimento das funções sociais da cidade e exigindo sistemas de informações cadastrais atualizados. No entanto, como as novas normas não exigiram o georreferenciamento, a maioria das prefeituras optou por não atualizar seus cadastros fiscais.</w:t>
      </w:r>
    </w:p>
    <w:p w14:paraId="60CF8249" w14:textId="5EFC16CE"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4510AF81"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w:t>
      </w:r>
      <w:r w:rsidR="00AC438D">
        <w:t xml:space="preserve">pequeno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7A083763" w:rsidR="003C23F5" w:rsidRDefault="003C23F5" w:rsidP="001D772A">
      <w:r>
        <w:lastRenderedPageBreak/>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w:t>
      </w:r>
      <w:r w:rsidR="006F3B7F">
        <w:t>uma estatística básica d</w:t>
      </w:r>
      <w:r w:rsidR="00470CF9">
        <w:t xml:space="preserve">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0BEA35F6" w14:textId="1D10EFB1" w:rsidR="00AC438D" w:rsidRPr="00B364E5" w:rsidRDefault="00B364E5" w:rsidP="00B364E5">
      <w:r w:rsidRPr="00B364E5">
        <w:t xml:space="preserve">Nesses municípios, a contribuição das receitas próprias, especialmente do Imposto Predial e Territorial Urbano – IPTU, não constitui uma fonte significativa de recursos, conforme ilustrado na </w:t>
      </w:r>
      <w:r>
        <w:fldChar w:fldCharType="begin"/>
      </w:r>
      <w:r>
        <w:instrText xml:space="preserve"> REF _Ref191649667 \h </w:instrText>
      </w:r>
      <w:r>
        <w:fldChar w:fldCharType="separate"/>
      </w:r>
      <w:r>
        <w:t xml:space="preserve">Tabela </w:t>
      </w:r>
      <w:r>
        <w:rPr>
          <w:noProof/>
        </w:rPr>
        <w:t>1</w:t>
      </w:r>
      <w:r>
        <w:fldChar w:fldCharType="end"/>
      </w:r>
      <w:r w:rsidRPr="00B364E5">
        <w:t>. De modo geral, trata-se de municípios com um número reduzido de domicílios (</w:t>
      </w:r>
      <w:r>
        <w:fldChar w:fldCharType="begin"/>
      </w:r>
      <w:r>
        <w:instrText xml:space="preserve"> REF _Ref191649667 \h </w:instrText>
      </w:r>
      <w:r>
        <w:fldChar w:fldCharType="separate"/>
      </w:r>
      <w:r>
        <w:t xml:space="preserve">Tabela </w:t>
      </w:r>
      <w:r>
        <w:rPr>
          <w:noProof/>
        </w:rPr>
        <w:t>1</w:t>
      </w:r>
      <w:r>
        <w:fldChar w:fldCharType="end"/>
      </w:r>
      <w:r w:rsidRPr="00B364E5">
        <w:t>), sendo possível que muitos desses ainda estejam isentos do pagamento do imposto.</w:t>
      </w:r>
    </w:p>
    <w:p w14:paraId="5D7F600E" w14:textId="3548FA8B" w:rsidR="00E8487E" w:rsidRDefault="00E8487E" w:rsidP="006E2B26">
      <w:pPr>
        <w:pStyle w:val="Legenda"/>
      </w:pPr>
      <w:bookmarkStart w:id="9" w:name="_Ref191649667"/>
      <w:bookmarkStart w:id="10" w:name="_Ref191818641"/>
      <w:r>
        <w:t xml:space="preserve">Tabela </w:t>
      </w:r>
      <w:r>
        <w:fldChar w:fldCharType="begin"/>
      </w:r>
      <w:r>
        <w:instrText xml:space="preserve"> SEQ Tabela \* ARABIC </w:instrText>
      </w:r>
      <w:r>
        <w:fldChar w:fldCharType="separate"/>
      </w:r>
      <w:r>
        <w:rPr>
          <w:noProof/>
        </w:rPr>
        <w:t>1</w:t>
      </w:r>
      <w:r>
        <w:rPr>
          <w:noProof/>
        </w:rPr>
        <w:fldChar w:fldCharType="end"/>
      </w:r>
      <w:bookmarkEnd w:id="9"/>
      <w:r>
        <w:t>:</w:t>
      </w:r>
      <w:r w:rsidR="006F3B7F">
        <w:t>Estatística básica dos v</w:t>
      </w:r>
      <w:r>
        <w:t>alores de Receitas Correntes</w:t>
      </w:r>
      <w:r w:rsidR="006F3B7F">
        <w:t>, arrecadação do IPTU e quantidade de domicílios</w:t>
      </w:r>
      <w:r>
        <w:t xml:space="preserve"> de pequenos municípios</w:t>
      </w:r>
      <w:r w:rsidR="00F5623D">
        <w:t xml:space="preserve"> em 2023</w:t>
      </w:r>
      <w:bookmarkEnd w:id="10"/>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Qtd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57D10ABE"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4491</w:t>
            </w: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F3A074B" w:rsidR="00F04DD9" w:rsidRPr="00B65854"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t>3681</w:t>
            </w: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63813344"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3261</w:t>
            </w: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0C28AE80" w:rsidR="000370A1" w:rsidRPr="00693BAC" w:rsidRDefault="001C1381" w:rsidP="001C1381">
            <w:pPr>
              <w:keepLines/>
              <w:ind w:firstLine="0"/>
              <w:jc w:val="right"/>
              <w:cnfStyle w:val="000000000000" w:firstRow="0" w:lastRow="0" w:firstColumn="0" w:lastColumn="0" w:oddVBand="0" w:evenVBand="0" w:oddHBand="0" w:evenHBand="0" w:firstRowFirstColumn="0" w:firstRowLastColumn="0" w:lastRowFirstColumn="0" w:lastRowLastColumn="0"/>
            </w:pPr>
            <w:r>
              <w:t>322</w:t>
            </w:r>
            <w:r>
              <w:rPr>
                <w:rStyle w:val="Refdenotaderodap"/>
              </w:rPr>
              <w:footnoteReference w:id="6"/>
            </w: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7"/>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8"/>
            </w:r>
            <w:r w:rsidRPr="005D0560">
              <w:t xml:space="preserve"> </w:t>
            </w:r>
          </w:p>
        </w:tc>
        <w:tc>
          <w:tcPr>
            <w:tcW w:w="1695" w:type="dxa"/>
          </w:tcPr>
          <w:p w14:paraId="6B800CDF" w14:textId="2DC82820" w:rsidR="000370A1" w:rsidRPr="00693BAC" w:rsidRDefault="001C138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25</w:t>
            </w:r>
            <w:r w:rsidR="00B364E5">
              <w:t>.</w:t>
            </w:r>
            <w:r w:rsidRPr="001C1381">
              <w:t>193</w:t>
            </w:r>
            <w:r>
              <w:rPr>
                <w:rStyle w:val="Refdenotaderodap"/>
              </w:rPr>
              <w:footnoteReference w:id="9"/>
            </w: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2FD1D6B1" w:rsidR="00F04DD9" w:rsidRPr="00693BAC"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1C1381">
              <w:t>4</w:t>
            </w:r>
            <w:r w:rsidR="00FD394E">
              <w:t>.</w:t>
            </w:r>
            <w:r w:rsidRPr="001C1381">
              <w:t>827</w:t>
            </w:r>
          </w:p>
        </w:tc>
      </w:tr>
    </w:tbl>
    <w:p w14:paraId="28DF5422" w14:textId="1F6C6F4D" w:rsidR="00A3453D" w:rsidRDefault="00B663D9" w:rsidP="006E2B26">
      <w:pPr>
        <w:pStyle w:val="Legenda"/>
      </w:pPr>
      <w:r>
        <w:t>Fonte</w:t>
      </w:r>
      <w:r w:rsidR="001C1381">
        <w:t>s</w:t>
      </w:r>
      <w:r>
        <w:t>:</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rsidR="006F3B7F">
        <w:fldChar w:fldCharType="begin"/>
      </w:r>
      <w:r w:rsidR="006F3B7F">
        <w:instrText xml:space="preserve"> ADDIN ZOTERO_ITEM CSL_CITATION {"citationID":"JChZSQPA","properties":{"formattedCitation":"(IBGE, 2022)","plainCitation":"(IBGE, 2022)","noteIndex":0},"citationItems":[{"id":158,"uris":["http://zotero.org/users/15531986/items/BHRWQZ84"],"itemData":{"id":158,"type":"dataset","archive":"Agregados_por_municipios_caracteristicas_domicilio1_BR.zip","title":"Censo 2022","title-short":"Censo 2022","URL":"https://www.ibge.gov.br/estatisticas/downloads-estatisticas.html?caminho=Censos/Censo_Demografico_2022/","author":[{"family":"IBGE","given":""}],"accessed":{"date-parts":[["2025",3,2]]},"issued":{"date-parts":[["2022"]]}}}],"schema":"https://github.com/citation-style-language/schema/raw/master/csl-citation.json"} </w:instrText>
      </w:r>
      <w:r w:rsidR="006F3B7F">
        <w:fldChar w:fldCharType="separate"/>
      </w:r>
      <w:r w:rsidR="006F3B7F" w:rsidRPr="006F3B7F">
        <w:rPr>
          <w:rFonts w:cs="Arial"/>
        </w:rPr>
        <w:t>(IBGE, 2022)</w:t>
      </w:r>
      <w:r w:rsidR="006F3B7F">
        <w:fldChar w:fldCharType="end"/>
      </w:r>
      <w:r>
        <w:t>. Elaboração: Autores</w:t>
      </w:r>
    </w:p>
    <w:p w14:paraId="52182BFC" w14:textId="269C82B7" w:rsidR="0049185F" w:rsidRDefault="00C652B8" w:rsidP="00E64816">
      <w:r>
        <w:t xml:space="preserve">. </w:t>
      </w:r>
      <w:r w:rsidR="00E64816"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652499E0" w:rsidR="007342A0" w:rsidRDefault="00511ACD" w:rsidP="001D772A">
      <w:r>
        <w:lastRenderedPageBreak/>
        <w:t xml:space="preserve">Sobre </w:t>
      </w:r>
      <w:r w:rsidR="00FA08D2">
        <w:t>a adaptação dos sistemas</w:t>
      </w:r>
      <w:r w:rsidR="00425C04">
        <w:t>, ainda que esteja fora do escopo deste trabalho</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1329416" w:rsidR="001D772A" w:rsidRDefault="00944B4B" w:rsidP="001D772A">
      <w:pPr>
        <w:rPr>
          <w:ins w:id="11"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669443"/>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xml:space="preserve">, que consistem em registros baseados em descrições escritas, sem a incorporação de informações georreferenciadas. Essa limitação </w:t>
      </w:r>
      <w:r>
        <w:lastRenderedPageBreak/>
        <w:t>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669444"/>
      <w:r w:rsidRPr="007C7115">
        <w:t>Objetivos</w:t>
      </w:r>
      <w:bookmarkEnd w:id="13"/>
      <w:r w:rsidRPr="007C7115">
        <w:t xml:space="preserve"> </w:t>
      </w:r>
    </w:p>
    <w:p w14:paraId="7D38E20D" w14:textId="567AC6D7" w:rsidR="00CF263A" w:rsidRDefault="00CF263A" w:rsidP="00CF263A">
      <w:pPr>
        <w:pStyle w:val="Ttulo4"/>
      </w:pPr>
      <w:bookmarkStart w:id="14" w:name="_Toc191669445"/>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669446"/>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669447"/>
      <w:r>
        <w:lastRenderedPageBreak/>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600D58AA" w14:textId="77777777" w:rsidR="00287CAA" w:rsidRDefault="001D772A" w:rsidP="001D772A">
      <w:r>
        <w:t>Essas características são facilmente encontradas em cadastros imobiliários criados com base no Projeto CIATA.</w:t>
      </w:r>
      <w:r w:rsidR="00175E7E">
        <w:t xml:space="preserve"> </w:t>
      </w:r>
      <w:r w:rsidR="00175E7E" w:rsidRPr="00175E7E">
        <w:t>Em especial, a forma como as parcelas são identificadas</w:t>
      </w:r>
      <w:r w:rsidR="000F03B4">
        <w:t xml:space="preserve"> </w:t>
      </w:r>
      <w:r w:rsidR="00980099">
        <w:t>no projeto original</w:t>
      </w:r>
      <w:r w:rsidR="00175E7E" w:rsidRPr="00175E7E">
        <w:t xml:space="preserve">,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1BCF1F9E" w14:textId="7018E9DB" w:rsidR="001D772A" w:rsidRPr="00287CAA" w:rsidRDefault="00287CAA" w:rsidP="00287CAA">
      <w:r w:rsidRPr="00287CAA">
        <w:t>As características mencionadas são prontamente observáveis em cadastros imobiliários desenvolvidos a partir do Projeto CIATA. Notadamente, o método de identificação das parcelas no projeto original, utilizando uma sequência de caracteres que representam distrito, setor, quadra, lote, unidade e edificação (DD.SS.QQQ.LLLL.UUU-EEE)</w:t>
      </w:r>
      <w:r w:rsidR="00AC5F17">
        <w:fldChar w:fldCharType="begin"/>
      </w:r>
      <w:r w:rsidR="00AC5F17">
        <w:instrText xml:space="preserve"> ADDIN ZOTERO_ITEM CSL_CITATION {"citationID":"jBDXvGR8","properties":{"formattedCitation":"(Amorim,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AC5F17">
        <w:fldChar w:fldCharType="separate"/>
      </w:r>
      <w:r w:rsidR="00AC5F17" w:rsidRPr="00AC5F17">
        <w:rPr>
          <w:rFonts w:cs="Arial"/>
        </w:rPr>
        <w:t>(Amorim, 2018)</w:t>
      </w:r>
      <w:r w:rsidR="00AC5F17">
        <w:fldChar w:fldCharType="end"/>
      </w:r>
      <w:r w:rsidRPr="00287CAA">
        <w:t>, revela-se extremamente conveniente para a conversão de alguns cadastros textuais incompletos em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7" w:name="_Toc191669448"/>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lastRenderedPageBreak/>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005A5C28"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6311A1">
        <w:t xml:space="preserve"> </w:t>
      </w:r>
      <w:r w:rsidR="006311A1">
        <w:fldChar w:fldCharType="begin"/>
      </w:r>
      <w:r w:rsidR="006311A1">
        <w:instrText xml:space="preserve"> ADDIN ZOTERO_ITEM CSL_CITATION {"citationID":"hpw3zrAN","properties":{"formattedCitation":"(Cunha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669449"/>
      <w:r w:rsidRPr="00B322C5">
        <w:t xml:space="preserve">Modelo </w:t>
      </w:r>
      <w:r w:rsidRPr="00467B9C">
        <w:t>conceitual</w:t>
      </w:r>
      <w:bookmarkEnd w:id="18"/>
      <w:r>
        <w:t xml:space="preserve"> </w:t>
      </w:r>
      <w:r w:rsidR="00A35335">
        <w:t>d</w:t>
      </w:r>
      <w:r>
        <w:t xml:space="preserve">o </w:t>
      </w:r>
      <w:r w:rsidR="00A35335">
        <w:t>CIATA</w:t>
      </w:r>
      <w:bookmarkEnd w:id="19"/>
    </w:p>
    <w:p w14:paraId="450DDD8C" w14:textId="506E8E23"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6311A1">
        <w:t xml:space="preserve"> </w:t>
      </w:r>
      <w:r w:rsidR="006311A1">
        <w:fldChar w:fldCharType="begin"/>
      </w:r>
      <w:r w:rsidR="006311A1">
        <w:instrText xml:space="preserve"> ADDIN ZOTERO_ITEM CSL_CITATION {"citationID":"R916tvaQ","properties":{"formattedCitation":"(Cunha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Toc191669450"/>
      <w:bookmarkStart w:id="24" w:name="_Ref191671060"/>
      <w:r w:rsidRPr="00B322C5">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669451"/>
      <w:r w:rsidRPr="00B322C5">
        <w:lastRenderedPageBreak/>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669452"/>
      <w:r w:rsidRPr="00B322C5">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29" w:author="Carlos" w:date="2025-02-20T15:54:00Z"/>
          <w:rFonts w:cs="Arial"/>
          <w:szCs w:val="24"/>
        </w:rPr>
      </w:pPr>
      <w:r w:rsidRPr="00B322C5">
        <w:rPr>
          <w:rFonts w:cs="Arial"/>
          <w:szCs w:val="24"/>
        </w:rPr>
        <w:lastRenderedPageBreak/>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30"/>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0"/>
      <w:r w:rsidR="00B44974">
        <w:rPr>
          <w:rStyle w:val="Refdecomentrio"/>
        </w:rPr>
        <w:commentReference w:id="30"/>
      </w:r>
    </w:p>
    <w:p w14:paraId="32072E92" w14:textId="7FEF65DB" w:rsidR="00B44974" w:rsidRDefault="00B44974" w:rsidP="004409CC">
      <w:pPr>
        <w:rPr>
          <w:ins w:id="31" w:author="Carlos" w:date="2025-02-20T15:54:00Z"/>
          <w:rFonts w:cs="Arial"/>
          <w:szCs w:val="24"/>
        </w:rPr>
      </w:pPr>
    </w:p>
    <w:p w14:paraId="1E237474" w14:textId="2F68498E" w:rsidR="00B44974" w:rsidRDefault="00B44974" w:rsidP="004409CC">
      <w:pPr>
        <w:rPr>
          <w:ins w:id="32" w:author="Carlos" w:date="2025-02-20T15:54:00Z"/>
          <w:rFonts w:cs="Arial"/>
          <w:szCs w:val="24"/>
        </w:rPr>
      </w:pPr>
    </w:p>
    <w:p w14:paraId="4EDAABF8" w14:textId="31A1FDF6" w:rsidR="00B44974" w:rsidRDefault="00B44974" w:rsidP="004409CC">
      <w:pPr>
        <w:rPr>
          <w:ins w:id="33" w:author="Carlos" w:date="2025-02-20T15:54:00Z"/>
          <w:rFonts w:cs="Arial"/>
          <w:szCs w:val="24"/>
        </w:rPr>
      </w:pPr>
    </w:p>
    <w:p w14:paraId="2E9887EE" w14:textId="7A741306" w:rsidR="00B44974" w:rsidRDefault="00B44974" w:rsidP="004409CC">
      <w:pPr>
        <w:rPr>
          <w:ins w:id="34" w:author="Carlos" w:date="2025-02-20T15:55:00Z"/>
          <w:rFonts w:cs="Arial"/>
          <w:szCs w:val="24"/>
        </w:rPr>
      </w:pPr>
    </w:p>
    <w:p w14:paraId="520AD4F3" w14:textId="7900FDB5" w:rsidR="00B44974" w:rsidRDefault="00B44974" w:rsidP="004409CC">
      <w:pPr>
        <w:rPr>
          <w:ins w:id="35" w:author="Carlos" w:date="2025-02-20T15:55:00Z"/>
          <w:rFonts w:cs="Arial"/>
          <w:szCs w:val="24"/>
        </w:rPr>
      </w:pPr>
    </w:p>
    <w:p w14:paraId="3611F301" w14:textId="42365823" w:rsidR="00B44974" w:rsidRDefault="00B44974" w:rsidP="004409CC">
      <w:pPr>
        <w:rPr>
          <w:ins w:id="36"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6E2B26">
      <w:pPr>
        <w:pStyle w:val="Legenda"/>
      </w:pPr>
      <w:bookmarkStart w:id="37"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37"/>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6E2B26">
      <w:pPr>
        <w:pStyle w:val="Legenda"/>
      </w:pPr>
    </w:p>
    <w:p w14:paraId="21218111" w14:textId="4433C299" w:rsidR="004409CC" w:rsidRPr="00B322C5" w:rsidRDefault="004409CC" w:rsidP="006E2B26">
      <w:pPr>
        <w:pStyle w:val="Legenda"/>
      </w:pPr>
      <w:bookmarkStart w:id="38"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8"/>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186FBF3B" w:rsidR="004409CC" w:rsidRPr="00B322C5" w:rsidRDefault="005E14F4" w:rsidP="00160061">
            <w:pPr>
              <w:ind w:firstLine="0"/>
              <w:rPr>
                <w:rFonts w:cs="Arial"/>
                <w:szCs w:val="24"/>
              </w:rPr>
            </w:pPr>
            <w:r w:rsidRPr="00B322C5">
              <w:rPr>
                <w:rFonts w:cs="Arial"/>
                <w:noProof/>
                <w:szCs w:val="24"/>
                <w:lang w:eastAsia="pt-BR"/>
              </w:rPr>
              <w:drawing>
                <wp:inline distT="0" distB="0" distL="0" distR="0" wp14:anchorId="12080537" wp14:editId="58BCCD18">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9" w:name="_Toc183090302"/>
      <w:bookmarkStart w:id="40" w:name="_Toc191669453"/>
      <w:r w:rsidRPr="00B322C5">
        <w:t>Linguagens de programação Pré-SGBDs</w:t>
      </w:r>
      <w:bookmarkEnd w:id="39"/>
      <w:bookmarkEnd w:id="40"/>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lastRenderedPageBreak/>
        <w:t>A limitação no tratamento de dados dessas linguagens só foi resolvida de forma satisfatória com o surgimento dos Sistemas Gerenciadores de Bancos de Dados (SGBDs) no final da década de 1960. Contudo, os SGBDs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41"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2" w:name="_Toc191669454"/>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2"/>
    </w:p>
    <w:p w14:paraId="397AC2CE" w14:textId="438D7144" w:rsidR="001D772A" w:rsidRDefault="001D772A" w:rsidP="001D772A">
      <w:r>
        <w:t xml:space="preserve">O conceito de </w:t>
      </w:r>
      <w:r w:rsidR="00CF288B" w:rsidRPr="001A2A8A">
        <w:rPr>
          <w:i/>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lastRenderedPageBreak/>
        <w:t xml:space="preserve">Ao relacionar o CIATA com o conceito de </w:t>
      </w:r>
      <w:r w:rsidR="00E14E65" w:rsidRPr="001A2A8A">
        <w:rPr>
          <w:i/>
        </w:rPr>
        <w:t>Fit-For-Purpose</w:t>
      </w:r>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3" w:name="_Toc183090305"/>
      <w:bookmarkStart w:id="44" w:name="_Toc191669455"/>
      <w:r w:rsidRPr="00B322C5">
        <w:t xml:space="preserve">O CIATA </w:t>
      </w:r>
      <w:r w:rsidR="00E14E65">
        <w:t>e o</w:t>
      </w:r>
      <w:r w:rsidRPr="00B322C5">
        <w:t xml:space="preserve"> LADM</w:t>
      </w:r>
      <w:bookmarkEnd w:id="43"/>
      <w:bookmarkEnd w:id="44"/>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lastRenderedPageBreak/>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6E2B26">
      <w:pPr>
        <w:pStyle w:val="Legenda"/>
      </w:pPr>
      <w:bookmarkStart w:id="45" w:name="_Ref184328056"/>
      <w:r w:rsidRPr="00B322C5">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45"/>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subpacote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xml:space="preserve">: pacote que lida com os direitos, deveres e restrições aos quais cada unidade está sujeita. Ele inclui classes como LA_RRR (com suas </w:t>
      </w:r>
      <w:r w:rsidRPr="00B322C5">
        <w:rPr>
          <w:lang w:eastAsia="pt-BR"/>
        </w:rPr>
        <w:lastRenderedPageBreak/>
        <w:t>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46"/>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46"/>
      <w:r w:rsidR="00B44974">
        <w:rPr>
          <w:rStyle w:val="Refdecomentrio"/>
        </w:rPr>
        <w:commentReference w:id="46"/>
      </w:r>
    </w:p>
    <w:p w14:paraId="3E1463EB" w14:textId="0EB6E784" w:rsidR="001D772A" w:rsidRDefault="001D772A" w:rsidP="006E2B26">
      <w:pPr>
        <w:pStyle w:val="Legenda"/>
      </w:pPr>
      <w:bookmarkStart w:id="47" w:name="_Ref184370336"/>
      <w:commentRangeStart w:id="48"/>
      <w:r>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47"/>
      <w:r>
        <w:t>: Classes básicas (pacotes) do LADM</w:t>
      </w:r>
      <w:commentRangeEnd w:id="48"/>
      <w:r w:rsidR="009136FD">
        <w:rPr>
          <w:rStyle w:val="Refdecomentrio"/>
          <w:iCs w:val="0"/>
        </w:rPr>
        <w:commentReference w:id="48"/>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5F588B37" w:rsidR="001D772A" w:rsidRDefault="001D772A" w:rsidP="001D772A">
      <w:pPr>
        <w:rPr>
          <w:lang w:eastAsia="pt-BR"/>
        </w:rPr>
      </w:pPr>
      <w:r w:rsidRPr="00B322C5">
        <w:rPr>
          <w:lang w:eastAsia="pt-BR"/>
        </w:rPr>
        <w:t xml:space="preserve">O LADM apresenta fortes influências do modelo relacional </w:t>
      </w:r>
      <w:commentRangeStart w:id="49"/>
      <w:r w:rsidRPr="00B322C5">
        <w:rPr>
          <w:lang w:eastAsia="pt-BR"/>
        </w:rPr>
        <w:t>proposto por Edgar Codd</w:t>
      </w:r>
      <w:commentRangeEnd w:id="49"/>
      <w:r w:rsidR="009136FD">
        <w:rPr>
          <w:rStyle w:val="Refdecomentrio"/>
        </w:rPr>
        <w:commentReference w:id="49"/>
      </w:r>
      <w:r w:rsidRPr="00B322C5">
        <w:rPr>
          <w:lang w:eastAsia="pt-BR"/>
        </w:rPr>
        <w:t xml:space="preserve">, no qual cada classe ou objeto é modelado em uma estrutura de dados separada </w:t>
      </w:r>
      <w:r w:rsidRPr="00B322C5">
        <w:rPr>
          <w:lang w:eastAsia="pt-BR"/>
        </w:rPr>
        <w:fldChar w:fldCharType="begin"/>
      </w:r>
      <w:r w:rsidR="00AC5F17">
        <w:rPr>
          <w:lang w:eastAsia="pt-BR"/>
        </w:rPr>
        <w:instrText xml:space="preserve"> ADDIN ZOTERO_ITEM CSL_CITATION {"citationID":"VZiSUAWR","properties":{"formattedCitation":"(Date, 2004)","plainCitation":"(Date, 2004)","noteIndex":0},"citationItems":[{"id":"HqjAhyyh/ltOJzwgt","uris":["http://zotero.org/users/local/P1GuXq80/items/LMQ2HAQT"],"itemData":{"id":44,"type":"book","edition":"8.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 xml:space="preserve">O Boletim de </w:t>
      </w:r>
      <w:r w:rsidRPr="00DD4A00">
        <w:rPr>
          <w:lang w:eastAsia="pt-BR"/>
        </w:rPr>
        <w:lastRenderedPageBreak/>
        <w:t>Logradouros (BL), mencionado no Manual do Cadastro Imobiliário, não possui função de validação; ele serve apenas como uma lista de nomes de logradouros.</w:t>
      </w:r>
    </w:p>
    <w:p w14:paraId="73B56B8F" w14:textId="0E59B308" w:rsidR="001D772A" w:rsidRDefault="001D772A" w:rsidP="006E2B26">
      <w:pPr>
        <w:pStyle w:val="Legenda"/>
      </w:pPr>
      <w:bookmarkStart w:id="50" w:name="_Ref184571121"/>
      <w:r>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50"/>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6E2B26">
      <w:pPr>
        <w:pStyle w:val="Legenda"/>
      </w:pPr>
      <w:bookmarkStart w:id="51" w:name="_Ref184572123"/>
      <w:r>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51"/>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49F2A75" w:rsidR="001D772A" w:rsidRDefault="003246FD" w:rsidP="00160061">
            <w:pPr>
              <w:ind w:firstLine="0"/>
              <w:rPr>
                <w:lang w:eastAsia="pt-BR"/>
              </w:rPr>
            </w:pPr>
            <w:r w:rsidRPr="00D323D4">
              <w:rPr>
                <w:noProof/>
                <w:lang w:eastAsia="pt-BR"/>
              </w:rPr>
              <w:drawing>
                <wp:inline distT="0" distB="0" distL="0" distR="0" wp14:anchorId="192CCB62" wp14:editId="66833243">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78F2098B" w:rsidR="001D772A" w:rsidRDefault="001D772A" w:rsidP="006E2B26">
      <w:pPr>
        <w:pStyle w:val="Legenda"/>
      </w:pPr>
      <w:commentRangeStart w:id="52"/>
      <w:r>
        <w:lastRenderedPageBreak/>
        <w:t xml:space="preserve">Tabela </w:t>
      </w:r>
      <w:r w:rsidR="00E8487E">
        <w:fldChar w:fldCharType="begin"/>
      </w:r>
      <w:r w:rsidR="00E8487E">
        <w:instrText xml:space="preserve"> SEQ Tabela \* ARABIC </w:instrText>
      </w:r>
      <w:r w:rsidR="00E8487E">
        <w:fldChar w:fldCharType="separate"/>
      </w:r>
      <w:ins w:id="53" w:author="Marco Aurélio Barbiero" w:date="2025-02-28T15:35:00Z">
        <w:r w:rsidR="00E8487E">
          <w:rPr>
            <w:noProof/>
          </w:rPr>
          <w:t>2</w:t>
        </w:r>
      </w:ins>
      <w:del w:id="54" w:author="Marco Aurélio Barbiero" w:date="2025-02-28T15:35:00Z">
        <w:r w:rsidR="00252158" w:rsidDel="00E8487E">
          <w:rPr>
            <w:noProof/>
          </w:rPr>
          <w:delText>1</w:delText>
        </w:r>
      </w:del>
      <w:r w:rsidR="00E8487E">
        <w:rPr>
          <w:noProof/>
        </w:rPr>
        <w:fldChar w:fldCharType="end"/>
      </w:r>
      <w:r>
        <w:t xml:space="preserve">: </w:t>
      </w:r>
      <w:r w:rsidRPr="00364476">
        <w:t>Comparando CIATA e LADM: Contextos e Propósitos Distintos</w:t>
      </w:r>
      <w:commentRangeEnd w:id="52"/>
      <w:r w:rsidR="009136FD">
        <w:rPr>
          <w:rStyle w:val="Refdecomentrio"/>
          <w:iCs w:val="0"/>
        </w:rPr>
        <w:commentReference w:id="52"/>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5" w:name="_Toc183090307"/>
      <w:bookmarkStart w:id="56" w:name="_Toc191669456"/>
      <w:r w:rsidRPr="00B322C5">
        <w:rPr>
          <w:rFonts w:eastAsia="Times New Roman"/>
          <w:lang w:eastAsia="pt-BR"/>
        </w:rPr>
        <w:t>Ciata e o CTM</w:t>
      </w:r>
      <w:bookmarkEnd w:id="55"/>
      <w:bookmarkEnd w:id="56"/>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28CE149D" w:rsidR="00AF475B" w:rsidRDefault="00AF475B" w:rsidP="006E2B26">
      <w:pPr>
        <w:pStyle w:val="Legenda"/>
      </w:pPr>
      <w:bookmarkStart w:id="57" w:name="_Ref191479803"/>
      <w:r>
        <w:t xml:space="preserve">Tabela </w:t>
      </w:r>
      <w:r w:rsidR="00E8487E">
        <w:fldChar w:fldCharType="begin"/>
      </w:r>
      <w:r w:rsidR="00E8487E">
        <w:instrText xml:space="preserve"> SEQ Tabela \* ARABIC </w:instrText>
      </w:r>
      <w:r w:rsidR="00E8487E">
        <w:fldChar w:fldCharType="separate"/>
      </w:r>
      <w:r w:rsidR="003B1B7F">
        <w:rPr>
          <w:noProof/>
        </w:rPr>
        <w:t>3</w:t>
      </w:r>
      <w:r w:rsidR="00E8487E">
        <w:rPr>
          <w:noProof/>
        </w:rPr>
        <w:fldChar w:fldCharType="end"/>
      </w:r>
      <w:bookmarkEnd w:id="5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58"/>
      <w:commentRangeStart w:id="59"/>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58"/>
      <w:r>
        <w:rPr>
          <w:rStyle w:val="Refdecomentrio"/>
        </w:rPr>
        <w:commentReference w:id="58"/>
      </w:r>
      <w:commentRangeEnd w:id="59"/>
      <w:r w:rsidR="002C6DD5">
        <w:rPr>
          <w:rStyle w:val="Refdecomentrio"/>
        </w:rPr>
        <w:commentReference w:id="59"/>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 xml:space="preserve">Object Modeling Technique for Geographic </w:t>
      </w:r>
      <w:r w:rsidR="00B22C90" w:rsidRPr="00B22C90">
        <w:rPr>
          <w:i/>
          <w:iCs/>
          <w:lang w:eastAsia="pt-BR"/>
        </w:rPr>
        <w:lastRenderedPageBreak/>
        <w:t>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E2B26">
      <w:pPr>
        <w:pStyle w:val="Legenda"/>
      </w:pPr>
      <w:bookmarkStart w:id="60" w:name="_Ref191478284"/>
      <w:r>
        <w:t xml:space="preserve">Figura </w:t>
      </w:r>
      <w:r>
        <w:fldChar w:fldCharType="begin"/>
      </w:r>
      <w:r>
        <w:instrText xml:space="preserve"> SEQ Figura \* ARABIC </w:instrText>
      </w:r>
      <w:r>
        <w:fldChar w:fldCharType="separate"/>
      </w:r>
      <w:r>
        <w:rPr>
          <w:noProof/>
        </w:rPr>
        <w:t>7</w:t>
      </w:r>
      <w:r>
        <w:rPr>
          <w:noProof/>
        </w:rPr>
        <w:fldChar w:fldCharType="end"/>
      </w:r>
      <w:bookmarkEnd w:id="60"/>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21210432" w:rsidR="00603026" w:rsidRDefault="0042050C" w:rsidP="00603026">
            <w:pPr>
              <w:ind w:firstLine="0"/>
              <w:jc w:val="center"/>
              <w:rPr>
                <w:lang w:eastAsia="pt-BR"/>
              </w:rPr>
            </w:pPr>
            <w:r w:rsidRPr="00603026">
              <w:rPr>
                <w:noProof/>
                <w:lang w:eastAsia="pt-BR"/>
              </w:rPr>
              <w:drawing>
                <wp:inline distT="0" distB="0" distL="0" distR="0" wp14:anchorId="0AAAAC9D" wp14:editId="50ACAA39">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6E2B26">
      <w:pPr>
        <w:pStyle w:val="Legenda"/>
      </w:pPr>
      <w:bookmarkStart w:id="61"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61"/>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17845A8" w:rsidR="00A0431C" w:rsidRDefault="00A0394D" w:rsidP="00A0431C">
            <w:pPr>
              <w:ind w:firstLine="0"/>
              <w:rPr>
                <w:lang w:eastAsia="pt-BR"/>
              </w:rPr>
            </w:pPr>
            <w:r w:rsidRPr="00212F4A">
              <w:rPr>
                <w:noProof/>
                <w:lang w:eastAsia="pt-BR"/>
              </w:rPr>
              <w:drawing>
                <wp:inline distT="0" distB="0" distL="0" distR="0" wp14:anchorId="7E14FCBE" wp14:editId="06310681">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6E2B26">
      <w:pPr>
        <w:pStyle w:val="Legenda"/>
      </w:pPr>
      <w:bookmarkStart w:id="62" w:name="_Ref191478455"/>
      <w:r>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62"/>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6718F736" w:rsidR="00A0431C" w:rsidRDefault="005D28B4" w:rsidP="00AF175A">
            <w:pPr>
              <w:ind w:firstLine="0"/>
              <w:rPr>
                <w:lang w:eastAsia="pt-BR"/>
              </w:rPr>
            </w:pPr>
            <w:r w:rsidRPr="00EC70E6">
              <w:rPr>
                <w:noProof/>
                <w:lang w:eastAsia="pt-BR"/>
              </w:rPr>
              <w:lastRenderedPageBreak/>
              <w:drawing>
                <wp:inline distT="0" distB="0" distL="0" distR="0" wp14:anchorId="43D0C27C" wp14:editId="3AC1F028">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3" w:name="_Toc191669457"/>
      <w:r>
        <w:t xml:space="preserve">Presença do CIATA nos </w:t>
      </w:r>
      <w:r w:rsidRPr="000B458E">
        <w:t>cadastros</w:t>
      </w:r>
      <w:r>
        <w:t xml:space="preserve"> imobiliários</w:t>
      </w:r>
      <w:bookmarkEnd w:id="63"/>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BD4B02">
        <w:rPr>
          <w:i/>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r w:rsidR="00D365A3" w:rsidRPr="00BD4B02">
        <w:rPr>
          <w:i/>
        </w:rPr>
        <w:t>Custon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58C9DCD0" w:rsidR="00F117C6" w:rsidRDefault="001F0707" w:rsidP="006E2B26">
      <w:pPr>
        <w:pStyle w:val="Legenda"/>
      </w:pPr>
      <w:r>
        <w:t xml:space="preserve">Tabela </w:t>
      </w:r>
      <w:r w:rsidR="00442B37">
        <w:fldChar w:fldCharType="begin"/>
      </w:r>
      <w:r w:rsidR="00442B37">
        <w:instrText xml:space="preserve"> SEQ Tabela \* ARABIC </w:instrText>
      </w:r>
      <w:r w:rsidR="00442B37">
        <w:fldChar w:fldCharType="separate"/>
      </w:r>
      <w:r w:rsidR="00442B37">
        <w:rPr>
          <w:noProof/>
        </w:rPr>
        <w:t>4</w:t>
      </w:r>
      <w:r w:rsidR="00442B37">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4" w:name="_Toc183090308"/>
      <w:bookmarkStart w:id="65" w:name="_Toc191669458"/>
      <w:r w:rsidRPr="00B322C5">
        <w:rPr>
          <w:lang w:eastAsia="pt-BR"/>
        </w:rPr>
        <w:t>CIATA e imageamento</w:t>
      </w:r>
      <w:bookmarkEnd w:id="64"/>
      <w:bookmarkEnd w:id="65"/>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6" w:name="_Ref191278478"/>
      <w:bookmarkStart w:id="67" w:name="_Ref191278485"/>
      <w:bookmarkStart w:id="68" w:name="_Toc191669459"/>
      <w:r>
        <w:rPr>
          <w:lang w:eastAsia="pt-BR"/>
        </w:rPr>
        <w:t xml:space="preserve">CIATA </w:t>
      </w:r>
      <w:r w:rsidR="002B5096">
        <w:rPr>
          <w:lang w:eastAsia="pt-BR"/>
        </w:rPr>
        <w:t>e a Lei Geral de Proteção de Dados</w:t>
      </w:r>
      <w:r>
        <w:rPr>
          <w:lang w:eastAsia="pt-BR"/>
        </w:rPr>
        <w:t xml:space="preserve"> (LGPD)</w:t>
      </w:r>
      <w:bookmarkEnd w:id="66"/>
      <w:bookmarkEnd w:id="67"/>
      <w:bookmarkEnd w:id="68"/>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xml:space="preserve">, por exemplo, prevê a possibilidade de o ente tributante exigir que os contribuintes prestem as informações patrimoniais, fiscais e contábeis necessárias ao cumprimento das normas tributárias. Além dos </w:t>
      </w:r>
      <w:r>
        <w:rPr>
          <w:lang w:eastAsia="pt-BR"/>
        </w:rPr>
        <w:lastRenderedPageBreak/>
        <w:t>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0A2F7BC1" w14:textId="45495100" w:rsidR="00040805" w:rsidRDefault="00040805" w:rsidP="00EF6908">
      <w:pPr>
        <w:pStyle w:val="Ttulo2"/>
      </w:pPr>
      <w:r w:rsidRPr="00040805">
        <w:rPr>
          <w:lang w:eastAsia="pt-BR"/>
        </w:rPr>
        <w:t xml:space="preserve">CNEFE </w:t>
      </w:r>
      <w:r>
        <w:rPr>
          <w:lang w:eastAsia="pt-BR"/>
        </w:rPr>
        <w:t xml:space="preserve">- </w:t>
      </w:r>
      <w:r w:rsidRPr="004500A5">
        <w:t>Cadastro Nacional de Endereços para Fins Estatísticos</w:t>
      </w:r>
      <w:r>
        <w:t xml:space="preserve"> </w:t>
      </w:r>
    </w:p>
    <w:p w14:paraId="073BBC88" w14:textId="382C91B7" w:rsidR="007C5FB6" w:rsidRPr="007C5FB6" w:rsidRDefault="007C5FB6" w:rsidP="007C5FB6">
      <w:r>
        <w:t xml:space="preserve">Segundo </w:t>
      </w:r>
      <w:r w:rsidR="00835242">
        <w:t>o sítio do IBGE na Internet:</w:t>
      </w:r>
    </w:p>
    <w:p w14:paraId="1113F49C" w14:textId="570B8FA9" w:rsidR="001D0A5A" w:rsidRDefault="00835242" w:rsidP="000C2D2D">
      <w:pPr>
        <w:rPr>
          <w:lang w:eastAsia="pt-BR"/>
        </w:rPr>
      </w:pPr>
      <w:r>
        <w:rPr>
          <w:lang w:eastAsia="pt-BR"/>
        </w:rPr>
        <w:lastRenderedPageBreak/>
        <w:t>“</w:t>
      </w:r>
      <w:r w:rsidR="000C2D2D">
        <w:rPr>
          <w:lang w:eastAsia="pt-BR"/>
        </w:rPr>
        <w:t>O Cadastro Nacional de Endereços para Fins Estatísticos - CNEFE é uma base de dados de abrangência nacional criada em 2005. Esse cadastro contempla endereços georreferenciados de domicílios e estabelecimentos de todo o país.</w:t>
      </w:r>
    </w:p>
    <w:p w14:paraId="1CCCF128" w14:textId="6B57743C" w:rsidR="000C2D2D" w:rsidRDefault="000C2D2D" w:rsidP="000C2D2D">
      <w:pPr>
        <w:rPr>
          <w:lang w:eastAsia="pt-BR"/>
        </w:rPr>
      </w:pPr>
      <w:r>
        <w:rPr>
          <w:lang w:eastAsia="pt-BR"/>
        </w:rPr>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75D42AF3" w14:textId="530422A3" w:rsidR="000C2D2D" w:rsidRDefault="000C2D2D" w:rsidP="000C2D2D">
      <w:pPr>
        <w:rPr>
          <w:lang w:eastAsia="pt-BR"/>
        </w:rPr>
      </w:pPr>
      <w:r>
        <w:rPr>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581CE37F" w14:textId="67D4F60A" w:rsidR="00040805" w:rsidRDefault="000C2D2D" w:rsidP="000C2D2D">
      <w:pPr>
        <w:rPr>
          <w:lang w:eastAsia="pt-BR"/>
        </w:rPr>
      </w:pPr>
      <w:r>
        <w:rPr>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r w:rsidR="00835242">
        <w:rPr>
          <w:lang w:eastAsia="pt-BR"/>
        </w:rPr>
        <w:t>”</w:t>
      </w:r>
    </w:p>
    <w:p w14:paraId="7F6167DD" w14:textId="661E82FA" w:rsidR="000C2D2D" w:rsidRDefault="000C2D2D" w:rsidP="000C2D2D">
      <w:pPr>
        <w:rPr>
          <w:lang w:eastAsia="pt-BR"/>
        </w:rPr>
      </w:pPr>
      <w:r>
        <w:rPr>
          <w:lang w:eastAsia="pt-BR"/>
        </w:rPr>
        <w:t xml:space="preserve">Os dados </w:t>
      </w:r>
      <w:r w:rsidR="003B1B7F">
        <w:rPr>
          <w:lang w:eastAsia="pt-BR"/>
        </w:rPr>
        <w:t xml:space="preserve">do CNEFE </w:t>
      </w:r>
      <w:r>
        <w:rPr>
          <w:lang w:eastAsia="pt-BR"/>
        </w:rPr>
        <w:t xml:space="preserve">são </w:t>
      </w:r>
      <w:r w:rsidR="003B1B7F">
        <w:rPr>
          <w:lang w:eastAsia="pt-BR"/>
        </w:rPr>
        <w:t xml:space="preserve">abertos e </w:t>
      </w:r>
      <w:r>
        <w:rPr>
          <w:lang w:eastAsia="pt-BR"/>
        </w:rPr>
        <w:t>disponibilizados nos formatos</w:t>
      </w:r>
      <w:r w:rsidR="004010CC">
        <w:rPr>
          <w:lang w:eastAsia="pt-BR"/>
        </w:rPr>
        <w:t xml:space="preserve"> </w:t>
      </w:r>
      <w:r w:rsidR="004010CC" w:rsidRPr="003B1B7F">
        <w:rPr>
          <w:i/>
          <w:iCs/>
          <w:lang w:eastAsia="pt-BR"/>
        </w:rPr>
        <w:t>GeoJSON</w:t>
      </w:r>
      <w:r w:rsidR="004010CC">
        <w:rPr>
          <w:lang w:eastAsia="pt-BR"/>
        </w:rPr>
        <w:t xml:space="preserve"> e CSV</w:t>
      </w:r>
      <w:r w:rsidR="003B1B7F">
        <w:rPr>
          <w:lang w:eastAsia="pt-BR"/>
        </w:rPr>
        <w:t>. A sua estrutura é semelhante à do CIATA, o que abre grandes possibilidades de integralização mútua. De certa forma pode-se considerar o CNEFE uma espécie de “CIATA COM GEORREFERENCIAMENTO” conforme discutido abaixo.</w:t>
      </w:r>
    </w:p>
    <w:p w14:paraId="2B6E2B31" w14:textId="1BE290A4" w:rsidR="003B1B7F" w:rsidRDefault="003A2536" w:rsidP="000C2D2D">
      <w:pPr>
        <w:rPr>
          <w:lang w:eastAsia="pt-BR"/>
        </w:rPr>
      </w:pPr>
      <w:r>
        <w:rPr>
          <w:lang w:eastAsia="pt-BR"/>
        </w:rPr>
        <w:t xml:space="preserve">As duas bases apresentam atributos semelhantes que, embora não sejam coincidentes em seu conteúdo, formam uma estrutura bastante harmônica. Os atributos Setor, Quadra, Endereço podem ser conectados para permitir uma geolocalização aproximada. </w:t>
      </w:r>
    </w:p>
    <w:p w14:paraId="187C3716" w14:textId="77777777" w:rsidR="00F2225A" w:rsidRDefault="00F2225A" w:rsidP="000C2D2D">
      <w:pPr>
        <w:rPr>
          <w:lang w:eastAsia="pt-BR"/>
        </w:rPr>
      </w:pPr>
    </w:p>
    <w:p w14:paraId="1B8A2C6A" w14:textId="260A5A2E" w:rsidR="003A2536" w:rsidRDefault="003A2536" w:rsidP="000C2D2D">
      <w:pPr>
        <w:rPr>
          <w:lang w:eastAsia="pt-BR"/>
        </w:rPr>
      </w:pPr>
      <w:r>
        <w:rPr>
          <w:lang w:eastAsia="pt-BR"/>
        </w:rPr>
        <w:t>Outra possibilidade é utilizar a sequência de endereços de um mesmo logradouro para traçar uma linha representativa e georreferenciada dele.</w:t>
      </w:r>
    </w:p>
    <w:p w14:paraId="0540437D" w14:textId="7A95FA4D" w:rsidR="003A2536" w:rsidRDefault="003A2536" w:rsidP="000C2D2D">
      <w:pPr>
        <w:rPr>
          <w:lang w:eastAsia="pt-BR"/>
        </w:rPr>
      </w:pPr>
      <w:r>
        <w:rPr>
          <w:lang w:eastAsia="pt-BR"/>
        </w:rPr>
        <w:t xml:space="preserve">Falta ao CNEFE </w:t>
      </w:r>
      <w:r w:rsidR="00F2225A">
        <w:rPr>
          <w:lang w:eastAsia="pt-BR"/>
        </w:rPr>
        <w:t>a largura e a profundidade do terreno.</w:t>
      </w:r>
    </w:p>
    <w:p w14:paraId="468603CB" w14:textId="21416C76" w:rsidR="00F2225A" w:rsidRDefault="00F2225A" w:rsidP="000C2D2D">
      <w:pPr>
        <w:rPr>
          <w:lang w:eastAsia="pt-BR"/>
        </w:rPr>
      </w:pPr>
      <w:r>
        <w:rPr>
          <w:lang w:eastAsia="pt-BR"/>
        </w:rPr>
        <w:t>CIATA para gerar os retângulos e o CNEFE para localizá-los com boa aproximação.</w:t>
      </w:r>
    </w:p>
    <w:p w14:paraId="2347130F" w14:textId="77777777" w:rsidR="003B1B7F" w:rsidRDefault="003B1B7F" w:rsidP="000C2D2D">
      <w:pPr>
        <w:rPr>
          <w:lang w:eastAsia="pt-BR"/>
        </w:rPr>
      </w:pPr>
    </w:p>
    <w:p w14:paraId="435F3074" w14:textId="04E83C8E" w:rsidR="00210FE8" w:rsidRDefault="00210FE8" w:rsidP="009220CC">
      <w:pPr>
        <w:rPr>
          <w:lang w:eastAsia="pt-BR"/>
        </w:rPr>
      </w:pPr>
      <w:r>
        <w:rPr>
          <w:lang w:eastAsia="pt-BR"/>
        </w:rPr>
        <w:t xml:space="preserve">Já existem iniciativas para integrar endereços </w:t>
      </w:r>
      <w:r w:rsidR="00E55EC5">
        <w:rPr>
          <w:lang w:eastAsia="pt-BR"/>
        </w:rPr>
        <w:t>textuais com o</w:t>
      </w:r>
      <w:r w:rsidR="00C55497">
        <w:rPr>
          <w:lang w:eastAsia="pt-BR"/>
        </w:rPr>
        <w:t>s dados georreferenciados do CNEFE</w:t>
      </w:r>
      <w:r w:rsidR="0068738B">
        <w:rPr>
          <w:lang w:eastAsia="pt-BR"/>
        </w:rPr>
        <w:t xml:space="preserve">. O </w:t>
      </w:r>
      <w:r w:rsidR="008F745C">
        <w:rPr>
          <w:lang w:eastAsia="pt-BR"/>
        </w:rPr>
        <w:t xml:space="preserve">documento </w:t>
      </w:r>
      <w:r w:rsidR="009220CC">
        <w:rPr>
          <w:lang w:eastAsia="pt-BR"/>
        </w:rPr>
        <w:t>“Integração do Cadastro Único com Cadastro Nacional de Endereços para Fins Estatístico através da modelagem de um banco de dados espacial”</w:t>
      </w:r>
      <w:r w:rsidR="00EB49E7">
        <w:rPr>
          <w:lang w:eastAsia="pt-BR"/>
        </w:rPr>
        <w:t xml:space="preserve"> </w:t>
      </w:r>
      <w:r w:rsidR="00EB49E7">
        <w:rPr>
          <w:lang w:eastAsia="pt-BR"/>
        </w:rPr>
        <w:fldChar w:fldCharType="begin"/>
      </w:r>
      <w:r w:rsidR="00EB49E7">
        <w:rPr>
          <w:lang w:eastAsia="pt-BR"/>
        </w:rPr>
        <w:instrText xml:space="preserve"> ADDIN ZOTERO_ITEM CSL_CITATION {"citationID":"YOwNkdiv","properties":{"formattedCitation":"(mds.gov.br, 2023)","plainCitation":"(mds.gov.br,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ds.gov.br","given":""}],"accessed":{"date-parts":[["2025",3,3]]},"issued":{"date-parts":[["2023"]]}}}],"schema":"https://github.com/citation-style-language/schema/raw/master/csl-citation.json"} </w:instrText>
      </w:r>
      <w:r w:rsidR="00EB49E7">
        <w:rPr>
          <w:lang w:eastAsia="pt-BR"/>
        </w:rPr>
        <w:fldChar w:fldCharType="separate"/>
      </w:r>
      <w:r w:rsidR="00EB49E7" w:rsidRPr="00EB49E7">
        <w:rPr>
          <w:rFonts w:cs="Arial"/>
        </w:rPr>
        <w:t>(mds.gov.br, 2023)</w:t>
      </w:r>
      <w:r w:rsidR="00EB49E7">
        <w:rPr>
          <w:lang w:eastAsia="pt-BR"/>
        </w:rPr>
        <w:fldChar w:fldCharType="end"/>
      </w:r>
      <w:r w:rsidR="009220CC">
        <w:rPr>
          <w:lang w:eastAsia="pt-BR"/>
        </w:rPr>
        <w:t>,</w:t>
      </w:r>
      <w:r w:rsidR="00703679">
        <w:rPr>
          <w:lang w:eastAsia="pt-BR"/>
        </w:rPr>
        <w:t xml:space="preserve"> por exemplo,</w:t>
      </w:r>
      <w:r w:rsidR="009220CC">
        <w:rPr>
          <w:lang w:eastAsia="pt-BR"/>
        </w:rPr>
        <w:t xml:space="preserve"> oferece </w:t>
      </w:r>
      <w:r w:rsidR="00703679">
        <w:rPr>
          <w:lang w:eastAsia="pt-BR"/>
        </w:rPr>
        <w:t>um arcabouço técnico bastante completo</w:t>
      </w:r>
      <w:r w:rsidR="00EB49E7">
        <w:rPr>
          <w:lang w:eastAsia="pt-BR"/>
        </w:rPr>
        <w:t xml:space="preserve"> sobre </w:t>
      </w:r>
      <w:r w:rsidR="00807D66">
        <w:rPr>
          <w:lang w:eastAsia="pt-BR"/>
        </w:rPr>
        <w:t>como conectar as informações</w:t>
      </w:r>
      <w:r w:rsidR="00D26E30">
        <w:rPr>
          <w:lang w:eastAsia="pt-BR"/>
        </w:rPr>
        <w:t xml:space="preserve"> de diferentes bancos de dados</w:t>
      </w:r>
      <w:r w:rsidR="00703679">
        <w:rPr>
          <w:lang w:eastAsia="pt-BR"/>
        </w:rPr>
        <w:t>.</w:t>
      </w:r>
    </w:p>
    <w:p w14:paraId="7830DD5B" w14:textId="35230D2C" w:rsidR="001E24F2" w:rsidRPr="001E24F2" w:rsidRDefault="001E24F2" w:rsidP="000B085C">
      <w:pPr>
        <w:pStyle w:val="Ttulo2"/>
        <w:rPr>
          <w:rFonts w:eastAsia="Times New Roman"/>
          <w:lang w:eastAsia="pt-BR"/>
        </w:rPr>
      </w:pPr>
      <w:bookmarkStart w:id="69" w:name="_Toc191669460"/>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69"/>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0" w:name="_Toc191669461"/>
      <w:r w:rsidRPr="007C7115">
        <w:t>Sistemas de Informação Geográfica (SIG).</w:t>
      </w:r>
      <w:bookmarkEnd w:id="70"/>
      <w:r w:rsidRPr="007C7115">
        <w:t xml:space="preserve"> </w:t>
      </w:r>
      <w:r w:rsidR="00FC7968">
        <w:tab/>
      </w:r>
    </w:p>
    <w:p w14:paraId="6BD04A37" w14:textId="77777777" w:rsidR="002E2CD6" w:rsidRPr="007C7115" w:rsidRDefault="002E2CD6" w:rsidP="000B085C">
      <w:pPr>
        <w:pStyle w:val="Ttulo2"/>
      </w:pPr>
      <w:bookmarkStart w:id="71" w:name="_Toc191669462"/>
      <w:r w:rsidRPr="007C7115">
        <w:t>Cadastro Imobiliário e Georreferenciamento.</w:t>
      </w:r>
      <w:bookmarkEnd w:id="71"/>
      <w:r w:rsidRPr="007C7115">
        <w:t xml:space="preserve"> </w:t>
      </w:r>
    </w:p>
    <w:p w14:paraId="10A4BE9C" w14:textId="79111357" w:rsidR="001D772A" w:rsidRPr="007C7115" w:rsidRDefault="00406037" w:rsidP="000B085C">
      <w:pPr>
        <w:pStyle w:val="Ttulo1"/>
      </w:pPr>
      <w:bookmarkStart w:id="72" w:name="_Toc191669463"/>
      <w:r>
        <w:t>M</w:t>
      </w:r>
      <w:r w:rsidR="001D772A" w:rsidRPr="007C7115">
        <w:t>etodologia</w:t>
      </w:r>
      <w:r w:rsidR="005E6C0C">
        <w:t xml:space="preserve"> da pesquisa</w:t>
      </w:r>
      <w:bookmarkEnd w:id="72"/>
    </w:p>
    <w:p w14:paraId="2B0DFEDA" w14:textId="14A9C911" w:rsidR="000C3264" w:rsidRDefault="000C3264" w:rsidP="000B085C">
      <w:pPr>
        <w:pStyle w:val="Ttulo2"/>
      </w:pPr>
      <w:bookmarkStart w:id="73" w:name="_Toc191669464"/>
      <w:r>
        <w:t>Etapas</w:t>
      </w:r>
      <w:bookmarkEnd w:id="73"/>
      <w:r w:rsidR="00AE7CE0" w:rsidRPr="00AE7CE0">
        <w:t xml:space="preserve"> </w:t>
      </w:r>
    </w:p>
    <w:p w14:paraId="07F0D598" w14:textId="7921ACA7" w:rsidR="00AE7CE0" w:rsidRDefault="004705B8" w:rsidP="000B458E">
      <w:pPr>
        <w:pStyle w:val="Ttulo3"/>
      </w:pPr>
      <w:bookmarkStart w:id="74" w:name="_Toc191669465"/>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74"/>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lastRenderedPageBreak/>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10"/>
      </w:r>
      <w:r w:rsidR="00496560">
        <w:t xml:space="preserve">. </w:t>
      </w:r>
      <w:r w:rsidR="008826C5">
        <w:t>Para importação em um banco de dados a preferência é por arquivos CSV</w:t>
      </w:r>
      <w:r w:rsidR="004D09B3">
        <w:t>.</w:t>
      </w:r>
    </w:p>
    <w:p w14:paraId="611A2F70" w14:textId="7E0B3742" w:rsidR="00252158" w:rsidRDefault="00252158" w:rsidP="006E2B26">
      <w:pPr>
        <w:pStyle w:val="Legenda"/>
      </w:pPr>
      <w:bookmarkStart w:id="75" w:name="_Ref191279887"/>
      <w:r>
        <w:t xml:space="preserve">Tabela </w:t>
      </w:r>
      <w:r w:rsidR="002D6A21">
        <w:fldChar w:fldCharType="begin"/>
      </w:r>
      <w:r w:rsidR="002D6A21">
        <w:instrText xml:space="preserve"> SEQ Tabela \* ARABIC </w:instrText>
      </w:r>
      <w:r w:rsidR="002D6A21">
        <w:fldChar w:fldCharType="separate"/>
      </w:r>
      <w:r w:rsidR="002D6A21">
        <w:rPr>
          <w:noProof/>
        </w:rPr>
        <w:t>5</w:t>
      </w:r>
      <w:r w:rsidR="002D6A21">
        <w:rPr>
          <w:noProof/>
        </w:rPr>
        <w:fldChar w:fldCharType="end"/>
      </w:r>
      <w:bookmarkEnd w:id="75"/>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6" w:name="_Toc191669466"/>
      <w:r>
        <w:t xml:space="preserve">Definir e povoar um banco de dados relacional </w:t>
      </w:r>
      <w:r w:rsidR="00591CEC">
        <w:t>com os dados dos imóveis</w:t>
      </w:r>
      <w:bookmarkEnd w:id="76"/>
    </w:p>
    <w:p w14:paraId="3D3ECF8E" w14:textId="1BE09876" w:rsidR="00AE7CE0" w:rsidRDefault="00591CEC" w:rsidP="007363BF">
      <w:pPr>
        <w:pStyle w:val="Ttulo3"/>
      </w:pPr>
      <w:bookmarkStart w:id="77" w:name="_Toc191669467"/>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bookmarkEnd w:id="77"/>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78" w:name="_Toc191669468"/>
      <w:r>
        <w:t>cronograma</w:t>
      </w:r>
      <w:bookmarkEnd w:id="78"/>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lastRenderedPageBreak/>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lastRenderedPageBreak/>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79" w:name="_Toc191669469"/>
      <w:r w:rsidRPr="007C7115">
        <w:t xml:space="preserve">Desenvolvimento do </w:t>
      </w:r>
      <w:r w:rsidRPr="000B085C">
        <w:t>Protótipo</w:t>
      </w:r>
      <w:r w:rsidRPr="007C7115">
        <w:t>:</w:t>
      </w:r>
      <w:bookmarkEnd w:id="79"/>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80" w:name="_Toc191669470"/>
      <w:r w:rsidRPr="007C7115">
        <w:t>Arquitetura do sistema.</w:t>
      </w:r>
      <w:bookmarkEnd w:id="80"/>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1" w:name="_Toc191669471"/>
      <w:r w:rsidRPr="007C7115">
        <w:t>Implementação do Banco de Dados Textual.</w:t>
      </w:r>
      <w:bookmarkEnd w:id="81"/>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2" w:name="_Toc191669472"/>
      <w:r w:rsidRPr="007C7115">
        <w:t>Desenvolvimento da Interface de usuário.</w:t>
      </w:r>
      <w:bookmarkEnd w:id="82"/>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83" w:name="_Toc191669473"/>
      <w:r w:rsidRPr="007C7115">
        <w:t>Integração com sistemas de georreferenc</w:t>
      </w:r>
      <w:r w:rsidR="00B51B86">
        <w:t>I</w:t>
      </w:r>
      <w:r w:rsidRPr="007C7115">
        <w:t>amento.</w:t>
      </w:r>
      <w:bookmarkEnd w:id="83"/>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4" w:name="_Toc191669474"/>
      <w:r w:rsidRPr="007C7115">
        <w:t>Resultados e Discussão:</w:t>
      </w:r>
      <w:bookmarkEnd w:id="84"/>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85" w:name="_Toc191669475"/>
      <w:r>
        <w:lastRenderedPageBreak/>
        <w:t>bibliografia</w:t>
      </w:r>
      <w:bookmarkEnd w:id="85"/>
    </w:p>
    <w:p w14:paraId="0BFDA045" w14:textId="77777777" w:rsidR="00EB49E7" w:rsidRPr="00EB49E7" w:rsidRDefault="001D772A" w:rsidP="00EB49E7">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EB49E7" w:rsidRPr="00EB49E7">
        <w:rPr>
          <w:rFonts w:cs="Arial"/>
        </w:rPr>
        <w:t xml:space="preserve">AMORIM, A. Cadastro e gestão territorial: uma visão luso-brasileira para a implementação de sistemas de informação cadastral nos municípios. </w:t>
      </w:r>
      <w:r w:rsidR="00EB49E7" w:rsidRPr="00EB49E7">
        <w:rPr>
          <w:rFonts w:cs="Arial"/>
          <w:lang w:val="en-US"/>
        </w:rPr>
        <w:t>[</w:t>
      </w:r>
      <w:r w:rsidR="00EB49E7" w:rsidRPr="00EB49E7">
        <w:rPr>
          <w:rFonts w:cs="Arial"/>
          <w:i/>
          <w:iCs/>
          <w:lang w:val="en-US"/>
        </w:rPr>
        <w:t>S. l.</w:t>
      </w:r>
      <w:r w:rsidR="00EB49E7" w:rsidRPr="00EB49E7">
        <w:rPr>
          <w:rFonts w:cs="Arial"/>
          <w:lang w:val="en-US"/>
        </w:rPr>
        <w:t xml:space="preserve">]: Editora UNESP Digital, 2018. </w:t>
      </w:r>
    </w:p>
    <w:p w14:paraId="1BFA2812" w14:textId="77777777" w:rsidR="00EB49E7" w:rsidRPr="00EB49E7" w:rsidRDefault="00EB49E7" w:rsidP="00EB49E7">
      <w:pPr>
        <w:pStyle w:val="Bibliografia"/>
        <w:rPr>
          <w:rFonts w:cs="Arial"/>
          <w:lang w:val="en-US"/>
        </w:rPr>
      </w:pPr>
      <w:r w:rsidRPr="00EB49E7">
        <w:rPr>
          <w:rFonts w:cs="Arial"/>
          <w:lang w:val="en-US"/>
        </w:rPr>
        <w:t xml:space="preserve">CERUZZI, P. E. A history of modern computing. 2nd eded. London, Eng. ; Cambridge, Mass: MIT Press, 2003. </w:t>
      </w:r>
    </w:p>
    <w:p w14:paraId="66E00C6F" w14:textId="77777777" w:rsidR="00EB49E7" w:rsidRPr="00EB49E7" w:rsidRDefault="00EB49E7" w:rsidP="00EB49E7">
      <w:pPr>
        <w:pStyle w:val="Bibliografia"/>
        <w:rPr>
          <w:rFonts w:cs="Arial"/>
        </w:rPr>
      </w:pPr>
      <w:r w:rsidRPr="00EB49E7">
        <w:rPr>
          <w:rFonts w:cs="Arial"/>
        </w:rPr>
        <w:t>CNM. Crise fiscal nos Municípios brasileiros. [</w:t>
      </w:r>
      <w:r w:rsidRPr="00EB49E7">
        <w:rPr>
          <w:rFonts w:cs="Arial"/>
          <w:i/>
          <w:iCs/>
        </w:rPr>
        <w:t>S. l.</w:t>
      </w:r>
      <w:r w:rsidRPr="00EB49E7">
        <w:rPr>
          <w:rFonts w:cs="Arial"/>
        </w:rPr>
        <w:t>]: CNM, 2024. Estudo Técnico. Disponível em: https://cnm.org.br/storage/biblioteca/2024/Estudos_tecnicos/202405_ET_CrisenosMunicipios_2023.pdf. Acesso em: 28 fev. 2025.</w:t>
      </w:r>
    </w:p>
    <w:p w14:paraId="3C49EC9F" w14:textId="77777777" w:rsidR="00EB49E7" w:rsidRPr="00EB49E7" w:rsidRDefault="00EB49E7" w:rsidP="00EB49E7">
      <w:pPr>
        <w:pStyle w:val="Bibliografia"/>
        <w:rPr>
          <w:rFonts w:cs="Arial"/>
        </w:rPr>
      </w:pPr>
      <w:r w:rsidRPr="00EB49E7">
        <w:rPr>
          <w:rFonts w:cs="Arial"/>
        </w:rPr>
        <w:t xml:space="preserve">CTN - LEI 5.172/1966. 25 out. 1966. Disponível em: https://www.camara.leg.br/proposicoesWeb/prop_mostrarintegra?codteor=290270. </w:t>
      </w:r>
    </w:p>
    <w:p w14:paraId="7B07519F" w14:textId="77777777" w:rsidR="00EB49E7" w:rsidRPr="00EB49E7" w:rsidRDefault="00EB49E7" w:rsidP="00EB49E7">
      <w:pPr>
        <w:pStyle w:val="Bibliografia"/>
        <w:rPr>
          <w:rFonts w:cs="Arial"/>
        </w:rPr>
      </w:pPr>
      <w:r w:rsidRPr="00EB49E7">
        <w:rPr>
          <w:rFonts w:cs="Arial"/>
        </w:rPr>
        <w:t xml:space="preserve">CUNHA, E. </w:t>
      </w:r>
      <w:r w:rsidRPr="00EB49E7">
        <w:rPr>
          <w:rFonts w:cs="Arial"/>
          <w:i/>
          <w:iCs/>
        </w:rPr>
        <w:t>et al.</w:t>
      </w:r>
      <w:r w:rsidRPr="00EB49E7">
        <w:rPr>
          <w:rFonts w:cs="Arial"/>
        </w:rPr>
        <w:t xml:space="preserve"> O cadastro urbano no Brasil: histórico e evolução. Revista de Geografia e Ordenamento do Território, [</w:t>
      </w:r>
      <w:r w:rsidRPr="00EB49E7">
        <w:rPr>
          <w:rFonts w:cs="Arial"/>
          <w:i/>
          <w:iCs/>
        </w:rPr>
        <w:t>s. l.</w:t>
      </w:r>
      <w:r w:rsidRPr="00EB49E7">
        <w:rPr>
          <w:rFonts w:cs="Arial"/>
        </w:rPr>
        <w:t xml:space="preserve">], v. 0, n. 17, p. 55–74, 2019. </w:t>
      </w:r>
    </w:p>
    <w:p w14:paraId="62D33400" w14:textId="77777777" w:rsidR="00EB49E7" w:rsidRPr="00EB49E7" w:rsidRDefault="00EB49E7" w:rsidP="00EB49E7">
      <w:pPr>
        <w:pStyle w:val="Bibliografia"/>
        <w:rPr>
          <w:rFonts w:cs="Arial"/>
        </w:rPr>
      </w:pPr>
      <w:r w:rsidRPr="00EB49E7">
        <w:rPr>
          <w:rFonts w:cs="Arial"/>
        </w:rPr>
        <w:t xml:space="preserve">DATE, C. J. Introdução a sistemas de bancos de dados. 8. eded. Rio de Janeiro: Campus, 2004. </w:t>
      </w:r>
    </w:p>
    <w:p w14:paraId="5B7ECBED" w14:textId="77777777" w:rsidR="00EB49E7" w:rsidRPr="00EB49E7" w:rsidRDefault="00EB49E7" w:rsidP="00EB49E7">
      <w:pPr>
        <w:pStyle w:val="Bibliografia"/>
        <w:rPr>
          <w:rFonts w:cs="Arial"/>
        </w:rPr>
      </w:pPr>
      <w:r w:rsidRPr="00EB49E7">
        <w:rPr>
          <w:rFonts w:cs="Arial"/>
          <w:lang w:val="en-US"/>
        </w:rPr>
        <w:t xml:space="preserve">ENEMARK, S.; MCLAREN, R.; LEMMEN, C. Fit-for-Purpose Land Administration—Providing Secure Land Rights at Scale. </w:t>
      </w:r>
      <w:r w:rsidRPr="00EB49E7">
        <w:rPr>
          <w:rFonts w:cs="Arial"/>
        </w:rPr>
        <w:t>Land, [</w:t>
      </w:r>
      <w:r w:rsidRPr="00EB49E7">
        <w:rPr>
          <w:rFonts w:cs="Arial"/>
          <w:i/>
          <w:iCs/>
        </w:rPr>
        <w:t>s. l.</w:t>
      </w:r>
      <w:r w:rsidRPr="00EB49E7">
        <w:rPr>
          <w:rFonts w:cs="Arial"/>
        </w:rPr>
        <w:t xml:space="preserve">], v. 10, n. 9, p. 972, 2021. </w:t>
      </w:r>
    </w:p>
    <w:p w14:paraId="2A621A77" w14:textId="77777777" w:rsidR="00EB49E7" w:rsidRPr="00EB49E7" w:rsidRDefault="00EB49E7" w:rsidP="00EB49E7">
      <w:pPr>
        <w:pStyle w:val="Bibliografia"/>
        <w:rPr>
          <w:rFonts w:cs="Arial"/>
          <w:lang w:val="en-US"/>
        </w:rPr>
      </w:pPr>
      <w:r w:rsidRPr="00EB49E7">
        <w:rPr>
          <w:rFonts w:cs="Arial"/>
        </w:rPr>
        <w:t xml:space="preserve">IBGE. Censo 2022. , 2022. Disponível em: https://www.ibge.gov.br/estatisticas/downloads-estatisticas.html?caminho=Censos/Censo_Demografico_2022/. </w:t>
      </w:r>
      <w:r w:rsidRPr="00EB49E7">
        <w:rPr>
          <w:rFonts w:cs="Arial"/>
          <w:lang w:val="en-US"/>
        </w:rPr>
        <w:t>Acesso em: 2 mar. 2025.</w:t>
      </w:r>
    </w:p>
    <w:p w14:paraId="109E1921" w14:textId="77777777" w:rsidR="00EB49E7" w:rsidRPr="00EB49E7" w:rsidRDefault="00EB49E7" w:rsidP="00EB49E7">
      <w:pPr>
        <w:pStyle w:val="Bibliografia"/>
        <w:rPr>
          <w:rFonts w:cs="Arial"/>
          <w:lang w:val="en-US"/>
        </w:rPr>
      </w:pPr>
      <w:r w:rsidRPr="00EB49E7">
        <w:rPr>
          <w:rFonts w:cs="Arial"/>
          <w:lang w:val="en-US"/>
        </w:rPr>
        <w:t>RATIONAL SOFTWARE ARCHITECT STANDARD EDITION 7.5.5. [</w:t>
      </w:r>
      <w:r w:rsidRPr="00EB49E7">
        <w:rPr>
          <w:rFonts w:cs="Arial"/>
          <w:i/>
          <w:iCs/>
          <w:lang w:val="en-US"/>
        </w:rPr>
        <w:t>S. l.</w:t>
      </w:r>
      <w:r w:rsidRPr="00EB49E7">
        <w:rPr>
          <w:rFonts w:cs="Arial"/>
          <w:lang w:val="en-US"/>
        </w:rPr>
        <w:t xml:space="preserve">], 2021. </w:t>
      </w:r>
      <w:r w:rsidRPr="00EB49E7">
        <w:rPr>
          <w:rFonts w:cs="Arial"/>
        </w:rPr>
        <w:t xml:space="preserve">Disponível em: https://www.ibm.com/docs/pt-br/rsas/7.5.0?topic=diagrams-relationships-in-class. </w:t>
      </w:r>
      <w:r w:rsidRPr="00EB49E7">
        <w:rPr>
          <w:rFonts w:cs="Arial"/>
          <w:lang w:val="en-US"/>
        </w:rPr>
        <w:t xml:space="preserve">Acesso em: 6 dez. 2024. </w:t>
      </w:r>
    </w:p>
    <w:p w14:paraId="1C36CEEC" w14:textId="77777777" w:rsidR="00EB49E7" w:rsidRPr="00EB49E7" w:rsidRDefault="00EB49E7" w:rsidP="00EB49E7">
      <w:pPr>
        <w:pStyle w:val="Bibliografia"/>
        <w:rPr>
          <w:rFonts w:cs="Arial"/>
        </w:rPr>
      </w:pPr>
      <w:r w:rsidRPr="00EB49E7">
        <w:rPr>
          <w:rFonts w:cs="Arial"/>
          <w:lang w:val="en-US"/>
        </w:rPr>
        <w:t xml:space="preserve">ISO 19152:2012(EN), GEOGRAPHIC INFORMATION — LAND ADMINISTRATION DOMAIN MODEL (LADM). </w:t>
      </w:r>
      <w:r w:rsidRPr="00EB49E7">
        <w:rPr>
          <w:rFonts w:cs="Arial"/>
        </w:rPr>
        <w:t>[</w:t>
      </w:r>
      <w:r w:rsidRPr="00EB49E7">
        <w:rPr>
          <w:rFonts w:cs="Arial"/>
          <w:i/>
          <w:iCs/>
        </w:rPr>
        <w:t>S. l.</w:t>
      </w:r>
      <w:r w:rsidRPr="00EB49E7">
        <w:rPr>
          <w:rFonts w:cs="Arial"/>
        </w:rPr>
        <w:t xml:space="preserve">], 2012. Disponível em: https://www.iso.org/obp/ui/en/#iso:std:iso:19152:ed-1:v1:en. Acesso em: 6 dez. 2024. </w:t>
      </w:r>
    </w:p>
    <w:p w14:paraId="7DACF598" w14:textId="77777777" w:rsidR="00EB49E7" w:rsidRPr="00EB49E7" w:rsidRDefault="00EB49E7" w:rsidP="00EB49E7">
      <w:pPr>
        <w:pStyle w:val="Bibliografia"/>
        <w:rPr>
          <w:rFonts w:cs="Arial"/>
        </w:rPr>
      </w:pPr>
      <w:r w:rsidRPr="00EB49E7">
        <w:rPr>
          <w:rFonts w:cs="Arial"/>
        </w:rPr>
        <w:t>LGPD - LEI N</w:t>
      </w:r>
      <w:r w:rsidRPr="00EB49E7">
        <w:rPr>
          <w:rFonts w:cs="Arial"/>
          <w:vertAlign w:val="superscript"/>
        </w:rPr>
        <w:t>o</w:t>
      </w:r>
      <w:r w:rsidRPr="00EB49E7">
        <w:rPr>
          <w:rFonts w:cs="Arial"/>
        </w:rPr>
        <w:t xml:space="preserve"> 13.709/2018. Congresso Nacional - Brasil. 14 ago. 2018. Disponível em: https://www2.camara.leg.br/legin/fed/lei/2018/lei-13709-14-agosto-2018-787077-publicacaooriginal-156212-pl.html. </w:t>
      </w:r>
    </w:p>
    <w:p w14:paraId="6F56BB75" w14:textId="77777777" w:rsidR="00EB49E7" w:rsidRPr="00EB49E7" w:rsidRDefault="00EB49E7" w:rsidP="00EB49E7">
      <w:pPr>
        <w:pStyle w:val="Bibliografia"/>
        <w:rPr>
          <w:rFonts w:cs="Arial"/>
        </w:rPr>
      </w:pPr>
      <w:r w:rsidRPr="00EB49E7">
        <w:rPr>
          <w:rFonts w:cs="Arial"/>
        </w:rPr>
        <w:t>MDS.GOV.BR. Integração do Cadastro Único com Cadastro Nacional de Endereços para Fins Estatístico através da modelagem de um banco de dados espacial. [</w:t>
      </w:r>
      <w:r w:rsidRPr="00EB49E7">
        <w:rPr>
          <w:rFonts w:cs="Arial"/>
          <w:i/>
          <w:iCs/>
        </w:rPr>
        <w:t>S. l.</w:t>
      </w:r>
      <w:r w:rsidRPr="00EB49E7">
        <w:rPr>
          <w:rFonts w:cs="Arial"/>
        </w:rPr>
        <w:t>]: mds.gov.br, 2023. Disponível em: https://aplicacoes.mds.gov.br/sagi/pesquisas/documentos/relatorio/relatorio_270.pdf. Acesso em: 3 mar. 2025.</w:t>
      </w:r>
    </w:p>
    <w:p w14:paraId="6D625F6D" w14:textId="77777777" w:rsidR="00EB49E7" w:rsidRPr="00EB49E7" w:rsidRDefault="00EB49E7" w:rsidP="00EB49E7">
      <w:pPr>
        <w:pStyle w:val="Bibliografia"/>
        <w:rPr>
          <w:rFonts w:cs="Arial"/>
        </w:rPr>
      </w:pPr>
      <w:r w:rsidRPr="00EB49E7">
        <w:rPr>
          <w:rFonts w:cs="Arial"/>
        </w:rPr>
        <w:t>MF-CIATA. Manual do Cadastro Imobiliário - CIATA. [</w:t>
      </w:r>
      <w:r w:rsidRPr="00EB49E7">
        <w:rPr>
          <w:rFonts w:cs="Arial"/>
          <w:i/>
          <w:iCs/>
        </w:rPr>
        <w:t>S. l.: s. n.</w:t>
      </w:r>
      <w:r w:rsidRPr="00EB49E7">
        <w:rPr>
          <w:rFonts w:cs="Arial"/>
        </w:rPr>
        <w:t xml:space="preserve">], 1979. </w:t>
      </w:r>
    </w:p>
    <w:p w14:paraId="71F3D666" w14:textId="77777777" w:rsidR="00EB49E7" w:rsidRPr="00EB49E7" w:rsidRDefault="00EB49E7" w:rsidP="00EB49E7">
      <w:pPr>
        <w:pStyle w:val="Bibliografia"/>
        <w:rPr>
          <w:rFonts w:cs="Arial"/>
        </w:rPr>
      </w:pPr>
      <w:r w:rsidRPr="00EB49E7">
        <w:rPr>
          <w:rFonts w:cs="Arial"/>
        </w:rPr>
        <w:lastRenderedPageBreak/>
        <w:t>PANCHINIAK, T. Discussão sobre modelos conceituais relacionados ao cadastro territorial: estudo de caso de Joinville. [</w:t>
      </w:r>
      <w:r w:rsidRPr="00EB49E7">
        <w:rPr>
          <w:rFonts w:cs="Arial"/>
          <w:i/>
          <w:iCs/>
        </w:rPr>
        <w:t>S. l.</w:t>
      </w:r>
      <w:r w:rsidRPr="00EB49E7">
        <w:rPr>
          <w:rFonts w:cs="Arial"/>
        </w:rPr>
        <w:t xml:space="preserve">], 2017. Disponível em: https://repositorio.ufsc.br/handle/123456789/189319. Acesso em: 2 dez. 2024. </w:t>
      </w:r>
    </w:p>
    <w:p w14:paraId="3275065C" w14:textId="77777777" w:rsidR="00EB49E7" w:rsidRPr="00EB49E7" w:rsidRDefault="00EB49E7" w:rsidP="00EB49E7">
      <w:pPr>
        <w:pStyle w:val="Bibliografia"/>
        <w:rPr>
          <w:rFonts w:cs="Arial"/>
        </w:rPr>
      </w:pPr>
      <w:r w:rsidRPr="00EB49E7">
        <w:rPr>
          <w:rFonts w:cs="Arial"/>
        </w:rPr>
        <w:t>PORTAL NACIONAL DE CONTRATAÇÕES PÚBLICAS - PNCP. [</w:t>
      </w:r>
      <w:r w:rsidRPr="00EB49E7">
        <w:rPr>
          <w:rFonts w:cs="Arial"/>
          <w:i/>
          <w:iCs/>
        </w:rPr>
        <w:t>S. l.</w:t>
      </w:r>
      <w:r w:rsidRPr="00EB49E7">
        <w:rPr>
          <w:rFonts w:cs="Arial"/>
        </w:rPr>
        <w:t xml:space="preserve">], 2025. Disponível em: https://www.gov.br/pncp/pt-br. Acesso em: 21 fev. 2025. </w:t>
      </w:r>
    </w:p>
    <w:p w14:paraId="4E81C246" w14:textId="77777777" w:rsidR="00EB49E7" w:rsidRPr="00EB49E7" w:rsidRDefault="00EB49E7" w:rsidP="00EB49E7">
      <w:pPr>
        <w:pStyle w:val="Bibliografia"/>
        <w:rPr>
          <w:rFonts w:cs="Arial"/>
        </w:rPr>
      </w:pPr>
      <w:r w:rsidRPr="00EB49E7">
        <w:rPr>
          <w:rFonts w:cs="Arial"/>
        </w:rPr>
        <w:t xml:space="preserve">SILVA, E. da. Cadastro Territorial Multifinalitário aplicado à gestão municipal. Florianópolis, SC: Ufsc, 2023. </w:t>
      </w:r>
    </w:p>
    <w:p w14:paraId="6306E2E0" w14:textId="77777777" w:rsidR="00EB49E7" w:rsidRPr="00EB49E7" w:rsidRDefault="00EB49E7" w:rsidP="00EB49E7">
      <w:pPr>
        <w:pStyle w:val="Bibliografia"/>
        <w:rPr>
          <w:rFonts w:cs="Arial"/>
        </w:rPr>
      </w:pPr>
      <w:r w:rsidRPr="00EB49E7">
        <w:rPr>
          <w:rFonts w:cs="Arial"/>
        </w:rPr>
        <w:t>SISCONFI/STN. siconfi. , 2023. Disponível em: https://siconfi.tesouro.gov.br/siconfi/pages/public/sti/iframe_sti.jsf. Acesso em: 28 fev. 2025.</w:t>
      </w:r>
    </w:p>
    <w:p w14:paraId="6BDF6AFC" w14:textId="57B9D999"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2F2773BF"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1"/>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0"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46"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8"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9"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2"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58"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59"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4F6E" w14:textId="77777777" w:rsidR="0020721B" w:rsidRPr="00B322C5" w:rsidRDefault="0020721B" w:rsidP="00362BEC">
      <w:pPr>
        <w:spacing w:line="240" w:lineRule="auto"/>
      </w:pPr>
      <w:r w:rsidRPr="00B322C5">
        <w:separator/>
      </w:r>
    </w:p>
  </w:endnote>
  <w:endnote w:type="continuationSeparator" w:id="0">
    <w:p w14:paraId="2CDBCE48" w14:textId="77777777" w:rsidR="0020721B" w:rsidRPr="00B322C5" w:rsidRDefault="0020721B"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4295" w14:textId="77777777" w:rsidR="0020721B" w:rsidRPr="00B322C5" w:rsidRDefault="0020721B" w:rsidP="00802B3F">
      <w:pPr>
        <w:spacing w:line="240" w:lineRule="auto"/>
        <w:ind w:firstLine="0"/>
      </w:pPr>
      <w:r w:rsidRPr="00B322C5">
        <w:separator/>
      </w:r>
    </w:p>
  </w:footnote>
  <w:footnote w:type="continuationSeparator" w:id="0">
    <w:p w14:paraId="7B309F01" w14:textId="77777777" w:rsidR="0020721B" w:rsidRPr="00B322C5" w:rsidRDefault="0020721B" w:rsidP="00362BEC">
      <w:pPr>
        <w:spacing w:line="240" w:lineRule="auto"/>
      </w:pPr>
      <w:r w:rsidRPr="00B322C5">
        <w:continuationSeparator/>
      </w:r>
    </w:p>
  </w:footnote>
  <w:footnote w:id="1">
    <w:p w14:paraId="40CE76F3" w14:textId="77777777" w:rsidR="00160061" w:rsidRDefault="00160061" w:rsidP="006E2B26">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E64558">
      <w:pPr>
        <w:pStyle w:val="Textodenotaderodap"/>
        <w:ind w:firstLine="0"/>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rsidP="00C92709">
      <w:pPr>
        <w:pStyle w:val="Textodenotaderodap"/>
        <w:ind w:firstLine="0"/>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rsidP="00C92709">
      <w:pPr>
        <w:pStyle w:val="Textodenotaderodap"/>
        <w:ind w:firstLine="0"/>
      </w:pPr>
      <w:r>
        <w:rPr>
          <w:rStyle w:val="Refdenotaderodap"/>
        </w:rPr>
        <w:footnoteRef/>
      </w:r>
      <w:r>
        <w:t xml:space="preserve"> Miraselva - PR</w:t>
      </w:r>
    </w:p>
  </w:footnote>
  <w:footnote w:id="5">
    <w:p w14:paraId="70123002" w14:textId="27B2CE7A" w:rsidR="009A44DA" w:rsidRDefault="009A44DA" w:rsidP="00C92709">
      <w:pPr>
        <w:pStyle w:val="Textodenotaderodap"/>
        <w:ind w:firstLine="0"/>
      </w:pPr>
      <w:r>
        <w:rPr>
          <w:rStyle w:val="Refdenotaderodap"/>
        </w:rPr>
        <w:footnoteRef/>
      </w:r>
      <w:r>
        <w:t xml:space="preserve"> Parazinho - RN</w:t>
      </w:r>
    </w:p>
  </w:footnote>
  <w:footnote w:id="6">
    <w:p w14:paraId="0FBB0985" w14:textId="0C5D9D88" w:rsidR="001C1381" w:rsidRDefault="001C1381" w:rsidP="00C92709">
      <w:pPr>
        <w:pStyle w:val="Textodenotaderodap"/>
        <w:ind w:firstLine="0"/>
      </w:pPr>
      <w:r>
        <w:rPr>
          <w:rStyle w:val="Refdenotaderodap"/>
        </w:rPr>
        <w:footnoteRef/>
      </w:r>
      <w:r>
        <w:t xml:space="preserve"> Serra da Saudade - MG</w:t>
      </w:r>
    </w:p>
  </w:footnote>
  <w:footnote w:id="7">
    <w:p w14:paraId="6FC7DE4B" w14:textId="4B3F4C96" w:rsidR="00054D32" w:rsidRDefault="00054D32" w:rsidP="00C92709">
      <w:pPr>
        <w:pStyle w:val="Textodenotaderodap"/>
        <w:ind w:firstLine="0"/>
      </w:pPr>
      <w:r>
        <w:rPr>
          <w:rStyle w:val="Refdenotaderodap"/>
        </w:rPr>
        <w:footnoteRef/>
      </w:r>
      <w:r>
        <w:t xml:space="preserve"> Can</w:t>
      </w:r>
      <w:r w:rsidR="00E008E3">
        <w:t>a</w:t>
      </w:r>
      <w:r>
        <w:t>ã dos Carajás - PA</w:t>
      </w:r>
    </w:p>
  </w:footnote>
  <w:footnote w:id="8">
    <w:p w14:paraId="6B9A6A76" w14:textId="745BCF2E" w:rsidR="00E85E4C" w:rsidRDefault="00E85E4C" w:rsidP="00C92709">
      <w:pPr>
        <w:pStyle w:val="Textodenotaderodap"/>
        <w:ind w:firstLine="0"/>
      </w:pPr>
      <w:r>
        <w:rPr>
          <w:rStyle w:val="Refdenotaderodap"/>
        </w:rPr>
        <w:footnoteRef/>
      </w:r>
      <w:r>
        <w:t xml:space="preserve"> </w:t>
      </w:r>
      <w:r w:rsidR="004935E4">
        <w:t>Xangri-lá - RS</w:t>
      </w:r>
    </w:p>
  </w:footnote>
  <w:footnote w:id="9">
    <w:p w14:paraId="2C3F6C62" w14:textId="3BC54911" w:rsidR="001C1381" w:rsidRDefault="001C1381" w:rsidP="00C92709">
      <w:pPr>
        <w:pStyle w:val="Textodenotaderodap"/>
        <w:ind w:firstLine="0"/>
      </w:pPr>
      <w:r>
        <w:rPr>
          <w:rStyle w:val="Refdenotaderodap"/>
        </w:rPr>
        <w:footnoteRef/>
      </w:r>
      <w:r>
        <w:t xml:space="preserve"> Goianira – GO</w:t>
      </w:r>
    </w:p>
    <w:p w14:paraId="33A2FAB3" w14:textId="77777777" w:rsidR="001C1381" w:rsidRDefault="001C1381">
      <w:pPr>
        <w:pStyle w:val="Textodenotaderodap"/>
      </w:pPr>
    </w:p>
  </w:footnote>
  <w:footnote w:id="10">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1CFE"/>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4BC"/>
    <w:rsid w:val="00041DA1"/>
    <w:rsid w:val="00044A85"/>
    <w:rsid w:val="00044BD7"/>
    <w:rsid w:val="00044C41"/>
    <w:rsid w:val="00045AF0"/>
    <w:rsid w:val="000460D1"/>
    <w:rsid w:val="00050441"/>
    <w:rsid w:val="00050C84"/>
    <w:rsid w:val="000511FD"/>
    <w:rsid w:val="00051B67"/>
    <w:rsid w:val="00051D0A"/>
    <w:rsid w:val="0005362B"/>
    <w:rsid w:val="00054CAB"/>
    <w:rsid w:val="00054D32"/>
    <w:rsid w:val="00055F8E"/>
    <w:rsid w:val="000567EF"/>
    <w:rsid w:val="00056F24"/>
    <w:rsid w:val="000576C3"/>
    <w:rsid w:val="000579AB"/>
    <w:rsid w:val="00057BDD"/>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B4"/>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2D69"/>
    <w:rsid w:val="00124127"/>
    <w:rsid w:val="00126936"/>
    <w:rsid w:val="00126C56"/>
    <w:rsid w:val="00126DBA"/>
    <w:rsid w:val="0012717F"/>
    <w:rsid w:val="00127E7A"/>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2F3"/>
    <w:rsid w:val="00177A5E"/>
    <w:rsid w:val="00177C59"/>
    <w:rsid w:val="001801CD"/>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381"/>
    <w:rsid w:val="001C17BA"/>
    <w:rsid w:val="001C2DD7"/>
    <w:rsid w:val="001C33FA"/>
    <w:rsid w:val="001C3507"/>
    <w:rsid w:val="001C4296"/>
    <w:rsid w:val="001C43E3"/>
    <w:rsid w:val="001C58DC"/>
    <w:rsid w:val="001C69C7"/>
    <w:rsid w:val="001C7349"/>
    <w:rsid w:val="001C7536"/>
    <w:rsid w:val="001D0A5A"/>
    <w:rsid w:val="001D0A7D"/>
    <w:rsid w:val="001D1019"/>
    <w:rsid w:val="001D15C0"/>
    <w:rsid w:val="001D2207"/>
    <w:rsid w:val="001D25E5"/>
    <w:rsid w:val="001D51EA"/>
    <w:rsid w:val="001D52BD"/>
    <w:rsid w:val="001D55DE"/>
    <w:rsid w:val="001D59C3"/>
    <w:rsid w:val="001D5AC4"/>
    <w:rsid w:val="001D5D42"/>
    <w:rsid w:val="001D6B25"/>
    <w:rsid w:val="001D6CBB"/>
    <w:rsid w:val="001D6FD1"/>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21B"/>
    <w:rsid w:val="002074C5"/>
    <w:rsid w:val="00207C8E"/>
    <w:rsid w:val="00210C6B"/>
    <w:rsid w:val="00210FE8"/>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87CAA"/>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543A"/>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A0A"/>
    <w:rsid w:val="0032201A"/>
    <w:rsid w:val="003246FD"/>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2536"/>
    <w:rsid w:val="003A3D03"/>
    <w:rsid w:val="003A3EC5"/>
    <w:rsid w:val="003A40E7"/>
    <w:rsid w:val="003A418F"/>
    <w:rsid w:val="003A557B"/>
    <w:rsid w:val="003A5A8B"/>
    <w:rsid w:val="003A686A"/>
    <w:rsid w:val="003A735B"/>
    <w:rsid w:val="003B1606"/>
    <w:rsid w:val="003B1B7F"/>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1B00"/>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0CC"/>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50C"/>
    <w:rsid w:val="0042075A"/>
    <w:rsid w:val="0042103E"/>
    <w:rsid w:val="00421573"/>
    <w:rsid w:val="00421CF8"/>
    <w:rsid w:val="00423F71"/>
    <w:rsid w:val="004256E8"/>
    <w:rsid w:val="00425C04"/>
    <w:rsid w:val="00425FEC"/>
    <w:rsid w:val="0042692D"/>
    <w:rsid w:val="00427DDB"/>
    <w:rsid w:val="00427DF4"/>
    <w:rsid w:val="00431679"/>
    <w:rsid w:val="00432041"/>
    <w:rsid w:val="004327BF"/>
    <w:rsid w:val="00432A78"/>
    <w:rsid w:val="00432CBB"/>
    <w:rsid w:val="00432E4C"/>
    <w:rsid w:val="004331C8"/>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661"/>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08C3"/>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4F58"/>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3B56"/>
    <w:rsid w:val="005B44C4"/>
    <w:rsid w:val="005B4A5E"/>
    <w:rsid w:val="005B5164"/>
    <w:rsid w:val="005B599B"/>
    <w:rsid w:val="005B65FA"/>
    <w:rsid w:val="005B7E7F"/>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8B4"/>
    <w:rsid w:val="005D2E63"/>
    <w:rsid w:val="005D318D"/>
    <w:rsid w:val="005D3B87"/>
    <w:rsid w:val="005D4C41"/>
    <w:rsid w:val="005D51CC"/>
    <w:rsid w:val="005D6F5F"/>
    <w:rsid w:val="005D79D8"/>
    <w:rsid w:val="005D7D77"/>
    <w:rsid w:val="005E018E"/>
    <w:rsid w:val="005E0A36"/>
    <w:rsid w:val="005E0B17"/>
    <w:rsid w:val="005E14F4"/>
    <w:rsid w:val="005E1508"/>
    <w:rsid w:val="005E1D60"/>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1A1"/>
    <w:rsid w:val="0063140A"/>
    <w:rsid w:val="00631685"/>
    <w:rsid w:val="006329E9"/>
    <w:rsid w:val="00633355"/>
    <w:rsid w:val="006341D0"/>
    <w:rsid w:val="0063599E"/>
    <w:rsid w:val="00635DB5"/>
    <w:rsid w:val="0063703A"/>
    <w:rsid w:val="0063782C"/>
    <w:rsid w:val="006378FF"/>
    <w:rsid w:val="006412EC"/>
    <w:rsid w:val="006421EB"/>
    <w:rsid w:val="006423A8"/>
    <w:rsid w:val="00642537"/>
    <w:rsid w:val="0064260A"/>
    <w:rsid w:val="00643AB2"/>
    <w:rsid w:val="00644D93"/>
    <w:rsid w:val="00645976"/>
    <w:rsid w:val="00645D4B"/>
    <w:rsid w:val="006467A6"/>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094F"/>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326"/>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8738B"/>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49EF"/>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3D81"/>
    <w:rsid w:val="006D7421"/>
    <w:rsid w:val="006E1E8B"/>
    <w:rsid w:val="006E2124"/>
    <w:rsid w:val="006E21F6"/>
    <w:rsid w:val="006E2432"/>
    <w:rsid w:val="006E2B26"/>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3B7F"/>
    <w:rsid w:val="006F4179"/>
    <w:rsid w:val="006F539A"/>
    <w:rsid w:val="006F689F"/>
    <w:rsid w:val="006F6933"/>
    <w:rsid w:val="006F7BE0"/>
    <w:rsid w:val="006F7C99"/>
    <w:rsid w:val="007008F2"/>
    <w:rsid w:val="00700D93"/>
    <w:rsid w:val="0070120E"/>
    <w:rsid w:val="00701653"/>
    <w:rsid w:val="00703679"/>
    <w:rsid w:val="007036F2"/>
    <w:rsid w:val="00703855"/>
    <w:rsid w:val="007043B2"/>
    <w:rsid w:val="00704895"/>
    <w:rsid w:val="007054BA"/>
    <w:rsid w:val="00705D87"/>
    <w:rsid w:val="007066A6"/>
    <w:rsid w:val="00706836"/>
    <w:rsid w:val="00706BDC"/>
    <w:rsid w:val="00707768"/>
    <w:rsid w:val="00707F9D"/>
    <w:rsid w:val="007102CD"/>
    <w:rsid w:val="00710CEE"/>
    <w:rsid w:val="007112FC"/>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77C05"/>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5FB6"/>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3B92"/>
    <w:rsid w:val="0080504D"/>
    <w:rsid w:val="0080516F"/>
    <w:rsid w:val="00805231"/>
    <w:rsid w:val="0080583E"/>
    <w:rsid w:val="00805EF9"/>
    <w:rsid w:val="00806DF7"/>
    <w:rsid w:val="00807985"/>
    <w:rsid w:val="00807D66"/>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5242"/>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6D5"/>
    <w:rsid w:val="008A570A"/>
    <w:rsid w:val="008A604D"/>
    <w:rsid w:val="008A7452"/>
    <w:rsid w:val="008A79DA"/>
    <w:rsid w:val="008B1668"/>
    <w:rsid w:val="008B322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45C"/>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0CC"/>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1E1C"/>
    <w:rsid w:val="00965406"/>
    <w:rsid w:val="00966D04"/>
    <w:rsid w:val="0096721C"/>
    <w:rsid w:val="0097112A"/>
    <w:rsid w:val="009720AD"/>
    <w:rsid w:val="0097240F"/>
    <w:rsid w:val="00972675"/>
    <w:rsid w:val="00973344"/>
    <w:rsid w:val="00974E98"/>
    <w:rsid w:val="00975163"/>
    <w:rsid w:val="00976EF1"/>
    <w:rsid w:val="0097737C"/>
    <w:rsid w:val="00980099"/>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4DA"/>
    <w:rsid w:val="009A48DB"/>
    <w:rsid w:val="009A4BAE"/>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394D"/>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D6E"/>
    <w:rsid w:val="00A52B0D"/>
    <w:rsid w:val="00A52F77"/>
    <w:rsid w:val="00A54AE6"/>
    <w:rsid w:val="00A54FA2"/>
    <w:rsid w:val="00A5545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0FB"/>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38D"/>
    <w:rsid w:val="00AC4722"/>
    <w:rsid w:val="00AC4BB6"/>
    <w:rsid w:val="00AC4EC8"/>
    <w:rsid w:val="00AC4FEF"/>
    <w:rsid w:val="00AC5F17"/>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2F9D"/>
    <w:rsid w:val="00B03201"/>
    <w:rsid w:val="00B03A18"/>
    <w:rsid w:val="00B056D9"/>
    <w:rsid w:val="00B07FA6"/>
    <w:rsid w:val="00B10251"/>
    <w:rsid w:val="00B10B4E"/>
    <w:rsid w:val="00B1121E"/>
    <w:rsid w:val="00B11713"/>
    <w:rsid w:val="00B12942"/>
    <w:rsid w:val="00B12DB7"/>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364E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0C73"/>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E7D"/>
    <w:rsid w:val="00BF25F9"/>
    <w:rsid w:val="00BF2DF7"/>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5AB8"/>
    <w:rsid w:val="00C35BC9"/>
    <w:rsid w:val="00C360B0"/>
    <w:rsid w:val="00C379E9"/>
    <w:rsid w:val="00C37AE4"/>
    <w:rsid w:val="00C37B73"/>
    <w:rsid w:val="00C415AD"/>
    <w:rsid w:val="00C42D33"/>
    <w:rsid w:val="00C4332F"/>
    <w:rsid w:val="00C43BEC"/>
    <w:rsid w:val="00C43E72"/>
    <w:rsid w:val="00C44678"/>
    <w:rsid w:val="00C4477A"/>
    <w:rsid w:val="00C45DD9"/>
    <w:rsid w:val="00C46D39"/>
    <w:rsid w:val="00C4757B"/>
    <w:rsid w:val="00C4765B"/>
    <w:rsid w:val="00C47E9B"/>
    <w:rsid w:val="00C47FEE"/>
    <w:rsid w:val="00C519D7"/>
    <w:rsid w:val="00C5218C"/>
    <w:rsid w:val="00C5258B"/>
    <w:rsid w:val="00C53C56"/>
    <w:rsid w:val="00C5418B"/>
    <w:rsid w:val="00C55497"/>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709"/>
    <w:rsid w:val="00C929E5"/>
    <w:rsid w:val="00C932DF"/>
    <w:rsid w:val="00C94DC6"/>
    <w:rsid w:val="00C95449"/>
    <w:rsid w:val="00C95457"/>
    <w:rsid w:val="00C9560A"/>
    <w:rsid w:val="00C9644C"/>
    <w:rsid w:val="00C965D0"/>
    <w:rsid w:val="00C96811"/>
    <w:rsid w:val="00C96B14"/>
    <w:rsid w:val="00C96DCD"/>
    <w:rsid w:val="00C972D9"/>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1193"/>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9F9"/>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8F6"/>
    <w:rsid w:val="00D24C33"/>
    <w:rsid w:val="00D262DD"/>
    <w:rsid w:val="00D265FB"/>
    <w:rsid w:val="00D26E30"/>
    <w:rsid w:val="00D2704B"/>
    <w:rsid w:val="00D27140"/>
    <w:rsid w:val="00D27537"/>
    <w:rsid w:val="00D30FBA"/>
    <w:rsid w:val="00D323D4"/>
    <w:rsid w:val="00D32DCF"/>
    <w:rsid w:val="00D3347B"/>
    <w:rsid w:val="00D338E5"/>
    <w:rsid w:val="00D33B4D"/>
    <w:rsid w:val="00D34330"/>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634"/>
    <w:rsid w:val="00D47B14"/>
    <w:rsid w:val="00D50F35"/>
    <w:rsid w:val="00D5228C"/>
    <w:rsid w:val="00D5243D"/>
    <w:rsid w:val="00D533B2"/>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6D2F"/>
    <w:rsid w:val="00D97085"/>
    <w:rsid w:val="00D9751D"/>
    <w:rsid w:val="00D97A6F"/>
    <w:rsid w:val="00D97BBC"/>
    <w:rsid w:val="00D97D5D"/>
    <w:rsid w:val="00D97FB1"/>
    <w:rsid w:val="00DA14F3"/>
    <w:rsid w:val="00DA55F2"/>
    <w:rsid w:val="00DA78A9"/>
    <w:rsid w:val="00DB038C"/>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5EC5"/>
    <w:rsid w:val="00E56E29"/>
    <w:rsid w:val="00E60722"/>
    <w:rsid w:val="00E619C8"/>
    <w:rsid w:val="00E622C1"/>
    <w:rsid w:val="00E62F38"/>
    <w:rsid w:val="00E63081"/>
    <w:rsid w:val="00E63B75"/>
    <w:rsid w:val="00E63F02"/>
    <w:rsid w:val="00E63F25"/>
    <w:rsid w:val="00E6414B"/>
    <w:rsid w:val="00E64558"/>
    <w:rsid w:val="00E64816"/>
    <w:rsid w:val="00E657D1"/>
    <w:rsid w:val="00E661D9"/>
    <w:rsid w:val="00E67314"/>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9E7"/>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41EA"/>
    <w:rsid w:val="00EC4848"/>
    <w:rsid w:val="00EC58AD"/>
    <w:rsid w:val="00EC5B81"/>
    <w:rsid w:val="00EC6E65"/>
    <w:rsid w:val="00EC70E6"/>
    <w:rsid w:val="00EC731C"/>
    <w:rsid w:val="00ED0064"/>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DD9"/>
    <w:rsid w:val="00F04E99"/>
    <w:rsid w:val="00F0504E"/>
    <w:rsid w:val="00F0645E"/>
    <w:rsid w:val="00F06E63"/>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25A"/>
    <w:rsid w:val="00F22CB0"/>
    <w:rsid w:val="00F23433"/>
    <w:rsid w:val="00F246B9"/>
    <w:rsid w:val="00F2547B"/>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1E52"/>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535"/>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599"/>
    <w:rsid w:val="00FD394E"/>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6E2B26"/>
    <w:pPr>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1C138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C1381"/>
    <w:rPr>
      <w:rFonts w:ascii="Arial" w:hAnsi="Arial"/>
      <w:sz w:val="20"/>
      <w:szCs w:val="20"/>
    </w:rPr>
  </w:style>
  <w:style w:type="character" w:styleId="Refdenotadefim">
    <w:name w:val="endnote reference"/>
    <w:basedOn w:val="Fontepargpadro"/>
    <w:uiPriority w:val="99"/>
    <w:semiHidden/>
    <w:unhideWhenUsed/>
    <w:rsid w:val="001C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12051</Words>
  <Characters>65077</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Aurelio Barbiero</cp:lastModifiedBy>
  <cp:revision>349</cp:revision>
  <cp:lastPrinted>2024-10-17T18:13:00Z</cp:lastPrinted>
  <dcterms:created xsi:type="dcterms:W3CDTF">2025-02-21T00:22:00Z</dcterms:created>
  <dcterms:modified xsi:type="dcterms:W3CDTF">2025-03-04T09:54:00Z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id="HqjAhyyh"/&gt;&lt;style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