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B906" w14:textId="5B168308" w:rsidR="00CC7C36" w:rsidRPr="00570F4A" w:rsidRDefault="00F92983" w:rsidP="008D7F4D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570F4A">
        <w:rPr>
          <w:rFonts w:ascii="Times New Roman" w:hAnsi="Times New Roman" w:cs="Times New Roman"/>
          <w:sz w:val="32"/>
          <w:szCs w:val="32"/>
        </w:rPr>
        <w:t>Test Report</w:t>
      </w:r>
    </w:p>
    <w:p w14:paraId="09ADAB2B" w14:textId="314AF83B" w:rsidR="00F92983" w:rsidRDefault="00F92983" w:rsidP="008D7F4D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L’applicazione </w:t>
      </w:r>
      <w:proofErr w:type="spellStart"/>
      <w:r>
        <w:rPr>
          <w:rFonts w:ascii="Times New Roman" w:hAnsi="Times New Roman" w:cs="Times New Roman"/>
        </w:rPr>
        <w:t>DifferentIAtor</w:t>
      </w:r>
      <w:proofErr w:type="spellEnd"/>
      <w:r>
        <w:rPr>
          <w:rFonts w:ascii="Times New Roman" w:hAnsi="Times New Roman" w:cs="Times New Roman"/>
        </w:rPr>
        <w:t xml:space="preserve"> </w:t>
      </w:r>
      <w:r w:rsidR="008D7F4D">
        <w:rPr>
          <w:rFonts w:ascii="Times New Roman" w:hAnsi="Times New Roman" w:cs="Times New Roman"/>
        </w:rPr>
        <w:t xml:space="preserve">è stata sottoposta a </w:t>
      </w:r>
      <w:proofErr w:type="spellStart"/>
      <w:r w:rsidR="008D7F4D">
        <w:rPr>
          <w:rFonts w:ascii="Times New Roman" w:hAnsi="Times New Roman" w:cs="Times New Roman"/>
        </w:rPr>
        <w:t>tests</w:t>
      </w:r>
      <w:proofErr w:type="spellEnd"/>
      <w:r w:rsidR="008D7F4D">
        <w:rPr>
          <w:rFonts w:ascii="Times New Roman" w:hAnsi="Times New Roman" w:cs="Times New Roman"/>
        </w:rPr>
        <w:t xml:space="preserve"> effettuati dagli stessi sviluppatori, al fine di controllare il suo funzionamento, nonché il pieno rispetto dei requisiti funzionali e non funzionali pensati ad inizio progetto.</w:t>
      </w:r>
    </w:p>
    <w:p w14:paraId="69C0C58F" w14:textId="47CE3A77" w:rsidR="008D7F4D" w:rsidRDefault="00324EDC" w:rsidP="008D7F4D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web app infatti, una volta sviluppata, è stata cariata su Google Cloud </w:t>
      </w:r>
      <w:proofErr w:type="spellStart"/>
      <w:r>
        <w:rPr>
          <w:rFonts w:ascii="Times New Roman" w:hAnsi="Times New Roman" w:cs="Times New Roman"/>
        </w:rPr>
        <w:t>Run</w:t>
      </w:r>
      <w:proofErr w:type="spellEnd"/>
      <w:r>
        <w:rPr>
          <w:rFonts w:ascii="Times New Roman" w:hAnsi="Times New Roman" w:cs="Times New Roman"/>
        </w:rPr>
        <w:t xml:space="preserve"> e qui effettuato il deployment. Dopo ciò, sono stati effettuati i </w:t>
      </w:r>
      <w:proofErr w:type="spellStart"/>
      <w:r>
        <w:rPr>
          <w:rFonts w:ascii="Times New Roman" w:hAnsi="Times New Roman" w:cs="Times New Roman"/>
        </w:rPr>
        <w:t>tests</w:t>
      </w:r>
      <w:proofErr w:type="spellEnd"/>
      <w:r w:rsidR="002F29A3">
        <w:rPr>
          <w:rFonts w:ascii="Times New Roman" w:hAnsi="Times New Roman" w:cs="Times New Roman"/>
        </w:rPr>
        <w:t xml:space="preserve">. In questo modo abbiamo potuto controllare il funzionamento di </w:t>
      </w:r>
      <w:proofErr w:type="spellStart"/>
      <w:r w:rsidR="002F29A3">
        <w:rPr>
          <w:rFonts w:ascii="Times New Roman" w:hAnsi="Times New Roman" w:cs="Times New Roman"/>
        </w:rPr>
        <w:t>DifferentIAtor</w:t>
      </w:r>
      <w:proofErr w:type="spellEnd"/>
      <w:r w:rsidR="002F29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alle stesse condizioni in cui si troverà l’utente finale durante il suo utilizzo</w:t>
      </w:r>
      <w:r w:rsidR="002F29A3">
        <w:rPr>
          <w:rFonts w:ascii="Times New Roman" w:hAnsi="Times New Roman" w:cs="Times New Roman"/>
        </w:rPr>
        <w:t>.</w:t>
      </w:r>
    </w:p>
    <w:p w14:paraId="390456DF" w14:textId="7190478B" w:rsidR="002F29A3" w:rsidRDefault="002F29A3" w:rsidP="008D7F4D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Elenchiamo di seguito i risultati riguardanti i test per i singoli requisiti funzionali e non funzionali:</w:t>
      </w:r>
    </w:p>
    <w:p w14:paraId="4485FD05" w14:textId="35953220" w:rsidR="002F29A3" w:rsidRPr="002F29A3" w:rsidRDefault="002F29A3" w:rsidP="002F29A3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F29A3">
        <w:rPr>
          <w:rFonts w:ascii="Times New Roman" w:hAnsi="Times New Roman" w:cs="Times New Roman"/>
        </w:rPr>
        <w:t>Identificazione corretta di almeno 85 di 100 input inseriti dagli utenti.</w:t>
      </w:r>
    </w:p>
    <w:p w14:paraId="4715A1CC" w14:textId="7602550D" w:rsidR="002F29A3" w:rsidRDefault="002F29A3" w:rsidP="002F29A3">
      <w:pPr>
        <w:pStyle w:val="Paragrafoelenco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Durante la fase di test, abbiamo effettuato </w:t>
      </w:r>
      <w:r w:rsidR="00F32773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prove di caricamento di diverse immagini </w:t>
      </w:r>
      <w:r w:rsidR="005E4C07">
        <w:rPr>
          <w:rFonts w:ascii="Times New Roman" w:hAnsi="Times New Roman" w:cs="Times New Roman"/>
        </w:rPr>
        <w:t xml:space="preserve">di materiali diversi (Plastica, Carta, Vetro). </w:t>
      </w:r>
      <w:proofErr w:type="spellStart"/>
      <w:r w:rsidR="005E4C07">
        <w:rPr>
          <w:rFonts w:ascii="Times New Roman" w:hAnsi="Times New Roman" w:cs="Times New Roman"/>
        </w:rPr>
        <w:t>DifferentIAtor</w:t>
      </w:r>
      <w:proofErr w:type="spellEnd"/>
      <w:r w:rsidR="005E4C07">
        <w:rPr>
          <w:rFonts w:ascii="Times New Roman" w:hAnsi="Times New Roman" w:cs="Times New Roman"/>
        </w:rPr>
        <w:t xml:space="preserve"> è riuscito a distinguere la giusta tipologia di rifiuto nel 100% delle prove.</w:t>
      </w:r>
      <w:r w:rsidR="005E4C07">
        <w:rPr>
          <w:rFonts w:ascii="Times New Roman" w:hAnsi="Times New Roman" w:cs="Times New Roman"/>
        </w:rPr>
        <w:tab/>
      </w:r>
      <w:r w:rsidR="005E4C07">
        <w:rPr>
          <w:rFonts w:ascii="Times New Roman" w:hAnsi="Times New Roman" w:cs="Times New Roman"/>
        </w:rPr>
        <w:tab/>
      </w:r>
    </w:p>
    <w:p w14:paraId="6D1F2652" w14:textId="5002278A" w:rsidR="005E4C07" w:rsidRPr="005E4C07" w:rsidRDefault="005E4C07" w:rsidP="005E4C07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E4C07">
        <w:rPr>
          <w:rFonts w:ascii="Times New Roman" w:hAnsi="Times New Roman" w:cs="Times New Roman"/>
        </w:rPr>
        <w:t>Creazione di un sistema di riconoscimento alternativo che associa il codice del rifiuto al contenitore di destinazione.</w:t>
      </w:r>
    </w:p>
    <w:p w14:paraId="118FA38E" w14:textId="629B4026" w:rsidR="005E4C07" w:rsidRDefault="005E4C07" w:rsidP="005E4C07">
      <w:pPr>
        <w:pStyle w:val="Paragrafoelenco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Durante i test abbiamo potuto confermare il corretto funzionamento del sistema di riconoscimento del rifiuto, che ha associato correttamente il codice rifiuto al proprio contenitore per lo smaltimento nel 100% dei casi.</w:t>
      </w:r>
      <w:r w:rsidR="00F32773">
        <w:rPr>
          <w:rFonts w:ascii="Times New Roman" w:hAnsi="Times New Roman" w:cs="Times New Roman"/>
        </w:rPr>
        <w:tab/>
      </w:r>
    </w:p>
    <w:p w14:paraId="7F33EB0E" w14:textId="683BD314" w:rsidR="00F32773" w:rsidRDefault="00F32773" w:rsidP="00F32773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32773">
        <w:rPr>
          <w:rFonts w:ascii="Times New Roman" w:hAnsi="Times New Roman" w:cs="Times New Roman"/>
        </w:rPr>
        <w:t>Il risultato deve essere fornito entro 5 secondi dal momento in cui l’utente fornisce il dato in input.</w:t>
      </w:r>
    </w:p>
    <w:p w14:paraId="20136B2C" w14:textId="5F238B56" w:rsidR="00C24853" w:rsidRPr="006B4B7F" w:rsidRDefault="00C24853" w:rsidP="006B4B7F">
      <w:pPr>
        <w:pStyle w:val="Paragrafoelenco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fase di testing, sono state effettuate 50 prove di caricamento di immagini in modo cronometrando il tempo di risposta. Il tempo medio è stato di 3,7 secondi con tempi massimi nelle prime chiamate a Vertex AI a causa di un fenomeno di </w:t>
      </w:r>
      <w:proofErr w:type="spellStart"/>
      <w:r w:rsidRPr="00C24853">
        <w:rPr>
          <w:rFonts w:ascii="Times New Roman" w:hAnsi="Times New Roman" w:cs="Times New Roman"/>
          <w:i/>
          <w:iCs/>
        </w:rPr>
        <w:t>Cold</w:t>
      </w:r>
      <w:proofErr w:type="spellEnd"/>
      <w:r w:rsidRPr="00C24853">
        <w:rPr>
          <w:rFonts w:ascii="Times New Roman" w:hAnsi="Times New Roman" w:cs="Times New Roman"/>
          <w:i/>
          <w:iCs/>
        </w:rPr>
        <w:t xml:space="preserve"> Start</w:t>
      </w:r>
      <w:r>
        <w:rPr>
          <w:noProof/>
        </w:rPr>
        <w:drawing>
          <wp:inline distT="0" distB="0" distL="0" distR="0" wp14:anchorId="5133BBB5" wp14:editId="1AAC6409">
            <wp:extent cx="4073857" cy="2013044"/>
            <wp:effectExtent l="0" t="0" r="3175" b="6350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4259CAD" w14:textId="4E7628BA" w:rsidR="00F32773" w:rsidRDefault="00F32773" w:rsidP="00F32773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32773">
        <w:rPr>
          <w:rFonts w:ascii="Times New Roman" w:hAnsi="Times New Roman" w:cs="Times New Roman"/>
        </w:rPr>
        <w:t xml:space="preserve">Il dataset IA deve raggiungere un grado di </w:t>
      </w:r>
      <w:r w:rsidR="005F4B1A">
        <w:rPr>
          <w:rFonts w:ascii="Times New Roman" w:hAnsi="Times New Roman" w:cs="Times New Roman"/>
        </w:rPr>
        <w:t>precisione</w:t>
      </w:r>
      <w:r w:rsidRPr="00F32773">
        <w:rPr>
          <w:rFonts w:ascii="Times New Roman" w:hAnsi="Times New Roman" w:cs="Times New Roman"/>
        </w:rPr>
        <w:t xml:space="preserve"> dell’80%.</w:t>
      </w:r>
    </w:p>
    <w:p w14:paraId="2605417C" w14:textId="74880D1D" w:rsidR="005F4B1A" w:rsidRPr="00F32773" w:rsidRDefault="006B4B7F" w:rsidP="005F4B1A">
      <w:pPr>
        <w:pStyle w:val="Paragrafoelenco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CF815AE" wp14:editId="226C00A8">
            <wp:simplePos x="0" y="0"/>
            <wp:positionH relativeFrom="margin">
              <wp:align>right</wp:align>
            </wp:positionH>
            <wp:positionV relativeFrom="paragraph">
              <wp:posOffset>2503</wp:posOffset>
            </wp:positionV>
            <wp:extent cx="1630680" cy="1217930"/>
            <wp:effectExtent l="0" t="0" r="7620" b="1270"/>
            <wp:wrapSquare wrapText="bothSides"/>
            <wp:docPr id="2" name="Immagine 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B1A">
        <w:rPr>
          <w:rFonts w:ascii="Times New Roman" w:hAnsi="Times New Roman" w:cs="Times New Roman"/>
        </w:rPr>
        <w:t>Dopo la fine del training, il test del Dataset ha restituito un grado di precisione del 89,4%</w:t>
      </w:r>
      <w:r>
        <w:rPr>
          <w:rFonts w:ascii="Times New Roman" w:hAnsi="Times New Roman" w:cs="Times New Roman"/>
        </w:rPr>
        <w:t>, risultando migliore dei risultati attesi</w:t>
      </w:r>
    </w:p>
    <w:p w14:paraId="34CE8CF2" w14:textId="2461EEE5" w:rsidR="00F32773" w:rsidRDefault="00F32773" w:rsidP="00F32773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32773">
        <w:rPr>
          <w:rFonts w:ascii="Times New Roman" w:hAnsi="Times New Roman" w:cs="Times New Roman"/>
        </w:rPr>
        <w:t>L’interfaccia deve essere molto semplice e intuitiva.</w:t>
      </w:r>
    </w:p>
    <w:p w14:paraId="5C169411" w14:textId="3A373606" w:rsidR="006B4B7F" w:rsidRPr="00F32773" w:rsidRDefault="006B4B7F" w:rsidP="006B4B7F">
      <w:pPr>
        <w:pStyle w:val="Paragrafoelenco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B4B7F">
        <w:rPr>
          <w:rFonts w:ascii="Times New Roman" w:hAnsi="Times New Roman" w:cs="Times New Roman"/>
        </w:rPr>
        <w:t>Durante le visite degli utenti, l’app si è dimostrata di immediato utilizzo.</w:t>
      </w:r>
    </w:p>
    <w:p w14:paraId="2AD6216E" w14:textId="551ED5B1" w:rsidR="00F32773" w:rsidRDefault="00F32773" w:rsidP="00F32773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Portabilità su ogni dispositivo</w:t>
      </w:r>
    </w:p>
    <w:p w14:paraId="15FB5964" w14:textId="77777777" w:rsidR="00313B7F" w:rsidRDefault="006B4B7F" w:rsidP="006B4B7F">
      <w:pPr>
        <w:pStyle w:val="Paragrafoelenco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fase di </w:t>
      </w:r>
      <w:proofErr w:type="spellStart"/>
      <w:r>
        <w:rPr>
          <w:rFonts w:ascii="Times New Roman" w:hAnsi="Times New Roman" w:cs="Times New Roman"/>
        </w:rPr>
        <w:t>tests</w:t>
      </w:r>
      <w:proofErr w:type="spellEnd"/>
      <w:r w:rsidR="00313B7F">
        <w:rPr>
          <w:rFonts w:ascii="Times New Roman" w:hAnsi="Times New Roman" w:cs="Times New Roman"/>
        </w:rPr>
        <w:t>, l’accesso dall’app è stato provato da Sistemi Operativi di diverso tipo (Windows, iOS, Android) e da diversi browsers (Opera, Google Chrome, Safari) risultando sempre operativo in tutte le sue funzionalità</w:t>
      </w:r>
    </w:p>
    <w:p w14:paraId="1AF8DAD8" w14:textId="07A66EC5" w:rsidR="006B4B7F" w:rsidRDefault="00313B7F" w:rsidP="00313B7F">
      <w:pPr>
        <w:jc w:val="both"/>
        <w:rPr>
          <w:rFonts w:ascii="Times New Roman" w:hAnsi="Times New Roman" w:cs="Times New Roman"/>
        </w:rPr>
      </w:pPr>
      <w:r w:rsidRPr="00313B7F">
        <w:rPr>
          <w:rFonts w:ascii="Times New Roman" w:hAnsi="Times New Roman" w:cs="Times New Roman"/>
        </w:rPr>
        <w:t xml:space="preserve"> </w:t>
      </w:r>
    </w:p>
    <w:p w14:paraId="16F4394F" w14:textId="324758F4" w:rsidR="00313B7F" w:rsidRDefault="00313B7F" w:rsidP="00313B7F">
      <w:pPr>
        <w:jc w:val="both"/>
        <w:rPr>
          <w:rFonts w:ascii="Times New Roman" w:hAnsi="Times New Roman" w:cs="Times New Roman"/>
        </w:rPr>
      </w:pPr>
    </w:p>
    <w:p w14:paraId="257B53E3" w14:textId="074DEEFB" w:rsidR="00313B7F" w:rsidRDefault="00313B7F" w:rsidP="00313B7F">
      <w:pPr>
        <w:jc w:val="both"/>
        <w:rPr>
          <w:rFonts w:ascii="Times New Roman" w:hAnsi="Times New Roman" w:cs="Times New Roman"/>
        </w:rPr>
      </w:pPr>
    </w:p>
    <w:p w14:paraId="53D5B98C" w14:textId="054914D2" w:rsidR="00313B7F" w:rsidRPr="00570F4A" w:rsidRDefault="00313B7F" w:rsidP="00570F4A">
      <w:pPr>
        <w:jc w:val="center"/>
        <w:rPr>
          <w:rFonts w:ascii="Times New Roman" w:hAnsi="Times New Roman" w:cs="Times New Roman"/>
          <w:sz w:val="32"/>
          <w:szCs w:val="32"/>
        </w:rPr>
      </w:pPr>
      <w:r w:rsidRPr="00570F4A">
        <w:rPr>
          <w:rFonts w:ascii="Times New Roman" w:hAnsi="Times New Roman" w:cs="Times New Roman"/>
          <w:sz w:val="32"/>
          <w:szCs w:val="32"/>
        </w:rPr>
        <w:lastRenderedPageBreak/>
        <w:t>Business Report</w:t>
      </w:r>
    </w:p>
    <w:p w14:paraId="5FB0717D" w14:textId="4DEB7629" w:rsidR="00313B7F" w:rsidRDefault="00570F4A" w:rsidP="00313B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seguito all’analisi di mercato</w:t>
      </w:r>
      <w:r w:rsidR="007651C5">
        <w:rPr>
          <w:rFonts w:ascii="Times New Roman" w:hAnsi="Times New Roman" w:cs="Times New Roman"/>
        </w:rPr>
        <w:t xml:space="preserve">, in cui è stato deciso di dare al progetto </w:t>
      </w:r>
      <w:r w:rsidR="00E907C0">
        <w:rPr>
          <w:rFonts w:ascii="Times New Roman" w:hAnsi="Times New Roman" w:cs="Times New Roman"/>
        </w:rPr>
        <w:t>un’impronta</w:t>
      </w:r>
      <w:r w:rsidR="007651C5">
        <w:rPr>
          <w:rFonts w:ascii="Times New Roman" w:hAnsi="Times New Roman" w:cs="Times New Roman"/>
        </w:rPr>
        <w:t xml:space="preserve"> green, creando </w:t>
      </w:r>
      <w:r w:rsidR="00E907C0">
        <w:rPr>
          <w:rFonts w:ascii="Times New Roman" w:hAnsi="Times New Roman" w:cs="Times New Roman"/>
        </w:rPr>
        <w:t>un’applicazione</w:t>
      </w:r>
      <w:r w:rsidR="007651C5">
        <w:rPr>
          <w:rFonts w:ascii="Times New Roman" w:hAnsi="Times New Roman" w:cs="Times New Roman"/>
        </w:rPr>
        <w:t xml:space="preserve"> che sensibilizzasse la Raccolta Differenziata, attraverso l’utilizzo dell’intelligenza artificiale, è stato chiaro </w:t>
      </w:r>
      <w:r w:rsidR="00724F36">
        <w:rPr>
          <w:rFonts w:ascii="Times New Roman" w:hAnsi="Times New Roman" w:cs="Times New Roman"/>
        </w:rPr>
        <w:t xml:space="preserve">che </w:t>
      </w:r>
      <w:r w:rsidR="00E907C0">
        <w:rPr>
          <w:rFonts w:ascii="Times New Roman" w:hAnsi="Times New Roman" w:cs="Times New Roman"/>
        </w:rPr>
        <w:t xml:space="preserve">la Web App avrebbe sostenuto i costi di gestione, solamente nel caso dell’acquisto da parte di un acquirente. </w:t>
      </w:r>
    </w:p>
    <w:p w14:paraId="5D20E520" w14:textId="6EAA4D01" w:rsidR="00E907C0" w:rsidRDefault="005062B0" w:rsidP="00313B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4C4193C" wp14:editId="5C7DCEAF">
            <wp:simplePos x="0" y="0"/>
            <wp:positionH relativeFrom="margin">
              <wp:posOffset>2831910</wp:posOffset>
            </wp:positionH>
            <wp:positionV relativeFrom="paragraph">
              <wp:posOffset>596588</wp:posOffset>
            </wp:positionV>
            <wp:extent cx="3343275" cy="1062990"/>
            <wp:effectExtent l="0" t="0" r="9525" b="381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7C0">
        <w:rPr>
          <w:rFonts w:ascii="Times New Roman" w:hAnsi="Times New Roman" w:cs="Times New Roman"/>
        </w:rPr>
        <w:t xml:space="preserve">D’altra parte, pur essendo stata fatta, in fase di sviluppo, la scelta di utilizzare framework gratuiti come </w:t>
      </w:r>
      <w:proofErr w:type="spellStart"/>
      <w:r w:rsidR="00E907C0">
        <w:rPr>
          <w:rFonts w:ascii="Times New Roman" w:hAnsi="Times New Roman" w:cs="Times New Roman"/>
        </w:rPr>
        <w:t>Vaadin</w:t>
      </w:r>
      <w:proofErr w:type="spellEnd"/>
      <w:r w:rsidR="00E907C0">
        <w:rPr>
          <w:rFonts w:ascii="Times New Roman" w:hAnsi="Times New Roman" w:cs="Times New Roman"/>
        </w:rPr>
        <w:t xml:space="preserve">, l’utilizzo di alcuni servizi della Google Cloud Platform tra cui l’ Intelligenza Artificiale Vertex AI e Cloud </w:t>
      </w:r>
      <w:proofErr w:type="spellStart"/>
      <w:r w:rsidR="00E907C0">
        <w:rPr>
          <w:rFonts w:ascii="Times New Roman" w:hAnsi="Times New Roman" w:cs="Times New Roman"/>
        </w:rPr>
        <w:t>Run</w:t>
      </w:r>
      <w:proofErr w:type="spellEnd"/>
      <w:r w:rsidR="00E907C0">
        <w:rPr>
          <w:rFonts w:ascii="Times New Roman" w:hAnsi="Times New Roman" w:cs="Times New Roman"/>
        </w:rPr>
        <w:t xml:space="preserve">, quest’ultimo utilizzato per </w:t>
      </w:r>
      <w:proofErr w:type="spellStart"/>
      <w:r w:rsidR="00E907C0">
        <w:rPr>
          <w:rFonts w:ascii="Times New Roman" w:hAnsi="Times New Roman" w:cs="Times New Roman"/>
        </w:rPr>
        <w:t>deployare</w:t>
      </w:r>
      <w:proofErr w:type="spellEnd"/>
      <w:r w:rsidR="00E907C0">
        <w:rPr>
          <w:rFonts w:ascii="Times New Roman" w:hAnsi="Times New Roman" w:cs="Times New Roman"/>
        </w:rPr>
        <w:t xml:space="preserve"> l’applicazione online, ha comportato dei costi.</w:t>
      </w:r>
    </w:p>
    <w:p w14:paraId="65F9BBD4" w14:textId="2117CFD6" w:rsidR="005062B0" w:rsidRDefault="005062B0" w:rsidP="00313B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particolare, il costo mensile previsto per tenere l’applicazione attiva, ipotizzando una media di 100 </w:t>
      </w:r>
      <w:proofErr w:type="spellStart"/>
      <w:r>
        <w:rPr>
          <w:rFonts w:ascii="Times New Roman" w:hAnsi="Times New Roman" w:cs="Times New Roman"/>
        </w:rPr>
        <w:t>requests</w:t>
      </w:r>
      <w:proofErr w:type="spellEnd"/>
      <w:r>
        <w:rPr>
          <w:rFonts w:ascii="Times New Roman" w:hAnsi="Times New Roman" w:cs="Times New Roman"/>
        </w:rPr>
        <w:t xml:space="preserve"> al giorno è di 71,7€, che si divide tra 8,69€ per Cloud </w:t>
      </w:r>
      <w:proofErr w:type="spellStart"/>
      <w:r>
        <w:rPr>
          <w:rFonts w:ascii="Times New Roman" w:hAnsi="Times New Roman" w:cs="Times New Roman"/>
        </w:rPr>
        <w:t>Run</w:t>
      </w:r>
      <w:proofErr w:type="spellEnd"/>
      <w:r>
        <w:rPr>
          <w:rFonts w:ascii="Times New Roman" w:hAnsi="Times New Roman" w:cs="Times New Roman"/>
        </w:rPr>
        <w:t xml:space="preserve"> e 63,01€ per Vertex AI.</w:t>
      </w:r>
    </w:p>
    <w:p w14:paraId="06C7B78A" w14:textId="71C6B212" w:rsidR="00E907C0" w:rsidRPr="00313B7F" w:rsidRDefault="00E907C0" w:rsidP="00313B7F">
      <w:pPr>
        <w:jc w:val="both"/>
        <w:rPr>
          <w:rFonts w:ascii="Times New Roman" w:hAnsi="Times New Roman" w:cs="Times New Roman"/>
        </w:rPr>
      </w:pPr>
    </w:p>
    <w:sectPr w:rsidR="00E907C0" w:rsidRPr="00313B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F2582"/>
    <w:multiLevelType w:val="hybridMultilevel"/>
    <w:tmpl w:val="9D8A48E6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43100"/>
    <w:multiLevelType w:val="hybridMultilevel"/>
    <w:tmpl w:val="FC4212B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71"/>
    <w:rsid w:val="000A6486"/>
    <w:rsid w:val="00110E58"/>
    <w:rsid w:val="00157789"/>
    <w:rsid w:val="001B0017"/>
    <w:rsid w:val="001C4BDA"/>
    <w:rsid w:val="002366D0"/>
    <w:rsid w:val="002C0E65"/>
    <w:rsid w:val="002F29A3"/>
    <w:rsid w:val="00313B7F"/>
    <w:rsid w:val="00324EDC"/>
    <w:rsid w:val="003F10DB"/>
    <w:rsid w:val="003F7D52"/>
    <w:rsid w:val="00454645"/>
    <w:rsid w:val="004A3171"/>
    <w:rsid w:val="004C1010"/>
    <w:rsid w:val="005062B0"/>
    <w:rsid w:val="00560EB2"/>
    <w:rsid w:val="00570F4A"/>
    <w:rsid w:val="00573402"/>
    <w:rsid w:val="005B023D"/>
    <w:rsid w:val="005E4C07"/>
    <w:rsid w:val="005F3C32"/>
    <w:rsid w:val="005F4B1A"/>
    <w:rsid w:val="0060676A"/>
    <w:rsid w:val="00646DDC"/>
    <w:rsid w:val="006A043E"/>
    <w:rsid w:val="006A5CE3"/>
    <w:rsid w:val="006B4B7F"/>
    <w:rsid w:val="006B5EC8"/>
    <w:rsid w:val="00707E2A"/>
    <w:rsid w:val="00723241"/>
    <w:rsid w:val="00724F36"/>
    <w:rsid w:val="007651C5"/>
    <w:rsid w:val="007758A4"/>
    <w:rsid w:val="007959E1"/>
    <w:rsid w:val="007A131E"/>
    <w:rsid w:val="008310FE"/>
    <w:rsid w:val="00837134"/>
    <w:rsid w:val="008859D6"/>
    <w:rsid w:val="008C53B2"/>
    <w:rsid w:val="008D7F4D"/>
    <w:rsid w:val="0092084B"/>
    <w:rsid w:val="0097011C"/>
    <w:rsid w:val="00975463"/>
    <w:rsid w:val="009A1056"/>
    <w:rsid w:val="009E09F3"/>
    <w:rsid w:val="00A46C32"/>
    <w:rsid w:val="00B85F27"/>
    <w:rsid w:val="00BB7150"/>
    <w:rsid w:val="00BE404E"/>
    <w:rsid w:val="00C24853"/>
    <w:rsid w:val="00C30082"/>
    <w:rsid w:val="00C717D5"/>
    <w:rsid w:val="00CA5CC6"/>
    <w:rsid w:val="00CC7C36"/>
    <w:rsid w:val="00CD7CC3"/>
    <w:rsid w:val="00CE3D25"/>
    <w:rsid w:val="00CF1EE0"/>
    <w:rsid w:val="00D61A68"/>
    <w:rsid w:val="00E10E51"/>
    <w:rsid w:val="00E34BE2"/>
    <w:rsid w:val="00E907C0"/>
    <w:rsid w:val="00EB5FF4"/>
    <w:rsid w:val="00F32773"/>
    <w:rsid w:val="00F92983"/>
    <w:rsid w:val="00FA3584"/>
    <w:rsid w:val="00FD564F"/>
    <w:rsid w:val="00FD6BAC"/>
    <w:rsid w:val="00FE23E7"/>
    <w:rsid w:val="00FE3B4F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8D19C"/>
  <w15:chartTrackingRefBased/>
  <w15:docId w15:val="{00219376-0B13-954C-BEA0-258102C7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3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Tempi in secondi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Foglio1!$A$3:$A$51</c:f>
              <c:strCache>
                <c:ptCount val="49"/>
                <c:pt idx="0">
                  <c:v>Prova 2</c:v>
                </c:pt>
                <c:pt idx="1">
                  <c:v>Prova 3</c:v>
                </c:pt>
                <c:pt idx="2">
                  <c:v>Prova 4</c:v>
                </c:pt>
                <c:pt idx="3">
                  <c:v>Prova 5</c:v>
                </c:pt>
                <c:pt idx="4">
                  <c:v>Prova 6</c:v>
                </c:pt>
                <c:pt idx="5">
                  <c:v>Prova 7</c:v>
                </c:pt>
                <c:pt idx="6">
                  <c:v>Prova 8</c:v>
                </c:pt>
                <c:pt idx="7">
                  <c:v>Prova 9</c:v>
                </c:pt>
                <c:pt idx="8">
                  <c:v>Prova 10</c:v>
                </c:pt>
                <c:pt idx="9">
                  <c:v>Prova 11</c:v>
                </c:pt>
                <c:pt idx="10">
                  <c:v>Prova 12</c:v>
                </c:pt>
                <c:pt idx="11">
                  <c:v>Prova 13</c:v>
                </c:pt>
                <c:pt idx="12">
                  <c:v>Prova 14</c:v>
                </c:pt>
                <c:pt idx="13">
                  <c:v>Prova 15</c:v>
                </c:pt>
                <c:pt idx="14">
                  <c:v>Prova 16</c:v>
                </c:pt>
                <c:pt idx="15">
                  <c:v>Prova 17</c:v>
                </c:pt>
                <c:pt idx="16">
                  <c:v>Prova 18</c:v>
                </c:pt>
                <c:pt idx="17">
                  <c:v>Prova 19</c:v>
                </c:pt>
                <c:pt idx="18">
                  <c:v>Prova 20</c:v>
                </c:pt>
                <c:pt idx="19">
                  <c:v>Prova 21</c:v>
                </c:pt>
                <c:pt idx="20">
                  <c:v>Prova 22</c:v>
                </c:pt>
                <c:pt idx="21">
                  <c:v>Prova 23</c:v>
                </c:pt>
                <c:pt idx="22">
                  <c:v>Prova 24</c:v>
                </c:pt>
                <c:pt idx="23">
                  <c:v>Prova 25</c:v>
                </c:pt>
                <c:pt idx="24">
                  <c:v>Prova 26</c:v>
                </c:pt>
                <c:pt idx="25">
                  <c:v>Prova 27</c:v>
                </c:pt>
                <c:pt idx="26">
                  <c:v>Prova 28</c:v>
                </c:pt>
                <c:pt idx="27">
                  <c:v>Prova 29</c:v>
                </c:pt>
                <c:pt idx="28">
                  <c:v>Prova 30</c:v>
                </c:pt>
                <c:pt idx="29">
                  <c:v>Prova 31</c:v>
                </c:pt>
                <c:pt idx="30">
                  <c:v>Prova 32</c:v>
                </c:pt>
                <c:pt idx="31">
                  <c:v>Prova 33</c:v>
                </c:pt>
                <c:pt idx="32">
                  <c:v>Prova 34</c:v>
                </c:pt>
                <c:pt idx="33">
                  <c:v>Prova 35</c:v>
                </c:pt>
                <c:pt idx="34">
                  <c:v>Prova 36</c:v>
                </c:pt>
                <c:pt idx="35">
                  <c:v>Prova 37</c:v>
                </c:pt>
                <c:pt idx="36">
                  <c:v>Prova 38</c:v>
                </c:pt>
                <c:pt idx="37">
                  <c:v>Prova 39</c:v>
                </c:pt>
                <c:pt idx="38">
                  <c:v>Prova 40</c:v>
                </c:pt>
                <c:pt idx="39">
                  <c:v>Prova 41</c:v>
                </c:pt>
                <c:pt idx="40">
                  <c:v>Prova 42</c:v>
                </c:pt>
                <c:pt idx="41">
                  <c:v>Prova 43</c:v>
                </c:pt>
                <c:pt idx="42">
                  <c:v>Prova 44</c:v>
                </c:pt>
                <c:pt idx="43">
                  <c:v>Prova 45</c:v>
                </c:pt>
                <c:pt idx="44">
                  <c:v>Prova 46</c:v>
                </c:pt>
                <c:pt idx="45">
                  <c:v>Prova 47</c:v>
                </c:pt>
                <c:pt idx="46">
                  <c:v>Prova 48</c:v>
                </c:pt>
                <c:pt idx="47">
                  <c:v>Prova 49</c:v>
                </c:pt>
                <c:pt idx="48">
                  <c:v>Prova 50</c:v>
                </c:pt>
              </c:strCache>
            </c:strRef>
          </c:cat>
          <c:val>
            <c:numRef>
              <c:f>Foglio1!$B$3:$B$51</c:f>
              <c:numCache>
                <c:formatCode>General</c:formatCode>
                <c:ptCount val="49"/>
                <c:pt idx="0">
                  <c:v>4.9000000000000004</c:v>
                </c:pt>
                <c:pt idx="1">
                  <c:v>4</c:v>
                </c:pt>
                <c:pt idx="2">
                  <c:v>5.53</c:v>
                </c:pt>
                <c:pt idx="3">
                  <c:v>3.93</c:v>
                </c:pt>
                <c:pt idx="4">
                  <c:v>2.9</c:v>
                </c:pt>
                <c:pt idx="5">
                  <c:v>3.37</c:v>
                </c:pt>
                <c:pt idx="6">
                  <c:v>2.0499999999999998</c:v>
                </c:pt>
                <c:pt idx="7">
                  <c:v>1.57</c:v>
                </c:pt>
                <c:pt idx="8">
                  <c:v>4.4800000000000004</c:v>
                </c:pt>
                <c:pt idx="9">
                  <c:v>2.4900000000000002</c:v>
                </c:pt>
                <c:pt idx="10">
                  <c:v>1.02</c:v>
                </c:pt>
                <c:pt idx="11">
                  <c:v>3.49</c:v>
                </c:pt>
                <c:pt idx="12">
                  <c:v>4.0599999999999996</c:v>
                </c:pt>
                <c:pt idx="13">
                  <c:v>4.21</c:v>
                </c:pt>
                <c:pt idx="14">
                  <c:v>3.72</c:v>
                </c:pt>
                <c:pt idx="15">
                  <c:v>3.95</c:v>
                </c:pt>
                <c:pt idx="16">
                  <c:v>4.9800000000000004</c:v>
                </c:pt>
                <c:pt idx="17">
                  <c:v>2.39</c:v>
                </c:pt>
                <c:pt idx="18">
                  <c:v>3.92</c:v>
                </c:pt>
                <c:pt idx="19">
                  <c:v>3.11</c:v>
                </c:pt>
                <c:pt idx="20">
                  <c:v>1.69</c:v>
                </c:pt>
                <c:pt idx="21">
                  <c:v>2.4700000000000002</c:v>
                </c:pt>
                <c:pt idx="22">
                  <c:v>3.34</c:v>
                </c:pt>
                <c:pt idx="23">
                  <c:v>1.1200000000000001</c:v>
                </c:pt>
                <c:pt idx="24">
                  <c:v>1.24</c:v>
                </c:pt>
                <c:pt idx="25">
                  <c:v>2.31</c:v>
                </c:pt>
                <c:pt idx="26">
                  <c:v>4.88</c:v>
                </c:pt>
                <c:pt idx="27">
                  <c:v>3.21</c:v>
                </c:pt>
                <c:pt idx="28">
                  <c:v>3.17</c:v>
                </c:pt>
                <c:pt idx="29">
                  <c:v>4.51</c:v>
                </c:pt>
                <c:pt idx="30">
                  <c:v>4.3499999999999996</c:v>
                </c:pt>
                <c:pt idx="31">
                  <c:v>2.81</c:v>
                </c:pt>
                <c:pt idx="32">
                  <c:v>2.5499999999999998</c:v>
                </c:pt>
                <c:pt idx="33">
                  <c:v>2</c:v>
                </c:pt>
                <c:pt idx="34">
                  <c:v>1.95</c:v>
                </c:pt>
                <c:pt idx="35">
                  <c:v>1.25</c:v>
                </c:pt>
                <c:pt idx="36">
                  <c:v>2.75</c:v>
                </c:pt>
                <c:pt idx="37">
                  <c:v>1.97</c:v>
                </c:pt>
                <c:pt idx="38">
                  <c:v>2.59</c:v>
                </c:pt>
                <c:pt idx="39">
                  <c:v>2.58</c:v>
                </c:pt>
                <c:pt idx="40">
                  <c:v>3.16</c:v>
                </c:pt>
                <c:pt idx="41">
                  <c:v>2.87</c:v>
                </c:pt>
                <c:pt idx="42">
                  <c:v>1.9</c:v>
                </c:pt>
                <c:pt idx="43">
                  <c:v>1.27</c:v>
                </c:pt>
                <c:pt idx="44">
                  <c:v>3.05</c:v>
                </c:pt>
                <c:pt idx="45">
                  <c:v>4.9400000000000004</c:v>
                </c:pt>
                <c:pt idx="46">
                  <c:v>1.65</c:v>
                </c:pt>
                <c:pt idx="47">
                  <c:v>2.72</c:v>
                </c:pt>
                <c:pt idx="48">
                  <c:v>1.89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7D-41EA-9D1F-BD4712B6E6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8253904"/>
        <c:axId val="1728253488"/>
      </c:lineChart>
      <c:catAx>
        <c:axId val="1728253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728253488"/>
        <c:crosses val="autoZero"/>
        <c:auto val="1"/>
        <c:lblAlgn val="ctr"/>
        <c:lblOffset val="100"/>
        <c:noMultiLvlLbl val="0"/>
      </c:catAx>
      <c:valAx>
        <c:axId val="1728253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728253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GIANMARIO DE CAROLIS</dc:creator>
  <cp:keywords/>
  <dc:description/>
  <cp:lastModifiedBy>Gianmario De Carolis</cp:lastModifiedBy>
  <cp:revision>5</cp:revision>
  <dcterms:created xsi:type="dcterms:W3CDTF">2022-01-25T13:54:00Z</dcterms:created>
  <dcterms:modified xsi:type="dcterms:W3CDTF">2022-01-29T17:25:00Z</dcterms:modified>
</cp:coreProperties>
</file>