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Harness Design Checklist</w:t>
      </w:r>
    </w:p>
    <w:p>
      <w:pPr/>
      <w:r>
        <w:t xml:space="preserve">Sep 22, 2026</w:t>
      </w:r>
    </w:p>
    <w:p>
      <w:pPr/>
      <w:r>
        <w:t xml:space="preserve">This is a selection checklist, not a spec draft. Each section lists concrete options for one harness design axis — check what fits, strike what doesn't, note open questions inline. Once every section has a selection, the checked items become the input to an actual spec document. Sections 1–3 cover the model-alignment layer that caused the original tool-call failure; sections 4–12 cover the rest of the harness surface, mapped from the eleven-component taxonomy (arXiv:2605.13357) and the five empirical design dimensions (arXiv:2604.18071); section 13 is the explicit fluff filter for scope exclusions.</w:t>
      </w:r>
    </w:p>
    <w:p>
      <w:pPr/>
      <w:r>
        <w:rPr>
          <w:b/>
        </w:rPr>
        <w:t xml:space="preserve">Repos battle-tested against this checklist so far</w:t>
      </w:r>
      <w:r>
        <w:t xml:space="preserve"> (see the category-check subsection near the end for what each type means):</w:t>
      </w:r>
    </w:p>
    <w:p>
      <w:pPr>
        <w:pStyle w:val="ListParagraph"/>
        <w:numPr>
          <w:ilvl w:val="0"/>
          <w:numId w:val="2"/>
        </w:numPr>
      </w:pPr>
      <w:hyperlink r:id="rId3" w:history="1">
        <w:r>
          <w:rPr>
            <w:rStyle w:val="Hyperlink"/>
          </w:rPr>
          <w:t xml:space="preserve">openai/codex</w:t>
        </w:r>
      </w:hyperlink>
      <w:r>
        <w:t xml:space="preserve"> — harness proper</w:t>
      </w:r>
    </w:p>
    <w:p>
      <w:pPr>
        <w:pStyle w:val="ListParagraph"/>
        <w:numPr>
          <w:ilvl w:val="0"/>
          <w:numId w:val="2"/>
        </w:numPr>
      </w:pPr>
      <w:hyperlink r:id="rId4" w:history="1">
        <w:r>
          <w:rPr>
            <w:rStyle w:val="Hyperlink"/>
          </w:rPr>
          <w:t xml:space="preserve">anthropics/claude-code</w:t>
        </w:r>
      </w:hyperlink>
      <w:r>
        <w:t xml:space="preserve"> — harness proper</w:t>
      </w:r>
    </w:p>
    <w:p>
      <w:pPr>
        <w:pStyle w:val="ListParagraph"/>
        <w:numPr>
          <w:ilvl w:val="0"/>
          <w:numId w:val="2"/>
        </w:numPr>
      </w:pPr>
      <w:hyperlink r:id="rId5" w:history="1">
        <w:r>
          <w:rPr>
            <w:rStyle w:val="Hyperlink"/>
          </w:rPr>
          <w:t xml:space="preserve">earendil-works/pi</w:t>
        </w:r>
      </w:hyperlink>
      <w:r>
        <w:t xml:space="preserve"> — harness proper</w:t>
      </w:r>
    </w:p>
    <w:p>
      <w:pPr>
        <w:pStyle w:val="ListParagraph"/>
        <w:numPr>
          <w:ilvl w:val="0"/>
          <w:numId w:val="2"/>
        </w:numPr>
      </w:pPr>
      <w:hyperlink r:id="rId6" w:history="1">
        <w:r>
          <w:rPr>
            <w:rStyle w:val="Hyperlink"/>
          </w:rPr>
          <w:t xml:space="preserve">NousResearch/hermes-agent</w:t>
        </w:r>
      </w:hyperlink>
      <w:r>
        <w:t xml:space="preserve"> — harness proper (persistent multi-platform gateway)</w:t>
      </w:r>
    </w:p>
    <w:p>
      <w:pPr>
        <w:pStyle w:val="ListParagraph"/>
        <w:numPr>
          <w:ilvl w:val="0"/>
          <w:numId w:val="2"/>
        </w:numPr>
      </w:pPr>
      <w:hyperlink r:id="rId7" w:history="1">
        <w:r>
          <w:rPr>
            <w:rStyle w:val="Hyperlink"/>
          </w:rPr>
          <w:t xml:space="preserve">Einsia/SWE-Refactor-Bench</w:t>
        </w:r>
      </w:hyperlink>
      <w:r>
        <w:t xml:space="preserve"> — benchmark/evaluation tooling</w:t>
      </w:r>
    </w:p>
    <w:p>
      <w:pPr>
        <w:pStyle w:val="ListParagraph"/>
        <w:numPr>
          <w:ilvl w:val="0"/>
          <w:numId w:val="2"/>
        </w:numPr>
      </w:pPr>
      <w:hyperlink r:id="rId8" w:history="1">
        <w:r>
          <w:rPr>
            <w:rStyle w:val="Hyperlink"/>
          </w:rPr>
          <w:t xml:space="preserve">NVlabs/SoL-Pi</w:t>
        </w:r>
      </w:hyperlink>
      <w:r>
        <w:t xml:space="preserve"> — harness extension/plugin</w:t>
      </w:r>
    </w:p>
    <w:p>
      <w:pPr>
        <w:pStyle w:val="ListParagraph"/>
        <w:numPr>
          <w:ilvl w:val="0"/>
          <w:numId w:val="2"/>
        </w:numPr>
      </w:pPr>
      <w:hyperlink r:id="rId9" w:history="1">
        <w:r>
          <w:rPr>
            <w:rStyle w:val="Hyperlink"/>
          </w:rPr>
          <w:t xml:space="preserve">zhengkid/Dream-RSI</w:t>
        </w:r>
      </w:hyperlink>
      <w:r>
        <w:t xml:space="preserve"> — research artifact, no runnable harness in the repo</w:t>
      </w:r>
    </w:p>
    <w:p>
      <w:pPr>
        <w:pStyle w:val="ListParagraph"/>
        <w:numPr>
          <w:ilvl w:val="0"/>
          <w:numId w:val="2"/>
        </w:numPr>
      </w:pPr>
      <w:hyperlink r:id="rId10" w:history="1">
        <w:r>
          <w:rPr>
            <w:rStyle w:val="Hyperlink"/>
          </w:rPr>
          <w:t xml:space="preserve">affaan-m/ECC</w:t>
        </w:r>
      </w:hyperlink>
      <w:r>
        <w:t xml:space="preserve"> — harness extension/meta-layer spanning many host harnesses</w:t>
      </w:r>
    </w:p>
    <w:p>
      <w:pPr>
        <w:pStyle w:val="ListParagraph"/>
        <w:numPr>
          <w:ilvl w:val="0"/>
          <w:numId w:val="2"/>
        </w:numPr>
      </w:pPr>
      <w:hyperlink r:id="rId11" w:history="1">
        <w:r>
          <w:rPr>
            <w:rStyle w:val="Hyperlink"/>
          </w:rPr>
          <w:t xml:space="preserve">tinyhumansai/openhuman</w:t>
        </w:r>
      </w:hyperlink>
      <w:r>
        <w:t xml:space="preserve"> — consumer product with a harness vendored inside</w:t>
      </w:r>
    </w:p>
    <w:p>
      <w:pPr>
        <w:pStyle w:val="ListParagraph"/>
        <w:numPr>
          <w:ilvl w:val="0"/>
          <w:numId w:val="2"/>
        </w:numPr>
      </w:pPr>
      <w:hyperlink r:id="rId12" w:history="1">
        <w:r>
          <w:rPr>
            <w:rStyle w:val="Hyperlink"/>
          </w:rPr>
          <w:t xml:space="preserve">tinyhumansai/tinyagents</w:t>
        </w:r>
      </w:hyperlink>
      <w:r>
        <w:t xml:space="preserve"> — harness proper (the actual harness inside openhuman above)</w:t>
      </w:r>
    </w:p>
    <w:p>
      <w:pPr>
        <w:pStyle w:val="ListParagraph"/>
        <w:numPr>
          <w:ilvl w:val="0"/>
          <w:numId w:val="2"/>
        </w:numPr>
      </w:pPr>
      <w:hyperlink r:id="rId13" w:history="1">
        <w:r>
          <w:rPr>
            <w:rStyle w:val="Hyperlink"/>
          </w:rPr>
          <w:t xml:space="preserve">aaif-goose/goose</w:t>
        </w:r>
      </w:hyperlink>
      <w:r>
        <w:t xml:space="preserve"> — harness proper</w:t>
      </w:r>
    </w:p>
    <w:p>
      <w:pPr>
        <w:pStyle w:val="ListParagraph"/>
        <w:numPr>
          <w:ilvl w:val="0"/>
          <w:numId w:val="2"/>
        </w:numPr>
      </w:pPr>
      <w:r>
        <w:t xml:space="preserve">langchain-ai/deepagents — harness proper, with an official same-product JavaScript/TypeScript port alongside the Python original</w:t>
      </w:r>
    </w:p>
    <w:p>
      <w:pPr>
        <w:pStyle w:val="ListParagraph"/>
        <w:numPr>
          <w:ilvl w:val="0"/>
          <w:numId w:val="2"/>
        </w:numPr>
      </w:pPr>
      <w:r>
        <w:t xml:space="preserve">aaif-goose/goose — harness proper, notable for providers that themselves wrap other vendors' harnesses (ACP)</w:t>
      </w:r>
    </w:p>
    <w:p>
      <w:pPr>
        <w:pStyle w:val="ListParagraph"/>
        <w:numPr>
          <w:ilvl w:val="0"/>
          <w:numId w:val="2"/>
        </w:numPr>
      </w:pPr>
      <w:r>
        <w:t xml:space="preserve">danielmiessler/LifeOS — category 2b: a portable, harness-agnostic layer built on shared primitives (hooks, skills, context files), not a harness itself despite the tagline — its own FAQ says so directly</w:t>
      </w:r>
    </w:p>
    <w:p>
      <w:pPr>
        <w:pStyle w:val="Quote"/>
      </w:pPr>
      <w:r>
        <w:rPr>
          <w:b/>
        </w:rPr>
        <w:t xml:space="preserve">Using someone else's benchmark or test harness to evaluate a model?</w:t>
      </w:r>
      <w:r>
        <w:t xml:space="preserve"> Ask this before trusting the score: </w:t>
      </w:r>
      <w:r>
        <w:rPr>
          <w:i/>
        </w:rPr>
        <w:t xml:space="preserve">is the harness under test the same one you'll actually run in production, or a proxy harness the benchmark author picked for you?</w:t>
      </w:r>
      <w:r>
        <w:t xml:space="preserve"> Confirmed in practice — one widely-used benchmark tool ships exactly two harness adapters (a pinned Codex binary and a pinned Claude Code binary) and routes every other model family through whichever of those two it's wired to, regardless of what harness that model would actually be deployed in. A benchmark score earned under a substitute harness doesn't necessarily transfer to your real deployment, since harness choice measurably changes outcomes independent of the model — that's the premise this whole checklist is built on. A related, narrower point: benchmark adapters typically pin an exact harness </w:t>
      </w:r>
      <w:r>
        <w:rPr>
          <w:i/>
        </w:rPr>
        <w:t xml:space="preserve">version</w:t>
      </w:r>
      <w:r>
        <w:t xml:space="preserve"> (not just which harness) — a score is only valid for that frozen version, not for whatever you actually have installed.</w:t>
      </w:r>
    </w:p>
    <w:p>
      <w:pPr>
        <w:pStyle w:val="Heading2"/>
      </w:pPr>
      <w:r>
        <w:t xml:space="preserve">1. Model Alignment Profile</w:t>
      </w:r>
    </w:p>
    <w:p>
      <w:pPr/>
      <w:r>
        <w:t xml:space="preserve">This is the section that broke on you. Fill in one row per model family you intend to support — do not treat "OpenAI-compatible endpoint" as a substitute for this.</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Model family</w:t>
            </w:r>
          </w:p>
        </w:tc>
        <w:tc>
          <w:tcPr>
            <w:tcW w:w="1337" w:type="dxa"/>
            <w:shd w:val="clear" w:color="auto" w:fill="F2F2F2"/>
          </w:tcPr>
          <w:p>
            <w:pPr/>
            <w:r>
              <w:t xml:space="preserve">Wire protocol / transport</w:t>
            </w:r>
          </w:p>
        </w:tc>
        <w:tc>
          <w:tcPr>
            <w:tcW w:w="1337" w:type="dxa"/>
            <w:shd w:val="clear" w:color="auto" w:fill="F2F2F2"/>
          </w:tcPr>
          <w:p>
            <w:pPr/>
            <w:r>
              <w:t xml:space="preserve">Native tool-call encoding</w:t>
            </w:r>
          </w:p>
        </w:tc>
        <w:tc>
          <w:tcPr>
            <w:tcW w:w="1337" w:type="dxa"/>
            <w:shd w:val="clear" w:color="auto" w:fill="F2F2F2"/>
          </w:tcPr>
          <w:p>
            <w:pPr/>
            <w:r>
              <w:t xml:space="preserve">Chat template / server flag needed</w:t>
            </w:r>
          </w:p>
        </w:tc>
        <w:tc>
          <w:tcPr>
            <w:tcW w:w="1337" w:type="dxa"/>
            <w:shd w:val="clear" w:color="auto" w:fill="F2F2F2"/>
          </w:tcPr>
          <w:p>
            <w:pPr/>
            <w:r>
              <w:t xml:space="preserve">Code-edit dialect it was trained on</w:t>
            </w:r>
          </w:p>
        </w:tc>
        <w:tc>
          <w:tcPr>
            <w:tcW w:w="1337" w:type="dxa"/>
            <w:shd w:val="clear" w:color="auto" w:fill="F2F2F2"/>
          </w:tcPr>
          <w:p>
            <w:pPr/>
            <w:r>
              <w:t xml:space="preserve">Reasoning/thinking output format</w:t>
            </w:r>
          </w:p>
        </w:tc>
        <w:tc>
          <w:tcPr>
            <w:tcW w:w="1337" w:type="dxa"/>
            <w:shd w:val="clear" w:color="auto" w:fill="F2F2F2"/>
          </w:tcPr>
          <w:p>
            <w:pPr/>
            <w:r>
              <w:t xml:space="preserve">Known quirks</w:t>
            </w:r>
          </w:p>
        </w:tc>
      </w:tr>
      <w:tr>
        <w:tc>
          <w:tcPr>
            <w:tcW w:w="1337" w:type="dxa"/>
          </w:tcPr>
          <w:p>
            <w:pPr/>
            <w:r>
              <w:t xml:space="preserve">e.g. OpenAI GPT-5.x / Codex</w:t>
            </w:r>
          </w:p>
        </w:tc>
        <w:tc>
          <w:tcPr>
            <w:tcW w:w="1337" w:type="dxa"/>
          </w:tcPr>
          <w:p>
            <w:pPr/>
            <w:r>
              <w:t xml:space="preserve">Responses API (stateful, </w:t>
            </w:r>
            <w:r>
              <w:rPr>
                <w:rStyle w:val="CodeChar"/>
              </w:rPr>
              <w:t xml:space="preserve">developer</w:t>
            </w:r>
            <w:r>
              <w:t xml:space="preserve"> role)</w:t>
            </w:r>
          </w:p>
        </w:tc>
        <w:tc>
          <w:tcPr>
            <w:tcW w:w="1337" w:type="dxa"/>
          </w:tcPr>
          <w:p>
            <w:pPr/>
            <w:r>
              <w:t xml:space="preserve">native structured </w:t>
            </w:r>
            <w:r>
              <w:rPr>
                <w:rStyle w:val="CodeChar"/>
              </w:rPr>
              <w:t xml:space="preserve">tool_calls</w:t>
            </w:r>
          </w:p>
        </w:tc>
        <w:tc>
          <w:tcPr>
            <w:tcW w:w="1337" w:type="dxa"/>
          </w:tcPr>
          <w:p>
            <w:pPr/>
            <w:r>
              <w:t xml:space="preserve">n/a (first-party API)</w:t>
            </w:r>
          </w:p>
        </w:tc>
        <w:tc>
          <w:tcPr>
            <w:tcW w:w="1337" w:type="dxa"/>
          </w:tcPr>
          <w:p>
            <w:pPr/>
            <w:r>
              <w:t xml:space="preserve">V4A</w:t>
            </w:r>
          </w:p>
        </w:tc>
        <w:tc>
          <w:tcPr>
            <w:tcW w:w="1337" w:type="dxa"/>
          </w:tcPr>
          <w:p>
            <w:pPr/>
            <w:r>
              <w:t xml:space="preserve">dedicated reasoning field/summary</w:t>
            </w:r>
          </w:p>
        </w:tc>
        <w:tc>
          <w:tcPr>
            <w:tcW w:w="1337" w:type="dxa"/>
          </w:tcPr>
          <w:p>
            <w:pPr/>
            <w:r>
              <w:t xml:space="preserve">streams patch diffs incrementally</w:t>
            </w:r>
          </w:p>
        </w:tc>
      </w:tr>
      <w:tr>
        <w:tc>
          <w:tcPr>
            <w:tcW w:w="1337" w:type="dxa"/>
          </w:tcPr>
          <w:p>
            <w:pPr/>
            <w:r>
              <w:t xml:space="preserve">e.g. Hermes (NousResearch)</w:t>
            </w:r>
          </w:p>
        </w:tc>
        <w:tc>
          <w:tcPr>
            <w:tcW w:w="1337" w:type="dxa"/>
          </w:tcPr>
          <w:p>
            <w:pPr/>
            <w:r>
              <w:t xml:space="preserve">Chat Completions-style (stateless, </w:t>
            </w:r>
            <w:r>
              <w:rPr>
                <w:rStyle w:val="CodeChar"/>
              </w:rPr>
              <w:t xml:space="preserve">system</w:t>
            </w:r>
            <w:r>
              <w:t xml:space="preserve"> role)</w:t>
            </w:r>
          </w:p>
        </w:tc>
        <w:tc>
          <w:tcPr>
            <w:tcW w:w="1337" w:type="dxa"/>
          </w:tcPr>
          <w:p>
            <w:pPr/>
            <w:r>
              <w:t xml:space="preserve">XML-wrapped JSON </w:t>
            </w:r>
            <w:r>
              <w:rPr>
                <w:rStyle w:val="CodeChar"/>
              </w:rPr>
              <w:t xml:space="preserve">&lt;tool_call&gt;{...}&lt;/tool_call&gt;</w:t>
            </w:r>
          </w:p>
        </w:tc>
        <w:tc>
          <w:tcPr>
            <w:tcW w:w="1337" w:type="dxa"/>
          </w:tcPr>
          <w:p>
            <w:pPr/>
            <w:r>
              <w:t xml:space="preserve">vLLM </w:t>
            </w:r>
            <w:r>
              <w:rPr>
                <w:rStyle w:val="CodeChar"/>
              </w:rPr>
              <w:t xml:space="preserve">--tool-call-parser hermes</w:t>
            </w:r>
            <w:r>
              <w:t xml:space="preserve"> + hermes jinja template</w:t>
            </w:r>
          </w:p>
        </w:tc>
        <w:tc>
          <w:tcPr>
            <w:tcW w:w="1337" w:type="dxa"/>
          </w:tcPr>
          <w:p>
            <w:pPr/>
            <w:r>
              <w:t xml:space="preserve">none native — pick a dialect, verify compliance</w:t>
            </w:r>
          </w:p>
        </w:tc>
        <w:tc>
          <w:tcPr>
            <w:tcW w:w="1337" w:type="dxa"/>
          </w:tcPr>
          <w:p>
            <w:pPr/>
            <w:r>
              <w:t xml:space="preserve">not standardized — check model card</w:t>
            </w:r>
          </w:p>
        </w:tc>
        <w:tc>
          <w:tcPr>
            <w:tcW w:w="1337" w:type="dxa"/>
          </w:tcPr>
          <w:p>
            <w:pPr/>
            <w:r>
              <w:t xml:space="preserve">reliable only when template matches exactly</w:t>
            </w:r>
          </w:p>
        </w:tc>
      </w:tr>
      <w:tr>
        <w:tc>
          <w:tcPr>
            <w:tcW w:w="1337" w:type="dxa"/>
          </w:tcPr>
          <w:p>
            <w:pPr/>
            <w:r>
              <w:t xml:space="preserve">e.g. Qwen2.5-Coder</w:t>
            </w:r>
          </w:p>
        </w:tc>
        <w:tc>
          <w:tcPr>
            <w:tcW w:w="1337" w:type="dxa"/>
          </w:tcPr>
          <w:p>
            <w:pPr/>
            <w:r>
              <w:t xml:space="preserve">Chat Completions-style</w:t>
            </w:r>
          </w:p>
        </w:tc>
        <w:tc>
          <w:tcPr>
            <w:tcW w:w="1337" w:type="dxa"/>
          </w:tcPr>
          <w:p>
            <w:pPr/>
            <w:r>
              <w:t xml:space="preserve">fenced ```json code-block, NOT hermes format</w:t>
            </w:r>
          </w:p>
        </w:tc>
        <w:tc>
          <w:tcPr>
            <w:tcW w:w="1337" w:type="dxa"/>
          </w:tcPr>
          <w:p>
            <w:pPr/>
            <w:r>
              <w:t xml:space="preserve">needs </w:t>
            </w:r>
            <w:r>
              <w:rPr>
                <w:rStyle w:val="CodeChar"/>
              </w:rPr>
              <w:t xml:space="preserve">&lt;tools&gt;</w:t>
            </w:r>
            <w:r>
              <w:t xml:space="preserve">-tag few-shot injection, NOT </w:t>
            </w:r>
            <w:r>
              <w:rPr>
                <w:rStyle w:val="CodeChar"/>
              </w:rPr>
              <w:t xml:space="preserve">--tool-call-parser hermes</w:t>
            </w:r>
          </w:p>
        </w:tc>
        <w:tc>
          <w:tcPr>
            <w:tcW w:w="1337" w:type="dxa"/>
          </w:tcPr>
          <w:p>
            <w:pPr/>
            <w:r>
              <w:t xml:space="preserve">—</w:t>
            </w:r>
          </w:p>
        </w:tc>
        <w:tc>
          <w:tcPr>
            <w:tcW w:w="1337" w:type="dxa"/>
          </w:tcPr>
          <w:p>
            <w:pPr/>
            <w:r>
              <w:t xml:space="preserve">—</w:t>
            </w:r>
          </w:p>
        </w:tc>
        <w:tc>
          <w:tcPr>
            <w:tcW w:w="1337" w:type="dxa"/>
          </w:tcPr>
          <w:p>
            <w:pPr/>
            <w:r>
              <w:t xml:space="preserve">hermes parser silently fails on this model</w:t>
            </w:r>
          </w:p>
        </w:tc>
      </w:tr>
      <w:tr>
        <w:tc>
          <w:tcPr>
            <w:tcW w:w="1337" w:type="dxa"/>
          </w:tcPr>
          <w:p>
            <w:pPr/>
            <w:r>
              <w:t xml:space="preserve">e.g. Llama 3.1</w:t>
            </w:r>
          </w:p>
        </w:tc>
        <w:tc>
          <w:tcPr>
            <w:tcW w:w="1337" w:type="dxa"/>
          </w:tcPr>
          <w:p>
            <w:pPr/>
            <w:r>
              <w:t xml:space="preserve">Chat Completions-style</w:t>
            </w:r>
          </w:p>
        </w:tc>
        <w:tc>
          <w:tcPr>
            <w:tcW w:w="1337" w:type="dxa"/>
          </w:tcPr>
          <w:p>
            <w:pPr/>
            <w:r>
              <w:t xml:space="preserve">JSON via </w:t>
            </w:r>
            <w:r>
              <w:rPr>
                <w:rStyle w:val="CodeChar"/>
              </w:rPr>
              <w:t xml:space="preserve">llama3_json</w:t>
            </w:r>
            <w:r>
              <w:t xml:space="preserve"> template</w:t>
            </w:r>
          </w:p>
        </w:tc>
        <w:tc>
          <w:tcPr>
            <w:tcW w:w="1337" w:type="dxa"/>
          </w:tcPr>
          <w:p>
            <w:pPr/>
            <w:r>
              <w:t xml:space="preserve">vLLM </w:t>
            </w:r>
            <w:r>
              <w:rPr>
                <w:rStyle w:val="CodeChar"/>
              </w:rPr>
              <w:t xml:space="preserve">--tool-call-parser llama3_json</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e.g. Mistral</w:t>
            </w:r>
          </w:p>
        </w:tc>
        <w:tc>
          <w:tcPr>
            <w:tcW w:w="1337" w:type="dxa"/>
          </w:tcPr>
          <w:p>
            <w:pPr/>
            <w:r>
              <w:t xml:space="preserve">Chat Completions-style</w:t>
            </w:r>
          </w:p>
        </w:tc>
        <w:tc>
          <w:tcPr>
            <w:tcW w:w="1337" w:type="dxa"/>
          </w:tcPr>
          <w:p>
            <w:pPr/>
            <w:r>
              <w:t xml:space="preserve">JSON, tool-call ID must be 9 digits</w:t>
            </w:r>
          </w:p>
        </w:tc>
        <w:tc>
          <w:tcPr>
            <w:tcW w:w="1337" w:type="dxa"/>
          </w:tcPr>
          <w:p>
            <w:pPr/>
            <w:r>
              <w:t xml:space="preserve">vLLM </w:t>
            </w:r>
            <w:r>
              <w:rPr>
                <w:rStyle w:val="CodeChar"/>
              </w:rPr>
              <w:t xml:space="preserve">--tool-call-parser mistral</w:t>
            </w:r>
            <w:r>
              <w:t xml:space="preserve"> + mistral jinja</w:t>
            </w:r>
          </w:p>
        </w:tc>
        <w:tc>
          <w:tcPr>
            <w:tcW w:w="1337" w:type="dxa"/>
          </w:tcPr>
          <w:p>
            <w:pPr/>
            <w:r>
              <w:t xml:space="preserve">—</w:t>
            </w:r>
          </w:p>
        </w:tc>
        <w:tc>
          <w:tcPr>
            <w:tcW w:w="1337" w:type="dxa"/>
          </w:tcPr>
          <w:p>
            <w:pPr/>
            <w:r>
              <w:t xml:space="preserve">—</w:t>
            </w:r>
          </w:p>
        </w:tc>
        <w:tc>
          <w:tcPr>
            <w:tcW w:w="1337" w:type="dxa"/>
          </w:tcPr>
          <w:p>
            <w:pPr/>
            <w:r>
              <w:t xml:space="preserve">ID-length mismatch throws on default vLLM IDs</w:t>
            </w:r>
          </w:p>
        </w:tc>
      </w:tr>
      <w:tr>
        <w:tc>
          <w:tcPr>
            <w:tcW w:w="1337" w:type="dxa"/>
          </w:tcPr>
          <w:p>
            <w:pPr/>
            <w:r>
              <w:t xml:space="preserve">e.g. gpt-oss via vLLM</w:t>
            </w:r>
          </w:p>
        </w:tc>
        <w:tc>
          <w:tcPr>
            <w:tcW w:w="1337" w:type="dxa"/>
          </w:tcPr>
          <w:p>
            <w:pPr/>
            <w:r>
              <w:t xml:space="preserve">Chat Completions-style</w:t>
            </w:r>
          </w:p>
        </w:tc>
        <w:tc>
          <w:tcPr>
            <w:tcW w:w="1337" w:type="dxa"/>
          </w:tcPr>
          <w:p>
            <w:pPr/>
            <w:r>
              <w:t xml:space="preserve">needs </w:t>
            </w:r>
            <w:r>
              <w:rPr>
                <w:rStyle w:val="CodeChar"/>
              </w:rPr>
              <w:t xml:space="preserve">--tool-call-parser openai --reasoning-parser openai_gptoss</w:t>
            </w:r>
          </w:p>
        </w:tc>
        <w:tc>
          <w:tcPr>
            <w:tcW w:w="1337" w:type="dxa"/>
          </w:tcPr>
          <w:p>
            <w:pPr/>
            <w:r>
              <w:t xml:space="preserve">reasoning-parser flag required separately from tool-call-parser</w:t>
            </w:r>
          </w:p>
        </w:tc>
        <w:tc>
          <w:tcPr>
            <w:tcW w:w="1337" w:type="dxa"/>
          </w:tcPr>
          <w:p>
            <w:pPr/>
            <w:r>
              <w:t xml:space="preserve">—</w:t>
            </w:r>
          </w:p>
        </w:tc>
        <w:tc>
          <w:tcPr>
            <w:tcW w:w="1337" w:type="dxa"/>
          </w:tcPr>
          <w:p>
            <w:pPr/>
            <w:r>
              <w:t xml:space="preserve">emits under </w:t>
            </w:r>
            <w:r>
              <w:rPr>
                <w:rStyle w:val="CodeChar"/>
              </w:rPr>
              <w:t xml:space="preserve">reasoning_content</w:t>
            </w:r>
            <w:r>
              <w:t xml:space="preserve"> key, not </w:t>
            </w:r>
            <w:r>
              <w:rPr>
                <w:rStyle w:val="CodeChar"/>
              </w:rPr>
              <w:t xml:space="preserve">reasoning</w:t>
            </w:r>
            <w:r>
              <w:t xml:space="preserve"> — a harness hard-coded to expect </w:t>
            </w:r>
            <w:r>
              <w:rPr>
                <w:rStyle w:val="CodeChar"/>
              </w:rPr>
              <w:t xml:space="preserve">reasoning</w:t>
            </w:r>
            <w:r>
              <w:t xml:space="preserve"> silently drops it</w:t>
            </w:r>
          </w:p>
        </w:tc>
        <w:tc>
          <w:tcPr>
            <w:tcW w:w="1337" w:type="dxa"/>
          </w:tcPr>
          <w:p>
            <w:pPr/>
            <w:r>
              <w:t xml:space="preserve">confirmed real bug class (openai/codex#3721)</w:t>
            </w:r>
          </w:p>
        </w:tc>
      </w:tr>
      <w:tr>
        <w:tc>
          <w:tcPr>
            <w:tcW w:w="1337" w:type="dxa"/>
          </w:tcPr>
          <w:p>
            <w:pPr/>
            <w:r>
              <w:t xml:space="preserve">your local checkpoint</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test before committing</w:t>
            </w:r>
          </w:p>
        </w:tc>
      </w:tr>
    </w:tbl>
    <w:p>
      <w:pPr/>
      <w:r>
        <w:rPr>
          <w:b/>
        </w:rPr>
        <w:t xml:space="preserve">A provider can itself be another harness — not just a raw model API.</w:t>
      </w:r>
      <w:r>
        <w:t xml:space="preserve"> Confirmed in production: some harnesses let a "provider" wrap another vendor's own CLI harness, authenticating through that harness's existing subscription/session rather than a raw API key. When this is the case, you inherit that harness's own defaults and quirks transitively, and may need to actively compensate for them — confirmed concretely: one harness had to detect and override another's default sandbox network-block just to make its own extension system function through the wrapped provider.</w:t>
      </w:r>
    </w:p>
    <w:p>
      <w:pPr>
        <w:pStyle w:val="ListParagraph"/>
        <w:numPr>
          <w:ilvl w:val="0"/>
          <w:numId w:val="3"/>
        </w:numPr>
      </w:pPr>
      <w:r>
        <w:t xml:space="preserve">☐ All providers are raw model APIs — not applicable</w:t>
      </w:r>
    </w:p>
    <w:p>
      <w:pPr>
        <w:pStyle w:val="ListParagraph"/>
        <w:numPr>
          <w:ilvl w:val="0"/>
          <w:numId w:val="3"/>
        </w:numPr>
      </w:pPr>
      <w:r>
        <w:t xml:space="preserve">☐ At least one provider wraps another vendor's own harness/CLI (e.g. via ACP or similar) — that wrapped harness's own defaults (sandboxing, session model, auth) are identified and any necessary compensation is documented, not discovered by trial and error</w:t>
      </w:r>
    </w:p>
    <w:p>
      <w:pPr>
        <w:pStyle w:val="ListParagraph"/>
        <w:numPr>
          <w:ilvl w:val="0"/>
          <w:numId w:val="3"/>
        </w:numPr>
      </w:pPr>
      <w:r>
        <w:t xml:space="preserve">☐ Harness-wrapping providers are planned but their inherited defaults haven't been audited yet — flag as an open item before shipping</w:t>
      </w:r>
    </w:p>
    <w:p>
      <w:pPr>
        <w:pStyle w:val="ListParagraph"/>
        <w:numPr>
          <w:ilvl w:val="0"/>
          <w:numId w:val="3"/>
        </w:numPr>
      </w:pPr>
      <w:r>
        <w:t xml:space="preserve">☐ This can also occur at subagent granularity, not just at the top-level provider — confirmed as a real, third instance of this pattern: individual subagents within one task can each be delegated to a different external harness (each spawned with a scrubbed environment and strict success criteria), meaning different parts of the same task could inherit different wrapped harnesses' quirks simultaneously</w:t>
      </w:r>
    </w:p>
    <w:p>
      <w:pPr/>
      <w:r>
        <w:rPr>
          <w:b/>
        </w:rPr>
        <w:t xml:space="preserve">Backend-differentiated capability, and fail-loud vs. silent degradation</w:t>
      </w:r>
      <w:r>
        <w:t xml:space="preserve"> (sharper than per-model capability declaration above — this is about whether the </w:t>
      </w:r>
      <w:r>
        <w:rPr>
          <w:i/>
        </w:rPr>
        <w:t xml:space="preserve">same logical role</w:t>
      </w:r>
      <w:r>
        <w:t xml:space="preserve"> has different actual capability depending on which backend fills it, confirmed as a real production pattern):</w:t>
      </w:r>
    </w:p>
    <w:p>
      <w:pPr>
        <w:pStyle w:val="ListParagraph"/>
        <w:numPr>
          <w:ilvl w:val="0"/>
          <w:numId w:val="4"/>
        </w:numPr>
      </w:pPr>
      <w:r>
        <w:t xml:space="preserve">☐ All backends expose identical capability for a given role — not applicable</w:t>
      </w:r>
    </w:p>
    <w:p>
      <w:pPr>
        <w:pStyle w:val="ListParagraph"/>
        <w:numPr>
          <w:ilvl w:val="0"/>
          <w:numId w:val="4"/>
        </w:numPr>
      </w:pPr>
      <w:r>
        <w:t xml:space="preserve">☐ Capability genuinely differs by backend for the same role (e.g. one backend can mutate files, another is read-only-sandboxed) — and this variance is documented, not discovered by trial and error</w:t>
      </w:r>
    </w:p>
    <w:p>
      <w:pPr>
        <w:pStyle w:val="ListParagraph"/>
        <w:numPr>
          <w:ilvl w:val="0"/>
          <w:numId w:val="4"/>
        </w:numPr>
      </w:pPr>
      <w:r>
        <w:t xml:space="preserve">☐ When a configured backend can't meet a role's requirements, the harness refuses explicitly (a specific error, not a silent degrade) — confirmed as the stronger, safer pattern in a production harness, which hard-refuses a mismatched configuration rather than quietly running a weaker version of the step</w:t>
      </w:r>
    </w:p>
    <w:p>
      <w:pPr>
        <w:pStyle w:val="ListParagraph"/>
        <w:numPr>
          <w:ilvl w:val="0"/>
          <w:numId w:val="4"/>
        </w:numPr>
      </w:pPr>
      <w:r>
        <w:t xml:space="preserve">☐ Not yet verified whether capability varies by backend, or how a mismatch is handled — flag as an open risk</w:t>
      </w:r>
    </w:p>
    <w:p>
      <w:pPr/>
      <w:r>
        <w:rPr>
          <w:b/>
        </w:rPr>
        <w:t xml:space="preserve">Per-stage / per-role model and backend assignment</w:t>
      </w:r>
      <w:r>
        <w:t xml:space="preserve"> (distinct from a single harness-wide model or profile choice — confirmed as a real pattern in a multi-stage pipeline harness, where early stages and later high-stakes stages are deliberately pinned to different backends/models within one run):</w:t>
      </w:r>
    </w:p>
    <w:p>
      <w:pPr>
        <w:pStyle w:val="ListParagraph"/>
        <w:numPr>
          <w:ilvl w:val="0"/>
          <w:numId w:val="5"/>
        </w:numPr>
      </w:pPr>
      <w:r>
        <w:t xml:space="preserve">☐ Single model/backend for the entire harness — not applicable</w:t>
      </w:r>
    </w:p>
    <w:p>
      <w:pPr>
        <w:pStyle w:val="ListParagraph"/>
        <w:numPr>
          <w:ilvl w:val="0"/>
          <w:numId w:val="5"/>
        </w:numPr>
      </w:pPr>
      <w:r>
        <w:t xml:space="preserve">☐ Different pipeline stages or agent roles can be assigned different models/backends within a single orchestrated run</w:t>
      </w:r>
    </w:p>
    <w:p>
      <w:pPr>
        <w:pStyle w:val="ListParagraph"/>
        <w:numPr>
          <w:ilvl w:val="0"/>
          <w:numId w:val="5"/>
        </w:numPr>
      </w:pPr>
      <w:r>
        <w:t xml:space="preserve">☐ Not yet decided — worth considering explicitly if some stages of your workflow are higher-stakes or need different capability than others</w:t>
      </w:r>
    </w:p>
    <w:p>
      <w:pPr/>
      <w:r>
        <w:rPr>
          <w:b/>
        </w:rPr>
        <w:t xml:space="preserve">Per-model capability fields</w:t>
      </w:r>
      <w:r>
        <w:t xml:space="preserve"> (declare these explicitly per model — don't leave them as assumptions; third-party proxies for both Codex and Claude Code have had to build automatic capability discovery specifically because nothing upstream declares this reliably):</w:t>
      </w:r>
    </w:p>
    <w:p>
      <w:pPr>
        <w:pStyle w:val="ListParagraph"/>
        <w:numPr>
          <w:ilvl w:val="0"/>
          <w:numId w:val="6"/>
        </w:numPr>
      </w:pPr>
      <w:r>
        <w:t xml:space="preserve">☐ Context window size</w:t>
      </w:r>
    </w:p>
    <w:p>
      <w:pPr>
        <w:pStyle w:val="ListParagraph"/>
        <w:numPr>
          <w:ilvl w:val="0"/>
          <w:numId w:val="6"/>
        </w:numPr>
      </w:pPr>
      <w:r>
        <w:t xml:space="preserve">☐ Max output tokens</w:t>
      </w:r>
    </w:p>
    <w:p>
      <w:pPr>
        <w:pStyle w:val="ListParagraph"/>
        <w:numPr>
          <w:ilvl w:val="0"/>
          <w:numId w:val="6"/>
        </w:numPr>
      </w:pPr>
      <w:r>
        <w:t xml:space="preserve">☐ Multimodal / image input support</w:t>
      </w:r>
    </w:p>
    <w:p>
      <w:pPr>
        <w:pStyle w:val="ListParagraph"/>
        <w:numPr>
          <w:ilvl w:val="0"/>
          <w:numId w:val="6"/>
        </w:numPr>
      </w:pPr>
      <w:r>
        <w:t xml:space="preserve">☐ Reasoning-effort levels supported (if a reasoning model)</w:t>
      </w:r>
    </w:p>
    <w:p>
      <w:pPr/>
      <w:r>
        <w:rPr>
          <w:b/>
        </w:rPr>
        <w:t xml:space="preserve">Connection &amp; Auth Profile</w:t>
      </w:r>
      <w:r>
        <w:t xml:space="preserve"> (per provider — confirmed as its own independent failure surface, separate from dialect correctness; a real logged bug had a harness's configured base URL and auth token silently fail to propagate through a specific execution wrapper even though the same credentials worked fine via direct SDK calls):</w:t>
      </w:r>
    </w:p>
    <w:p>
      <w:pPr>
        <w:pStyle w:val="ListParagraph"/>
        <w:numPr>
          <w:ilvl w:val="0"/>
          <w:numId w:val="7"/>
        </w:numPr>
      </w:pPr>
      <w:r>
        <w:t xml:space="preserve">☐ Base URL</w:t>
      </w:r>
    </w:p>
    <w:p>
      <w:pPr>
        <w:pStyle w:val="ListParagraph"/>
        <w:numPr>
          <w:ilvl w:val="0"/>
          <w:numId w:val="7"/>
        </w:numPr>
      </w:pPr>
      <w:r>
        <w:t xml:space="preserve">☐ Auth token env-var name (varies per provider — don't assume one name)</w:t>
      </w:r>
    </w:p>
    <w:p>
      <w:pPr>
        <w:pStyle w:val="ListParagraph"/>
        <w:numPr>
          <w:ilvl w:val="0"/>
          <w:numId w:val="7"/>
        </w:numPr>
      </w:pPr>
      <w:r>
        <w:t xml:space="preserve">☐ Custom HTTP headers required</w:t>
      </w:r>
    </w:p>
    <w:p>
      <w:pPr>
        <w:pStyle w:val="ListParagraph"/>
        <w:numPr>
          <w:ilvl w:val="0"/>
          <w:numId w:val="7"/>
        </w:numPr>
      </w:pPr>
      <w:r>
        <w:t xml:space="preserve">☐ Query params required (e.g. an API version string)</w:t>
      </w:r>
    </w:p>
    <w:p>
      <w:pPr>
        <w:pStyle w:val="ListParagraph"/>
        <w:numPr>
          <w:ilvl w:val="0"/>
          <w:numId w:val="7"/>
        </w:numPr>
      </w:pPr>
      <w:r>
        <w:t xml:space="preserve">☐ Retry count / stream timeout policy</w:t>
      </w:r>
    </w:p>
    <w:p>
      <w:pPr>
        <w:pStyle w:val="ListParagraph"/>
        <w:numPr>
          <w:ilvl w:val="0"/>
          <w:numId w:val="7"/>
        </w:numPr>
      </w:pPr>
      <w:r>
        <w:t xml:space="preserve">☐ Verified: no code path can silently fall back to a default/hardcoded vendor endpoint instead of the configured one</w:t>
      </w:r>
    </w:p>
    <w:p>
      <w:pPr>
        <w:pStyle w:val="ListParagraph"/>
        <w:numPr>
          <w:ilvl w:val="0"/>
          <w:numId w:val="7"/>
        </w:numPr>
      </w:pPr>
      <w:r>
        <w:t xml:space="preserve">☐ Telemetry/data-retention are two separate claims, not one — confirmed on a fourth surveyed harness: "no telemetry from the harness itself" does not imply "no data-retention exposure," since whatever leaves your machine for the model provider is a separate question the harness may give you zero control over</w:t>
      </w:r>
    </w:p>
    <w:p>
      <w:pPr>
        <w:pStyle w:val="ListParagraph"/>
        <w:numPr>
          <w:ilvl w:val="0"/>
          <w:numId w:val="7"/>
        </w:numPr>
      </w:pPr>
      <w:r>
        <w:t xml:space="preserve">☐ Harness-side telemetry: on by default / off by default / not applicable (no telemetry exists)</w:t>
      </w:r>
    </w:p>
    <w:p>
      <w:pPr>
        <w:pStyle w:val="ListParagraph"/>
        <w:numPr>
          <w:ilvl w:val="0"/>
          <w:numId w:val="7"/>
        </w:numPr>
      </w:pPr>
      <w:r>
        <w:t xml:space="preserve">☐ Provider-side retention control exposed to the user (e.g. a zero-data-retention / ZDR flag) — yes / no / unverified. If no and this matters for your deployment (regulated data, compliance requirements), this is a real, documented production blocker for at least one popular harness, not a hypothetical</w:t>
      </w:r>
    </w:p>
    <w:p>
      <w:pPr>
        <w:pStyle w:val="ListParagraph"/>
        <w:numPr>
          <w:ilvl w:val="0"/>
          <w:numId w:val="7"/>
        </w:numPr>
      </w:pPr>
      <w:r>
        <w:t xml:space="preserve">☐ Local artifact retention: does locally-archived session data (compaction snapshots, observation caches, reducer archives) get cleaned up after a session, or does it accumulate indefinitely with no lifecycle policy? Confirmed as a real gap in a production harness extension — archived session data is explicitly documented as not automatically deleted when the session ends</w:t>
      </w:r>
    </w:p>
    <w:p>
      <w:pPr>
        <w:pStyle w:val="ListParagraph"/>
        <w:numPr>
          <w:ilvl w:val="0"/>
          <w:numId w:val="7"/>
        </w:numPr>
      </w:pPr>
      <w:r>
        <w:t xml:space="preserve">☐ Enforced vs. advisory local-only/no-telemetry mode: does a "no external inference" or privacy mode get structurally enforced at the core/runtime level (verified as a real, marketed distinction — one production system claims this enforcement happens in its core runtime, not as a convention each component independently respects), or is it a config default that individual mechanisms (secondary models, MCP servers, background sync/fetch integrations) could still silently bypass?</w:t>
      </w:r>
    </w:p>
    <w:p>
      <w:pPr>
        <w:pStyle w:val="ListParagraph"/>
        <w:numPr>
          <w:ilvl w:val="0"/>
          <w:numId w:val="7"/>
        </w:numPr>
      </w:pPr>
      <w:r>
        <w:t xml:space="preserve">☐ Custom-distribution / rebrand risk: if the harness supports being redistributed under a different brand with preconfigured providers and extensions (a real, documented feature), does the redistribution mechanism preserve secure defaults (approval mode, sandboxing, telemetry), or could a rebuilt distro quietly ship a different security posture under a trusted-looking name?</w:t>
      </w:r>
    </w:p>
    <w:p>
      <w:pPr/>
      <w:r>
        <w:rPr>
          <w:b/>
        </w:rPr>
        <w:t xml:space="preserve">Secondary / auxiliary-model routing</w:t>
      </w:r>
      <w:r>
        <w:t xml:space="preserve"> (a distinct question from the main model's profile above — confirmed as a real, user-configurable production pattern: harness mechanisms that offload work like log compression or evidence extraction to a separate, cheaper model, with its own provider/auth route and its own data-handling implications):</w:t>
      </w:r>
    </w:p>
    <w:p>
      <w:pPr>
        <w:pStyle w:val="ListParagraph"/>
        <w:numPr>
          <w:ilvl w:val="0"/>
          <w:numId w:val="8"/>
        </w:numPr>
      </w:pPr>
      <w:r>
        <w:t xml:space="preserve">☐ No secondary models — every request goes through the one configured main model</w:t>
      </w:r>
    </w:p>
    <w:p>
      <w:pPr>
        <w:pStyle w:val="ListParagraph"/>
        <w:numPr>
          <w:ilvl w:val="0"/>
          <w:numId w:val="8"/>
        </w:numPr>
      </w:pPr>
      <w:r>
        <w:t xml:space="preserve">☐ Secondary/auxiliary model(s) used for specific mechanisms (e.g. compaction summarization, log reduction) — each with its own declared provider, auth, and retention profile, not silently inherited from the main model's</w:t>
      </w:r>
    </w:p>
    <w:p>
      <w:pPr>
        <w:pStyle w:val="ListParagraph"/>
        <w:numPr>
          <w:ilvl w:val="0"/>
          <w:numId w:val="8"/>
        </w:numPr>
      </w:pPr>
      <w:r>
        <w:t xml:space="preserve">☐ Not yet decided — if you expect to add efficiency mechanisms later, flag this now rather than discovering an undeclared second model mid-implementation</w:t>
      </w:r>
    </w:p>
    <w:p>
      <w:pPr/>
      <w:r>
        <w:rPr>
          <w:b/>
        </w:rPr>
        <w:t xml:space="preserve">Per-harness capability parity</w:t>
      </w:r>
      <w:r>
        <w:t xml:space="preserve"> (only relevant if your tooling targets more than one host harness — the same declare-don't-assume principle Section 1 already applies to models, applied here to the harnesses themselves. Confirmed as necessary in a tool spanning 13+ host harnesses: feature availability genuinely differs by host — hooks, agent delegation, and skill discovery aren't uniformly available or equivalent across targets):</w:t>
      </w:r>
    </w:p>
    <w:p>
      <w:pPr>
        <w:pStyle w:val="ListParagraph"/>
        <w:numPr>
          <w:ilvl w:val="0"/>
          <w:numId w:val="9"/>
        </w:numPr>
      </w:pPr>
      <w:r>
        <w:t xml:space="preserve">☐ Not applicable — targets exactly one harness</w:t>
      </w:r>
    </w:p>
    <w:p>
      <w:pPr>
        <w:pStyle w:val="ListParagraph"/>
        <w:numPr>
          <w:ilvl w:val="0"/>
          <w:numId w:val="9"/>
        </w:numPr>
      </w:pPr>
      <w:r>
        <w:t xml:space="preserve">☐ Explicit per-harness capability matrix maintained (e.g. stable / beta / experimental / instruction-only), not assumed feature parity across targets</w:t>
      </w:r>
    </w:p>
    <w:p>
      <w:pPr>
        <w:pStyle w:val="ListParagraph"/>
        <w:numPr>
          <w:ilvl w:val="0"/>
          <w:numId w:val="9"/>
        </w:numPr>
      </w:pPr>
      <w:r>
        <w:t xml:space="preserve">☐ Feature parity assumed across targets without verification — flag as a real risk if this is the case</w:t>
      </w:r>
    </w:p>
    <w:p>
      <w:pPr/>
      <w:r>
        <w:rPr>
          <w:b/>
        </w:rPr>
        <w:t xml:space="preserve">Install-method collision guard</w:t>
      </w:r>
      <w:r>
        <w:t xml:space="preserve"> (a config-loading concern distinct from the trust-gating question above — relevant whenever a harness or extension supports more than one installation or configuration mechanism, e.g. a plugin marketplace, a manual file copy, and a native sync path):</w:t>
      </w:r>
    </w:p>
    <w:p>
      <w:pPr>
        <w:pStyle w:val="ListParagraph"/>
        <w:numPr>
          <w:ilvl w:val="0"/>
          <w:numId w:val="10"/>
        </w:numPr>
      </w:pPr>
      <w:r>
        <w:t xml:space="preserve">☐ Only one install/config mechanism exists — not applicable</w:t>
      </w:r>
    </w:p>
    <w:p>
      <w:pPr>
        <w:pStyle w:val="ListParagraph"/>
        <w:numPr>
          <w:ilvl w:val="0"/>
          <w:numId w:val="10"/>
        </w:numPr>
      </w:pPr>
      <w:r>
        <w:t xml:space="preserve">☐ Multiple install mechanisms exist, and layering more than one is explicitly guarded against or detected</w:t>
      </w:r>
    </w:p>
    <w:p>
      <w:pPr>
        <w:pStyle w:val="ListParagraph"/>
        <w:numPr>
          <w:ilvl w:val="0"/>
          <w:numId w:val="10"/>
        </w:numPr>
      </w:pPr>
      <w:r>
        <w:t xml:space="preserve">☐ Multiple install mechanisms exist with no guard — a real, documented failure mode elsewhere: stacking two install paths into the same harness can silently duplicate skills, commands, hooks, or config with no warning</w:t>
      </w:r>
    </w:p>
    <w:p>
      <w:pPr/>
      <w:r>
        <w:rPr>
          <w:b/>
        </w:rPr>
        <w:t xml:space="preserve">Upgrade/update safety</w:t>
      </w:r>
      <w:r>
        <w:t xml:space="preserve"> (distinct from version-pinning reproducibility above — this is about what happens to </w:t>
      </w:r>
      <w:r>
        <w:rPr>
          <w:i/>
        </w:rPr>
        <w:t xml:space="preserve">user state</w:t>
      </w:r>
      <w:r>
        <w:t xml:space="preserve"> when moving between versions, not about reproducing one fixed version):</w:t>
      </w:r>
    </w:p>
    <w:p>
      <w:pPr>
        <w:pStyle w:val="ListParagraph"/>
        <w:numPr>
          <w:ilvl w:val="0"/>
          <w:numId w:val="11"/>
        </w:numPr>
      </w:pPr>
      <w:r>
        <w:t xml:space="preserve">☐ User customizations, identity, and settings are structurally protected from being overwritten by an installer or updater — confirmed as a real, deliberate guarantee in a production system</w:t>
      </w:r>
    </w:p>
    <w:p>
      <w:pPr>
        <w:pStyle w:val="ListParagraph"/>
        <w:numPr>
          <w:ilvl w:val="0"/>
          <w:numId w:val="11"/>
        </w:numPr>
      </w:pPr>
      <w:r>
        <w:t xml:space="preserve">☐ Config updates merge rather than overwrite on upgrade</w:t>
      </w:r>
    </w:p>
    <w:p>
      <w:pPr>
        <w:pStyle w:val="ListParagraph"/>
        <w:numPr>
          <w:ilvl w:val="0"/>
          <w:numId w:val="11"/>
        </w:numPr>
      </w:pPr>
      <w:r>
        <w:t xml:space="preserve">☐ A backup step is explicitly recommended (or automated) before upgrading</w:t>
      </w:r>
    </w:p>
    <w:p>
      <w:pPr>
        <w:pStyle w:val="ListParagraph"/>
        <w:numPr>
          <w:ilvl w:val="0"/>
          <w:numId w:val="11"/>
        </w:numPr>
      </w:pPr>
      <w:r>
        <w:t xml:space="preserve">☐ None of the above verified — flag as a real risk before recommending upgrades to users</w:t>
      </w:r>
    </w:p>
    <w:p>
      <w:pPr/>
      <w:r>
        <w:rPr>
          <w:b/>
        </w:rPr>
        <w:t xml:space="preserve">Self-diagnostic / drift detection</w:t>
      </w:r>
      <w:r>
        <w:t xml:space="preserve"> (a standing, re-runnable check — distinct from the one-time install-collision guard above):</w:t>
      </w:r>
    </w:p>
    <w:p>
      <w:pPr>
        <w:pStyle w:val="ListParagraph"/>
        <w:numPr>
          <w:ilvl w:val="0"/>
          <w:numId w:val="12"/>
        </w:numPr>
      </w:pPr>
      <w:r>
        <w:t xml:space="preserve">☐ Not implemented</w:t>
      </w:r>
    </w:p>
    <w:p>
      <w:pPr>
        <w:pStyle w:val="ListParagraph"/>
        <w:numPr>
          <w:ilvl w:val="0"/>
          <w:numId w:val="12"/>
        </w:numPr>
      </w:pPr>
      <w:r>
        <w:t xml:space="preserve">☐ A re-runnable diagnostic command reports the real state of every optional capability (working, broken, declined, stale) and reconciles actual on-disk configuration against what the system believes is registered — confirmed as a real, shipped pattern, runnable any time after install, not just once</w:t>
      </w:r>
    </w:p>
    <w:p>
      <w:pPr/>
      <w:r>
        <w:rPr>
          <w:b/>
        </w:rPr>
        <w:t xml:space="preserve">Decision to make:</w:t>
      </w:r>
      <w:r>
        <w:t xml:space="preserve"> pick one</w:t>
      </w:r>
    </w:p>
    <w:p>
      <w:pPr>
        <w:pStyle w:val="ListParagraph"/>
        <w:numPr>
          <w:ilvl w:val="0"/>
          <w:numId w:val="13"/>
        </w:numPr>
      </w:pPr>
      <w:r>
        <w:t xml:space="preserve">☐ Support one model family only — hard-code its dialect, drop the "universal compatibility" claim</w:t>
      </w:r>
    </w:p>
    <w:p>
      <w:pPr>
        <w:pStyle w:val="ListParagraph"/>
        <w:numPr>
          <w:ilvl w:val="0"/>
          <w:numId w:val="13"/>
        </w:numPr>
      </w:pPr>
      <w:r>
        <w:t xml:space="preserve">☐ Support multiple families via a per-family adapter layer that translates your internal tool representation into each target dialect</w:t>
      </w:r>
    </w:p>
    <w:p>
      <w:pPr>
        <w:pStyle w:val="ListParagraph"/>
        <w:numPr>
          <w:ilvl w:val="0"/>
          <w:numId w:val="13"/>
        </w:numPr>
      </w:pPr>
      <w:r>
        <w:t xml:space="preserve">☐ Support multiple families by picking the most common denominator (e.g. native OpenAI-style JSON) and accept degraded reliability on models not aligned to it</w:t>
      </w:r>
    </w:p>
    <w:p>
      <w:pPr>
        <w:pStyle w:val="ListParagraph"/>
        <w:numPr>
          <w:ilvl w:val="0"/>
          <w:numId w:val="13"/>
        </w:numPr>
      </w:pPr>
      <w:r>
        <w:t xml:space="preserve">☐ Support multiple families via named, explicit profiles — model + provider + auth + approval settings bundled together and switched by name, never auto-detected. This is what both Codex (</w:t>
      </w:r>
      <w:r>
        <w:rPr>
          <w:rStyle w:val="CodeChar"/>
        </w:rPr>
        <w:t xml:space="preserve">[profiles.*]</w:t>
      </w:r>
      <w:r>
        <w:t xml:space="preserve"> in config.toml) and Claude Code (per-project/per-user settings.json hierarchy) actually converge on in production — the alignment assumptions stay visible instead of hidden behind an "it just works" claim</w:t>
      </w:r>
    </w:p>
    <w:p>
      <w:pPr/>
      <w:r>
        <w:rPr>
          <w:b/>
        </w:rPr>
        <w:t xml:space="preserve">Verification step before spec lock:</w:t>
      </w:r>
      <w:r>
        <w:t xml:space="preserve"> for each supported model, run a tool-call round-trip test and a code-edit round-trip test against the actual serving stack (not just the model card) before committing the dialect choice to the spec. Confirmed as a real, implementable pattern, not just advice: build this as an offline-by-default test suite with an explicit opt-in flag for live-provider verification, reporting pass/fail/latency per provider for a chat call, a streaming call, and a tool call each — a production harness ships exactly this, so ordinary test runs never touch the network, and live-provider checks only run when deliberately requested.</w:t>
      </w:r>
    </w:p>
    <w:p>
      <w:pPr>
        <w:pStyle w:val="Heading2"/>
      </w:pPr>
      <w:r>
        <w:t xml:space="preserve">2. Tool-Call Interface</w:t>
      </w:r>
    </w:p>
    <w:p>
      <w:pPr/>
      <w:r>
        <w:rPr>
          <w:b/>
        </w:rPr>
        <w:t xml:space="preserve">Registration style</w:t>
      </w:r>
      <w:r>
        <w:t xml:space="preserve"> (from the 70-project corpus in arXiv:2604.18071 — dominant pattern is Registry at 34.3%):</w:t>
      </w:r>
    </w:p>
    <w:p>
      <w:pPr>
        <w:pStyle w:val="ListParagraph"/>
        <w:numPr>
          <w:ilvl w:val="0"/>
          <w:numId w:val="14"/>
        </w:numPr>
      </w:pPr>
      <w:r>
        <w:t xml:space="preserve">☐ Minimalist / hard-coded (no extension mechanism)</w:t>
      </w:r>
    </w:p>
    <w:p>
      <w:pPr>
        <w:pStyle w:val="ListParagraph"/>
        <w:numPr>
          <w:ilvl w:val="0"/>
          <w:numId w:val="14"/>
        </w:numPr>
      </w:pPr>
      <w:r>
        <w:t xml:space="preserve">☐ Decorator-driven</w:t>
      </w:r>
    </w:p>
    <w:p>
      <w:pPr>
        <w:pStyle w:val="ListParagraph"/>
        <w:numPr>
          <w:ilvl w:val="0"/>
          <w:numId w:val="14"/>
        </w:numPr>
      </w:pPr>
      <w:r>
        <w:t xml:space="preserve">☐ Explicit registry (dominant in the wild)</w:t>
      </w:r>
    </w:p>
    <w:p>
      <w:pPr>
        <w:pStyle w:val="ListParagraph"/>
        <w:numPr>
          <w:ilvl w:val="0"/>
          <w:numId w:val="14"/>
        </w:numPr>
      </w:pPr>
      <w:r>
        <w:t xml:space="preserve">☐ Declarative / DSL (config-defined tools)</w:t>
      </w:r>
    </w:p>
    <w:p>
      <w:pPr>
        <w:pStyle w:val="ListParagraph"/>
        <w:numPr>
          <w:ilvl w:val="0"/>
          <w:numId w:val="14"/>
        </w:numPr>
      </w:pPr>
      <w:r>
        <w:t xml:space="preserve">☐ MCP-first</w:t>
      </w:r>
    </w:p>
    <w:p>
      <w:pPr>
        <w:pStyle w:val="ListParagraph"/>
        <w:numPr>
          <w:ilvl w:val="0"/>
          <w:numId w:val="14"/>
        </w:numPr>
      </w:pPr>
      <w:r>
        <w:t xml:space="preserve">☐ Plugin ecosystem (versioning, dependency management)</w:t>
      </w:r>
    </w:p>
    <w:p>
      <w:pPr>
        <w:pStyle w:val="ListParagraph"/>
        <w:numPr>
          <w:ilvl w:val="0"/>
          <w:numId w:val="14"/>
        </w:numPr>
      </w:pPr>
      <w:r>
        <w:t xml:space="preserve">☐ Enterprise (security + versioning + policy controls)</w:t>
      </w:r>
    </w:p>
    <w:p>
      <w:pPr>
        <w:pStyle w:val="ListParagraph"/>
        <w:numPr>
          <w:ilvl w:val="0"/>
          <w:numId w:val="14"/>
        </w:numPr>
      </w:pPr>
      <w:r>
        <w:t xml:space="preserve">☐ Delegation / proxy to external services</w:t>
      </w:r>
    </w:p>
    <w:p>
      <w:pPr>
        <w:pStyle w:val="ListParagraph"/>
        <w:numPr>
          <w:ilvl w:val="0"/>
          <w:numId w:val="14"/>
        </w:numPr>
      </w:pPr>
      <w:r>
        <w:t xml:space="preserve">☐ Deliberately no built-in MCP/tool-registration system in the core — extension-provided only, to keep the base system prompt and runtime minimal (a documented, real pattern in a widely-used harness, done specifically for token-cost reasons)</w:t>
      </w:r>
    </w:p>
    <w:p>
      <w:pPr/>
      <w:r>
        <w:rPr>
          <w:b/>
        </w:rPr>
        <w:t xml:space="preserve">Calling convention your harness will emit/expect:</w:t>
      </w:r>
    </w:p>
    <w:p>
      <w:pPr>
        <w:pStyle w:val="ListParagraph"/>
        <w:numPr>
          <w:ilvl w:val="0"/>
          <w:numId w:val="15"/>
        </w:numPr>
      </w:pPr>
      <w:r>
        <w:t xml:space="preserve">☐ Native API tool-call field (relies on serving stack correctly populating it — see Section 1)</w:t>
      </w:r>
    </w:p>
    <w:p>
      <w:pPr>
        <w:pStyle w:val="ListParagraph"/>
        <w:numPr>
          <w:ilvl w:val="0"/>
          <w:numId w:val="15"/>
        </w:numPr>
      </w:pPr>
      <w:r>
        <w:t xml:space="preserve">☐ Prompted XML tags (you own the parsing, not the model provider's server)</w:t>
      </w:r>
    </w:p>
    <w:p>
      <w:pPr>
        <w:pStyle w:val="ListParagraph"/>
        <w:numPr>
          <w:ilvl w:val="0"/>
          <w:numId w:val="15"/>
        </w:numPr>
      </w:pPr>
      <w:r>
        <w:t xml:space="preserve">☐ Prompted JSON-in-text with delimiter markers you define</w:t>
      </w:r>
    </w:p>
    <w:p>
      <w:pPr>
        <w:pStyle w:val="ListParagraph"/>
        <w:numPr>
          <w:ilvl w:val="0"/>
          <w:numId w:val="15"/>
        </w:numPr>
      </w:pPr>
      <w:r>
        <w:t xml:space="preserve">☐ Grammar-constrained decoding (e.g. vLLM Outlines / guided JSON) — guarantees parseable output, not high-quality output</w:t>
      </w:r>
    </w:p>
    <w:p>
      <w:pPr/>
      <w:r>
        <w:rPr>
          <w:b/>
        </w:rPr>
        <w:t xml:space="preserve">Parser strategy when the model deviates from expected format:</w:t>
      </w:r>
    </w:p>
    <w:p>
      <w:pPr>
        <w:pStyle w:val="ListParagraph"/>
        <w:numPr>
          <w:ilvl w:val="0"/>
          <w:numId w:val="16"/>
        </w:numPr>
      </w:pPr>
      <w:r>
        <w:t xml:space="preserve">☐ Hard fail, surface error to the loop for retry</w:t>
      </w:r>
    </w:p>
    <w:p>
      <w:pPr>
        <w:pStyle w:val="ListParagraph"/>
        <w:numPr>
          <w:ilvl w:val="0"/>
          <w:numId w:val="16"/>
        </w:numPr>
      </w:pPr>
      <w:r>
        <w:t xml:space="preserve">☐ Regex/text-extraction fallback attempt before failing</w:t>
      </w:r>
    </w:p>
    <w:p>
      <w:pPr>
        <w:pStyle w:val="ListParagraph"/>
        <w:numPr>
          <w:ilvl w:val="0"/>
          <w:numId w:val="16"/>
        </w:numPr>
      </w:pPr>
      <w:r>
        <w:t xml:space="preserve">☐ Silent fallback to treating output as plain content (this is how failures hide — avoid unless intentional)</w:t>
      </w:r>
    </w:p>
    <w:p>
      <w:pPr/>
      <w:r>
        <w:rPr>
          <w:b/>
        </w:rPr>
        <w:t xml:space="preserve">Parallel tool calls:</w:t>
      </w:r>
    </w:p>
    <w:p>
      <w:pPr>
        <w:pStyle w:val="ListParagraph"/>
        <w:numPr>
          <w:ilvl w:val="0"/>
          <w:numId w:val="17"/>
        </w:numPr>
      </w:pPr>
      <w:r>
        <w:t xml:space="preserve">☐ Supported — define batch size limit and how partial-batch failures are handled</w:t>
      </w:r>
    </w:p>
    <w:p>
      <w:pPr>
        <w:pStyle w:val="ListParagraph"/>
        <w:numPr>
          <w:ilvl w:val="0"/>
          <w:numId w:val="17"/>
        </w:numPr>
      </w:pPr>
      <w:r>
        <w:t xml:space="preserve">☐ Not supported — one tool call per turn, enforced by the harness</w:t>
      </w:r>
    </w:p>
    <w:p>
      <w:pPr/>
      <w:r>
        <w:rPr>
          <w:b/>
        </w:rPr>
        <w:t xml:space="preserve">Validation before execution:</w:t>
      </w:r>
    </w:p>
    <w:p>
      <w:pPr>
        <w:pStyle w:val="ListParagraph"/>
        <w:numPr>
          <w:ilvl w:val="0"/>
          <w:numId w:val="18"/>
        </w:numPr>
      </w:pPr>
      <w:r>
        <w:t xml:space="preserve">☐ Schema validation on arguments before dispatch</w:t>
      </w:r>
    </w:p>
    <w:p>
      <w:pPr>
        <w:pStyle w:val="ListParagraph"/>
        <w:numPr>
          <w:ilvl w:val="0"/>
          <w:numId w:val="18"/>
        </w:numPr>
      </w:pPr>
      <w:r>
        <w:t xml:space="preserve">☐ Path/permission validation (e.g. directory traversal checks) before execution</w:t>
      </w:r>
    </w:p>
    <w:p>
      <w:pPr>
        <w:pStyle w:val="ListParagraph"/>
        <w:numPr>
          <w:ilvl w:val="0"/>
          <w:numId w:val="18"/>
        </w:numPr>
      </w:pPr>
      <w:r>
        <w:t xml:space="preserve">☐ No pre-execution validation (relies on the tool itself to reject bad input)</w:t>
      </w:r>
    </w:p>
    <w:p>
      <w:pPr/>
      <w:r>
        <w:rPr>
          <w:b/>
        </w:rPr>
        <w:t xml:space="preserve">Wire protocol / transport shape</w:t>
      </w:r>
      <w:r>
        <w:t xml:space="preserve"> (confirmed universal — even within one vendor's ecosystem, "compatible" endpoints can speak genuinely different protocol shapes, not just different tool-call dialects):</w:t>
      </w:r>
    </w:p>
    <w:p>
      <w:pPr>
        <w:pStyle w:val="ListParagraph"/>
        <w:numPr>
          <w:ilvl w:val="0"/>
          <w:numId w:val="19"/>
        </w:numPr>
      </w:pPr>
      <w:r>
        <w:t xml:space="preserve">☐ Stateful, server-side conversation threading (e.g. OpenAI's Responses API — continuation via a response ID, uses a </w:t>
      </w:r>
      <w:r>
        <w:rPr>
          <w:rStyle w:val="CodeChar"/>
        </w:rPr>
        <w:t xml:space="preserve">developer</w:t>
      </w:r>
      <w:r>
        <w:t xml:space="preserve"> role)</w:t>
      </w:r>
    </w:p>
    <w:p>
      <w:pPr>
        <w:pStyle w:val="ListParagraph"/>
        <w:numPr>
          <w:ilvl w:val="0"/>
          <w:numId w:val="19"/>
        </w:numPr>
      </w:pPr>
      <w:r>
        <w:t xml:space="preserve">☐ Stateless, per-request messages (e.g. Chat Completions-style APIs — full history resent each call, uses a </w:t>
      </w:r>
      <w:r>
        <w:rPr>
          <w:rStyle w:val="CodeChar"/>
        </w:rPr>
        <w:t xml:space="preserve">system</w:t>
      </w:r>
      <w:r>
        <w:t xml:space="preserve"> role)</w:t>
      </w:r>
    </w:p>
    <w:p>
      <w:pPr>
        <w:pStyle w:val="ListParagraph"/>
        <w:numPr>
          <w:ilvl w:val="0"/>
          <w:numId w:val="19"/>
        </w:numPr>
      </w:pPr>
      <w:r>
        <w:t xml:space="preserve">☐ Single fixed protocol, no duality to manage (e.g. Anthropic's Messages API)</w:t>
      </w:r>
    </w:p>
    <w:p>
      <w:pPr>
        <w:pStyle w:val="ListParagraph"/>
        <w:numPr>
          <w:ilvl w:val="0"/>
          <w:numId w:val="19"/>
        </w:numPr>
      </w:pPr>
      <w:r>
        <w:t xml:space="preserve">☐ Role-name translation implemented between shapes, if your harness bridges more than one (a real, filed bug: a harness kept sending </w:t>
      </w:r>
      <w:r>
        <w:rPr>
          <w:rStyle w:val="CodeChar"/>
        </w:rPr>
        <w:t xml:space="preserve">developer</w:t>
      </w:r>
      <w:r>
        <w:t xml:space="preserve">-role messages to a Chat-Completions-only provider even with the stateless mode explicitly configured, and got hard-rejected)</w:t>
      </w:r>
    </w:p>
    <w:p>
      <w:pPr/>
      <w:r>
        <w:rPr>
          <w:b/>
        </w:rPr>
        <w:t xml:space="preserve">Streaming tool-call assembly:</w:t>
      </w:r>
    </w:p>
    <w:p>
      <w:pPr>
        <w:pStyle w:val="ListParagraph"/>
        <w:numPr>
          <w:ilvl w:val="0"/>
          <w:numId w:val="20"/>
        </w:numPr>
      </w:pPr>
      <w:r>
        <w:t xml:space="preserve">☐ Harness reconstructs tool-call name/arguments entirely from incremental streaming deltas</w:t>
      </w:r>
    </w:p>
    <w:p>
      <w:pPr>
        <w:pStyle w:val="ListParagraph"/>
        <w:numPr>
          <w:ilvl w:val="0"/>
          <w:numId w:val="20"/>
        </w:numPr>
      </w:pPr>
      <w:r>
        <w:t xml:space="preserve">☐ Harness requires the final complete message and does not trust deltas alone</w:t>
      </w:r>
    </w:p>
    <w:p>
      <w:pPr>
        <w:pStyle w:val="ListParagraph"/>
        <w:numPr>
          <w:ilvl w:val="0"/>
          <w:numId w:val="20"/>
        </w:numPr>
      </w:pPr>
      <w:r>
        <w:t xml:space="preserve">☐ Both — streams for responsiveness, falls back to the final message if delta assembly looks incomplete</w:t>
      </w:r>
    </w:p>
    <w:p>
      <w:pPr>
        <w:pStyle w:val="ListParagraph"/>
        <w:numPr>
          <w:ilvl w:val="0"/>
          <w:numId w:val="20"/>
        </w:numPr>
      </w:pPr>
      <w:r>
        <w:t xml:space="preserve">☐ Untested against your actual serving stack (flag as a known gap — a documented production bug had a provider's delta format change silently drop tool-call names, producing rejected empty-name calls, because the harness only ever looked at the deltas)</w:t>
      </w:r>
    </w:p>
    <w:p>
      <w:pPr/>
      <w:r>
        <w:rPr>
          <w:b/>
        </w:rPr>
        <w:t xml:space="preserve">Reasoning/thinking-channel extraction</w:t>
      </w:r>
      <w:r>
        <w:t xml:space="preserve"> (a separate extraction problem from tool-calls — treat it as its own line item, not an afterthought of Section 1's table):</w:t>
      </w:r>
    </w:p>
    <w:p>
      <w:pPr>
        <w:pStyle w:val="ListParagraph"/>
        <w:numPr>
          <w:ilvl w:val="0"/>
          <w:numId w:val="21"/>
        </w:numPr>
      </w:pPr>
      <w:r>
        <w:t xml:space="preserve">☐ Dedicated structured field/content-block type expected (e.g. a </w:t>
      </w:r>
      <w:r>
        <w:rPr>
          <w:rStyle w:val="CodeChar"/>
        </w:rPr>
        <w:t xml:space="preserve">reasoning</w:t>
      </w:r>
      <w:r>
        <w:t xml:space="preserve"> field, or a </w:t>
      </w:r>
      <w:r>
        <w:rPr>
          <w:rStyle w:val="CodeChar"/>
        </w:rPr>
        <w:t xml:space="preserve">thinking</w:t>
      </w:r>
      <w:r>
        <w:t xml:space="preserve">/</w:t>
      </w:r>
      <w:r>
        <w:rPr>
          <w:rStyle w:val="CodeChar"/>
        </w:rPr>
        <w:t xml:space="preserve">redacted_thinking</w:t>
      </w:r>
      <w:r>
        <w:t xml:space="preserve"> block type)</w:t>
      </w:r>
    </w:p>
    <w:p>
      <w:pPr>
        <w:pStyle w:val="ListParagraph"/>
        <w:numPr>
          <w:ilvl w:val="0"/>
          <w:numId w:val="21"/>
        </w:numPr>
      </w:pPr>
      <w:r>
        <w:t xml:space="preserve">☐ Inline-tagged text expected (e.g. </w:t>
      </w:r>
      <w:r>
        <w:rPr>
          <w:rStyle w:val="CodeChar"/>
        </w:rPr>
        <w:t xml:space="preserve">&lt;think&gt;...&lt;/think&gt;</w:t>
      </w:r>
      <w:r>
        <w:t xml:space="preserve"> wrapping in the raw output)</w:t>
      </w:r>
    </w:p>
    <w:p>
      <w:pPr>
        <w:pStyle w:val="ListParagraph"/>
        <w:numPr>
          <w:ilvl w:val="0"/>
          <w:numId w:val="21"/>
        </w:numPr>
      </w:pPr>
      <w:r>
        <w:t xml:space="preserve">☐ Not extracted / not supported — reasoning output, if any, is treated as ordinary content</w:t>
      </w:r>
    </w:p>
    <w:p>
      <w:pPr>
        <w:pStyle w:val="ListParagraph"/>
        <w:numPr>
          <w:ilvl w:val="0"/>
          <w:numId w:val="21"/>
        </w:numPr>
      </w:pPr>
      <w:r>
        <w:t xml:space="preserve">☐ Field-name verified against your actual serving stack — this is a documented, real failure mode distinct from tool-call parsing: one serving stack emits reasoning under a </w:t>
      </w:r>
      <w:r>
        <w:rPr>
          <w:rStyle w:val="CodeChar"/>
        </w:rPr>
        <w:t xml:space="preserve">reasoning_content</w:t>
      </w:r>
      <w:r>
        <w:t xml:space="preserve"> key while a harness hard-coded to expect </w:t>
      </w:r>
      <w:r>
        <w:rPr>
          <w:rStyle w:val="CodeChar"/>
        </w:rPr>
        <w:t xml:space="preserve">reasoning</w:t>
      </w:r>
      <w:r>
        <w:t xml:space="preserve"> silently drops it entirely, with no error</w:t>
      </w:r>
    </w:p>
    <w:p>
      <w:pPr>
        <w:pStyle w:val="ListParagraph"/>
        <w:numPr>
          <w:ilvl w:val="0"/>
          <w:numId w:val="21"/>
        </w:numPr>
      </w:pPr>
      <w:r>
        <w:t xml:space="preserve">☐ Confirmed to recur in benchmark infrastructure, not just production harnesses — a documented model evaluation had to patch a widely-used benchmark runner specifically to read a local vLLM model's reasoning output under its actual reasoning_content key, alongside adjusting the model's chat template to match — the same class of mismatch this section names, one layer further down the stack</w:t>
      </w:r>
    </w:p>
    <w:p>
      <w:pPr/>
      <w:r>
        <w:rPr>
          <w:b/>
        </w:rPr>
        <w:t xml:space="preserve">MCP subprocess credential isolation</w:t>
      </w:r>
      <w:r>
        <w:t xml:space="preserve"> (a distinct concern from the registration-style question above — confirmed as its own named security layer in a production harness):</w:t>
      </w:r>
    </w:p>
    <w:p>
      <w:pPr>
        <w:pStyle w:val="ListParagraph"/>
        <w:numPr>
          <w:ilvl w:val="0"/>
          <w:numId w:val="22"/>
        </w:numPr>
      </w:pPr>
      <w:r>
        <w:t xml:space="preserve">☐ MCP server subprocesses receive only explicitly scoped environment variables</w:t>
      </w:r>
    </w:p>
    <w:p>
      <w:pPr>
        <w:pStyle w:val="ListParagraph"/>
        <w:numPr>
          <w:ilvl w:val="0"/>
          <w:numId w:val="22"/>
        </w:numPr>
      </w:pPr>
      <w:r>
        <w:t xml:space="preserve">☐ MCP server subprocesses inherit the full host environment by default (real risk: a compromised or malicious MCP server can read ambient secrets — SSH keys, cloud credentials — it was never meant to see)</w:t>
      </w:r>
    </w:p>
    <w:p>
      <w:pPr>
        <w:pStyle w:val="ListParagraph"/>
        <w:numPr>
          <w:ilvl w:val="0"/>
          <w:numId w:val="22"/>
        </w:numPr>
      </w:pPr>
      <w:r>
        <w:t xml:space="preserve">☐ Not yet verified — flag as an open gap rather than assuming isolation exists</w:t>
      </w:r>
    </w:p>
    <w:p>
      <w:pPr/>
      <w:r>
        <w:rPr>
          <w:b/>
        </w:rPr>
        <w:t xml:space="preserve">Tool-definition budget vs. model capacity</w:t>
      </w:r>
      <w:r>
        <w:t xml:space="preserve"> (a third, independent failure mode alongside encoding-format correctness and parser-mismatch — the tool call can be perfectly well-formed and the model can still stop producing tool calls at all, purely because too many tool definitions were sent):</w:t>
      </w:r>
    </w:p>
    <w:p>
      <w:pPr>
        <w:pStyle w:val="ListParagraph"/>
        <w:numPr>
          <w:ilvl w:val="0"/>
          <w:numId w:val="23"/>
        </w:numPr>
      </w:pPr>
      <w:r>
        <w:t xml:space="preserve">☐ Harness sends a fixed, full tool set every turn — every built-in plus every connected MCP server's tools, regardless of relevance to the current request</w:t>
      </w:r>
    </w:p>
    <w:p>
      <w:pPr>
        <w:pStyle w:val="ListParagraph"/>
        <w:numPr>
          <w:ilvl w:val="0"/>
          <w:numId w:val="23"/>
        </w:numPr>
      </w:pPr>
      <w:r>
        <w:t xml:space="preserve">☐ Harness selects or scopes down the relevant tool subset per request</w:t>
      </w:r>
    </w:p>
    <w:p>
      <w:pPr>
        <w:pStyle w:val="ListParagraph"/>
        <w:numPr>
          <w:ilvl w:val="0"/>
          <w:numId w:val="23"/>
        </w:numPr>
      </w:pPr>
      <w:r>
        <w:t xml:space="preserve">☐ Not yet verified against your smallest supported model — worth testing directly: a real, filed bug showed a model correctly using a tool with a single tool definition in a direct API call, then silently producing zero tool calls once 200+ definitions (built-ins plus every configured MCP server) were sent in the same request. This is exactly the kind of failure a local/smaller model is far more likely to hit than a frontier API model with more effective instruction-following headroom</w:t>
      </w:r>
    </w:p>
    <w:p>
      <w:pPr/>
      <w:r>
        <w:rPr>
          <w:b/>
        </w:rPr>
        <w:t xml:space="preserve">Tool-caller scope self-elevation</w:t>
      </w:r>
      <w:r>
        <w:t xml:space="preserve"> (a distinct security property from MCP credential isolation above — that covered what a subprocess inherits from its environment; this covers whether the model itself, through its own tool-call arguments, can widen the scope it's operating under):</w:t>
      </w:r>
    </w:p>
    <w:p>
      <w:pPr>
        <w:pStyle w:val="ListParagraph"/>
        <w:numPr>
          <w:ilvl w:val="0"/>
          <w:numId w:val="24"/>
        </w:numPr>
      </w:pPr>
      <w:r>
        <w:t xml:space="preserve">☐ Scope/identity for a shared or sensitive resource is fixed by the operator at launch time and cannot be supplied or changed by a tool call — confirmed as a real, deliberate design choice in a production system exposing shared memory across multiple harnesses</w:t>
      </w:r>
    </w:p>
    <w:p>
      <w:pPr>
        <w:pStyle w:val="ListParagraph"/>
        <w:numPr>
          <w:ilvl w:val="0"/>
          <w:numId w:val="24"/>
        </w:numPr>
      </w:pPr>
      <w:r>
        <w:t xml:space="preserve">☐ Scope/identity can be supplied or influenced by tool-call arguments — a real risk: a prompt-injected or simply mistaken tool call could widen its own access without any operator decision in the loop</w:t>
      </w:r>
    </w:p>
    <w:p>
      <w:pPr>
        <w:pStyle w:val="ListParagraph"/>
        <w:numPr>
          <w:ilvl w:val="0"/>
          <w:numId w:val="24"/>
        </w:numPr>
      </w:pPr>
      <w:r>
        <w:t xml:space="preserve">☐ Not yet verified for tools that touch shared or sensitive resources (memory stores, credential stores, multi-tenant data) — worth checking deliberately rather than assuming the narrower behavior</w:t>
      </w:r>
    </w:p>
    <w:p>
      <w:pPr>
        <w:pStyle w:val="Heading2"/>
      </w:pPr>
      <w:r>
        <w:t xml:space="preserve">3. Code-Edit Protocol</w:t>
      </w:r>
    </w:p>
    <w:p>
      <w:pPr/>
      <w:r>
        <w:t xml:space="preserve">Pick one dialect and verify your target model(s) were actually trained on it — none of these are universal standards.</w:t>
      </w:r>
    </w:p>
    <w:p>
      <w:pPr>
        <w:pStyle w:val="ListParagraph"/>
        <w:numPr>
          <w:ilvl w:val="0"/>
          <w:numId w:val="25"/>
        </w:numPr>
      </w:pPr>
      <w:r>
        <w:t xml:space="preserve">☐ </w:t>
      </w:r>
      <w:r>
        <w:rPr>
          <w:b/>
        </w:rPr>
        <w:t xml:space="preserve">V4A</w:t>
      </w:r>
      <w:r>
        <w:t xml:space="preserve"> — OpenAI's </w:t>
      </w:r>
      <w:r>
        <w:rPr>
          <w:rStyle w:val="CodeChar"/>
        </w:rPr>
        <w:t xml:space="preserve">apply_patch</w:t>
      </w:r>
      <w:r>
        <w:t xml:space="preserve"> grammar (</w:t>
      </w:r>
      <w:r>
        <w:rPr>
          <w:rStyle w:val="CodeChar"/>
        </w:rPr>
        <w:t xml:space="preserve">*** Begin Patch</w:t>
      </w:r>
      <w:r>
        <w:t xml:space="preserve"> / </w:t>
      </w:r>
      <w:r>
        <w:rPr>
          <w:rStyle w:val="CodeChar"/>
        </w:rPr>
        <w:t xml:space="preserve">*** Update File:</w:t>
      </w:r>
      <w:r>
        <w:t xml:space="preserve"> / </w:t>
      </w:r>
      <w:r>
        <w:rPr>
          <w:rStyle w:val="CodeChar"/>
        </w:rPr>
        <w:t xml:space="preserve">@@</w:t>
      </w:r>
      <w:r>
        <w:t xml:space="preserve"> context sections, no line numbers). Requires model specifically trained on this exact grammar (GPT-5-class Codex models). Context-anchored, not line-number-dependent — resistant to drift after multiple edits.</w:t>
      </w:r>
    </w:p>
    <w:p>
      <w:pPr>
        <w:pStyle w:val="ListParagraph"/>
        <w:numPr>
          <w:ilvl w:val="0"/>
          <w:numId w:val="25"/>
        </w:numPr>
      </w:pPr>
      <w:r>
        <w:t xml:space="preserve">☐ </w:t>
      </w:r>
      <w:r>
        <w:rPr>
          <w:b/>
        </w:rPr>
        <w:t xml:space="preserve">Unified diff</w:t>
      </w:r>
      <w:r>
        <w:t xml:space="preserve"> (</w:t>
      </w:r>
      <w:r>
        <w:rPr>
          <w:rStyle w:val="CodeChar"/>
        </w:rPr>
        <w:t xml:space="preserve">diff -u</w:t>
      </w:r>
      <w:r>
        <w:t xml:space="preserve"> style) — widely recognized in training data generally, but not a dedicated fine-tuning target for most models the way V4A is for Codex.</w:t>
      </w:r>
    </w:p>
    <w:p>
      <w:pPr>
        <w:pStyle w:val="ListParagraph"/>
        <w:numPr>
          <w:ilvl w:val="0"/>
          <w:numId w:val="25"/>
        </w:numPr>
      </w:pPr>
      <w:r>
        <w:t xml:space="preserve">☐ </w:t>
      </w:r>
      <w:r>
        <w:rPr>
          <w:b/>
        </w:rPr>
        <w:t xml:space="preserve">SEARCH/REPLACE blocks</w:t>
      </w:r>
      <w:r>
        <w:t xml:space="preserve"> — literal before/after text blocks, no diff syntax. Lower syntactic failure rate, more token cost than a true diff on large files.</w:t>
      </w:r>
    </w:p>
    <w:p>
      <w:pPr>
        <w:pStyle w:val="ListParagraph"/>
        <w:numPr>
          <w:ilvl w:val="0"/>
          <w:numId w:val="25"/>
        </w:numPr>
      </w:pPr>
      <w:r>
        <w:t xml:space="preserve">☐ </w:t>
      </w:r>
      <w:r>
        <w:rPr>
          <w:b/>
        </w:rPr>
        <w:t xml:space="preserve">Whole-file rewrite</w:t>
      </w:r>
      <w:r>
        <w:t xml:space="preserve"> — simplest, most token-expensive, least failure-prone. Good fallback / good default for small files.</w:t>
      </w:r>
    </w:p>
    <w:p>
      <w:pPr>
        <w:pStyle w:val="ListParagraph"/>
        <w:numPr>
          <w:ilvl w:val="0"/>
          <w:numId w:val="25"/>
        </w:numPr>
      </w:pPr>
      <w:r>
        <w:t xml:space="preserve">☐ </w:t>
      </w:r>
      <w:r>
        <w:rPr>
          <w:b/>
        </w:rPr>
        <w:t xml:space="preserve">Model-based fast-apply</w:t>
      </w:r>
      <w:r>
        <w:t xml:space="preserve"> — a separate small model interprets a loose natural-language edit description and rewrites the file. Adds a second model dependency and its own failure surface.</w:t>
      </w:r>
    </w:p>
    <w:p>
      <w:pPr/>
      <w:r>
        <w:rPr>
          <w:b/>
        </w:rPr>
        <w:t xml:space="preserve">Line-number dependence:</w:t>
      </w:r>
    </w:p>
    <w:p>
      <w:pPr>
        <w:pStyle w:val="ListParagraph"/>
        <w:numPr>
          <w:ilvl w:val="0"/>
          <w:numId w:val="26"/>
        </w:numPr>
      </w:pPr>
      <w:r>
        <w:t xml:space="preserve">☐ Context-anchored (matches surrounding code, not absolute line numbers) — resistant to drift</w:t>
      </w:r>
    </w:p>
    <w:p>
      <w:pPr>
        <w:pStyle w:val="ListParagraph"/>
        <w:numPr>
          <w:ilvl w:val="0"/>
          <w:numId w:val="26"/>
        </w:numPr>
      </w:pPr>
      <w:r>
        <w:t xml:space="preserve">☐ Line-number dependent — will break after a few edits shift content; avoid unless you control both ends tightly</w:t>
      </w:r>
    </w:p>
    <w:p>
      <w:pPr/>
      <w:r>
        <w:rPr>
          <w:b/>
        </w:rPr>
        <w:t xml:space="preserve">Validation before apply:</w:t>
      </w:r>
    </w:p>
    <w:p>
      <w:pPr>
        <w:pStyle w:val="ListParagraph"/>
        <w:numPr>
          <w:ilvl w:val="0"/>
          <w:numId w:val="27"/>
        </w:numPr>
      </w:pPr>
      <w:r>
        <w:t xml:space="preserve">☐ Syntax/schema validation of the patch before touching the filesystem</w:t>
      </w:r>
    </w:p>
    <w:p>
      <w:pPr>
        <w:pStyle w:val="ListParagraph"/>
        <w:numPr>
          <w:ilvl w:val="0"/>
          <w:numId w:val="27"/>
        </w:numPr>
      </w:pPr>
      <w:r>
        <w:t xml:space="preserve">☐ Atomic writes (all-or-nothing per file)</w:t>
      </w:r>
    </w:p>
    <w:p>
      <w:pPr>
        <w:pStyle w:val="ListParagraph"/>
        <w:numPr>
          <w:ilvl w:val="0"/>
          <w:numId w:val="27"/>
        </w:numPr>
      </w:pPr>
      <w:r>
        <w:t xml:space="preserve">☐ Path traversal / permission checks before write</w:t>
      </w:r>
    </w:p>
    <w:p>
      <w:pPr>
        <w:pStyle w:val="ListParagraph"/>
        <w:numPr>
          <w:ilvl w:val="0"/>
          <w:numId w:val="27"/>
        </w:numPr>
      </w:pPr>
      <w:r>
        <w:t xml:space="preserve">☐ None of the above — apply directly and rely on tests to catch damage (not recommended)</w:t>
      </w:r>
    </w:p>
    <w:p>
      <w:pPr/>
      <w:r>
        <w:rPr>
          <w:b/>
        </w:rPr>
        <w:t xml:space="preserve">Failure mode to design for:</w:t>
      </w:r>
      <w:r>
        <w:t xml:space="preserve"> a model not trained on your chosen dialect will often produce a syntactically-plausible-but-invalid patch rather than an outright tool-call failure — this is worse, because it can corrupt a file silently before your verification layer runs. Decide now whether patch validation happens before or only after the write.</w:t>
      </w:r>
    </w:p>
    <w:p>
      <w:pPr>
        <w:pStyle w:val="Heading2"/>
      </w:pPr>
      <w:r>
        <w:t xml:space="preserve">4. Orchestration / Loop Structure</w:t>
      </w:r>
    </w:p>
    <w:p>
      <w:pPr/>
      <w:r>
        <w:rPr>
          <w:b/>
        </w:rPr>
        <w:t xml:space="preserve">Workflow definition</w:t>
      </w:r>
      <w:r>
        <w:t xml:space="preserve"> (arXiv:2604.18071 corpus shares — imperative dominant at 45%):</w:t>
      </w:r>
    </w:p>
    <w:p>
      <w:pPr>
        <w:pStyle w:val="ListParagraph"/>
        <w:numPr>
          <w:ilvl w:val="0"/>
          <w:numId w:val="28"/>
        </w:numPr>
      </w:pPr>
      <w:r>
        <w:t xml:space="preserve">☐ Imperative — explicit control flow, each step specified sequentially</w:t>
      </w:r>
    </w:p>
    <w:p>
      <w:pPr>
        <w:pStyle w:val="ListParagraph"/>
        <w:numPr>
          <w:ilvl w:val="0"/>
          <w:numId w:val="28"/>
        </w:numPr>
      </w:pPr>
      <w:r>
        <w:t xml:space="preserve">☐ Declarative / YAML / DSL — configuration specifies outcome, system determines steps</w:t>
      </w:r>
    </w:p>
    <w:p>
      <w:pPr>
        <w:pStyle w:val="ListParagraph"/>
        <w:numPr>
          <w:ilvl w:val="0"/>
          <w:numId w:val="28"/>
        </w:numPr>
      </w:pPr>
      <w:r>
        <w:t xml:space="preserve">☐ Event-driven — driven by events/state changes, not linear control flow</w:t>
      </w:r>
    </w:p>
    <w:p>
      <w:pPr/>
      <w:r>
        <w:rPr>
          <w:b/>
        </w:rPr>
        <w:t xml:space="preserve">Planning approach</w:t>
      </w:r>
      <w:r>
        <w:t xml:space="preserve"> (ReAct-style dominant at 50%):</w:t>
      </w:r>
    </w:p>
    <w:p>
      <w:pPr>
        <w:pStyle w:val="ListParagraph"/>
        <w:numPr>
          <w:ilvl w:val="0"/>
          <w:numId w:val="29"/>
        </w:numPr>
      </w:pPr>
      <w:r>
        <w:t xml:space="preserve">☐ ReAct-style — reasoning and acting interleaved in one loop</w:t>
      </w:r>
    </w:p>
    <w:p>
      <w:pPr>
        <w:pStyle w:val="ListParagraph"/>
        <w:numPr>
          <w:ilvl w:val="0"/>
          <w:numId w:val="29"/>
        </w:numPr>
      </w:pPr>
      <w:r>
        <w:t xml:space="preserve">☐ Plan-and-Execute — plan generated first, then executed step by step</w:t>
      </w:r>
    </w:p>
    <w:p>
      <w:pPr>
        <w:pStyle w:val="ListParagraph"/>
        <w:numPr>
          <w:ilvl w:val="0"/>
          <w:numId w:val="29"/>
        </w:numPr>
      </w:pPr>
      <w:r>
        <w:t xml:space="preserve">☐ Hierarchical — high-level goals recursively decomposed into sub-plans</w:t>
      </w:r>
    </w:p>
    <w:p>
      <w:pPr/>
      <w:r>
        <w:rPr>
          <w:b/>
        </w:rPr>
        <w:t xml:space="preserve">Subagent architecture</w:t>
      </w:r>
      <w:r>
        <w:t xml:space="preserve"> (pick the ceiling you intend to support, not necessarily what you build first):</w:t>
      </w:r>
    </w:p>
    <w:p>
      <w:pPr>
        <w:pStyle w:val="ListParagraph"/>
        <w:numPr>
          <w:ilvl w:val="0"/>
          <w:numId w:val="30"/>
        </w:numPr>
      </w:pPr>
      <w:r>
        <w:t xml:space="preserve">☐ None — single-agent only (30% of surveyed projects; simplest, no delegation)</w:t>
      </w:r>
    </w:p>
    <w:p>
      <w:pPr>
        <w:pStyle w:val="ListParagraph"/>
        <w:numPr>
          <w:ilvl w:val="0"/>
          <w:numId w:val="30"/>
        </w:numPr>
      </w:pPr>
      <w:r>
        <w:t xml:space="preserve">☐ Basic spawn — simple child-session creation, no structured delegation</w:t>
      </w:r>
    </w:p>
    <w:p>
      <w:pPr>
        <w:pStyle w:val="ListParagraph"/>
        <w:numPr>
          <w:ilvl w:val="0"/>
          <w:numId w:val="30"/>
        </w:numPr>
      </w:pPr>
      <w:r>
        <w:t xml:space="preserve">☐ Tool-based delegation — subagents created via tool calls with structured task parameters</w:t>
      </w:r>
    </w:p>
    <w:p>
      <w:pPr>
        <w:pStyle w:val="ListParagraph"/>
        <w:numPr>
          <w:ilvl w:val="0"/>
          <w:numId w:val="30"/>
        </w:numPr>
      </w:pPr>
      <w:r>
        <w:t xml:space="preserve">☐ Pipeline / stage — sequential stages with dedicated agent roles</w:t>
      </w:r>
    </w:p>
    <w:p>
      <w:pPr>
        <w:pStyle w:val="ListParagraph"/>
        <w:numPr>
          <w:ilvl w:val="0"/>
          <w:numId w:val="30"/>
        </w:numPr>
      </w:pPr>
      <w:r>
        <w:t xml:space="preserve">☐ Orchestrator-worker — central coordinator managing specialized workers</w:t>
      </w:r>
    </w:p>
    <w:p>
      <w:pPr>
        <w:pStyle w:val="ListParagraph"/>
        <w:numPr>
          <w:ilvl w:val="0"/>
          <w:numId w:val="30"/>
        </w:numPr>
      </w:pPr>
      <w:r>
        <w:t xml:space="preserve">☐ Multi-level recursive — nested agents, potential deep nesting (recommend an explicit depth limit regardless — most "recursive" projects in the corpus turned out to enforce one)</w:t>
      </w:r>
    </w:p>
    <w:p>
      <w:pPr>
        <w:pStyle w:val="ListParagraph"/>
        <w:numPr>
          <w:ilvl w:val="0"/>
          <w:numId w:val="30"/>
        </w:numPr>
      </w:pPr>
      <w:r>
        <w:t xml:space="preserve">☐ Swarm / collective — decentralized multi-agent coordination</w:t>
      </w:r>
    </w:p>
    <w:p>
      <w:pPr>
        <w:pStyle w:val="ListParagraph"/>
        <w:numPr>
          <w:ilvl w:val="0"/>
          <w:numId w:val="30"/>
        </w:numPr>
      </w:pPr>
      <w:r>
        <w:t xml:space="preserve">☐ Event-driven — coordination via events, no central orchestrator</w:t>
      </w:r>
    </w:p>
    <w:p>
      <w:pPr>
        <w:pStyle w:val="ListParagraph"/>
        <w:numPr>
          <w:ilvl w:val="0"/>
          <w:numId w:val="30"/>
        </w:numPr>
      </w:pPr>
      <w:r>
        <w:t xml:space="preserve">☐ Deliberately no built-in subagent orchestration — single-loop core by design, delegation available only via extension (distinct from choosing "None" above as a v1 scope limit — this is a stated architectural stance in a widely-used harness, kept out to minimize token overhead)</w:t>
      </w:r>
    </w:p>
    <w:p>
      <w:pPr/>
      <w:r>
        <w:rPr>
          <w:b/>
        </w:rPr>
        <w:t xml:space="preserve">Agent-authored code execution trust</w:t>
      </w:r>
      <w:r>
        <w:t xml:space="preserve"> (a step beyond memory/config trust already covered elsewhere — this is about the model's own generated orchestration code, not injected content. Confirmed as a real, first-class feature in a production harness: a model can emit a workflow blueprint that compiles through the same path as human-authored code and runs on the same runtime it's already executing in):</w:t>
      </w:r>
    </w:p>
    <w:p>
      <w:pPr>
        <w:pStyle w:val="ListParagraph"/>
        <w:numPr>
          <w:ilvl w:val="0"/>
          <w:numId w:val="31"/>
        </w:numPr>
      </w:pPr>
      <w:r>
        <w:t xml:space="preserve">☐ Not applicable — the harness has no mechanism for agent-authored code/workflows to self-execute</w:t>
      </w:r>
    </w:p>
    <w:p>
      <w:pPr>
        <w:pStyle w:val="ListParagraph"/>
        <w:numPr>
          <w:ilvl w:val="0"/>
          <w:numId w:val="31"/>
        </w:numPr>
      </w:pPr>
      <w:r>
        <w:t xml:space="preserve">☐ Agent-authored code/blueprints compile and run through a distinct, lower-trust path than human-authored code (extra validation, sandboxing, or approval gate before execution)</w:t>
      </w:r>
    </w:p>
    <w:p>
      <w:pPr>
        <w:pStyle w:val="ListParagraph"/>
        <w:numPr>
          <w:ilvl w:val="0"/>
          <w:numId w:val="31"/>
        </w:numPr>
      </w:pPr>
      <w:r>
        <w:t xml:space="preserve">☐ Agent-authored code/blueprints run through the identical path as human-authored code, with no differentiated trust tier — a deliberate design choice worth confirming was made deliberately, not by omission</w:t>
      </w:r>
    </w:p>
    <w:p>
      <w:pPr/>
      <w:r>
        <w:rPr>
          <w:b/>
        </w:rPr>
        <w:t xml:space="preserve">Note from the empirical study:</w:t>
      </w:r>
      <w:r>
        <w:t xml:space="preserve"> deeper coordination reliably co-occurs with more explicit context/memory services (support 0.73, lift 1.8) — if you pick orchestrator-worker or recursive, budget Section 5 accordingly; don't scope them independently.</w:t>
      </w:r>
    </w:p>
    <w:p>
      <w:pPr>
        <w:pStyle w:val="Heading2"/>
      </w:pPr>
      <w:r>
        <w:t xml:space="preserve">5. Context &amp; Memory Management</w:t>
      </w:r>
    </w:p>
    <w:p>
      <w:pPr/>
      <w:r>
        <w:rPr>
          <w:b/>
        </w:rPr>
        <w:t xml:space="preserve">Storage backend</w:t>
      </w:r>
      <w:r>
        <w:t xml:space="preserve"> (corpus center of gravity is file-persistent / hybrid / hierarchical, not either extreme):</w:t>
      </w:r>
    </w:p>
    <w:p>
      <w:pPr>
        <w:pStyle w:val="ListParagraph"/>
        <w:numPr>
          <w:ilvl w:val="0"/>
          <w:numId w:val="32"/>
        </w:numPr>
      </w:pPr>
      <w:r>
        <w:t xml:space="preserve">☐ Context window only (no persistence beyond the active prompt)</w:t>
      </w:r>
    </w:p>
    <w:p>
      <w:pPr>
        <w:pStyle w:val="ListParagraph"/>
        <w:numPr>
          <w:ilvl w:val="0"/>
          <w:numId w:val="32"/>
        </w:numPr>
      </w:pPr>
      <w:r>
        <w:t xml:space="preserve">☐ LLM summarization</w:t>
      </w:r>
    </w:p>
    <w:p>
      <w:pPr>
        <w:pStyle w:val="ListParagraph"/>
        <w:numPr>
          <w:ilvl w:val="0"/>
          <w:numId w:val="32"/>
        </w:numPr>
      </w:pPr>
      <w:r>
        <w:t xml:space="preserve">☐ File persistence (continuity without a heavyweight service dependency)</w:t>
      </w:r>
    </w:p>
    <w:p>
      <w:pPr>
        <w:pStyle w:val="ListParagraph"/>
        <w:numPr>
          <w:ilvl w:val="0"/>
          <w:numId w:val="32"/>
        </w:numPr>
      </w:pPr>
      <w:r>
        <w:t xml:space="preserve">☐ Vector database / RAG</w:t>
      </w:r>
    </w:p>
    <w:p>
      <w:pPr>
        <w:pStyle w:val="ListParagraph"/>
        <w:numPr>
          <w:ilvl w:val="0"/>
          <w:numId w:val="32"/>
        </w:numPr>
      </w:pPr>
      <w:r>
        <w:t xml:space="preserve">☐ Hierarchical (working / short-term / long-term layers)</w:t>
      </w:r>
    </w:p>
    <w:p>
      <w:pPr>
        <w:pStyle w:val="ListParagraph"/>
        <w:numPr>
          <w:ilvl w:val="0"/>
          <w:numId w:val="32"/>
        </w:numPr>
      </w:pPr>
      <w:r>
        <w:t xml:space="preserve">☐ Hybrid (combines multiple strategies)</w:t>
      </w:r>
    </w:p>
    <w:p>
      <w:pPr>
        <w:pStyle w:val="ListParagraph"/>
        <w:numPr>
          <w:ilvl w:val="0"/>
          <w:numId w:val="32"/>
        </w:numPr>
      </w:pPr>
      <w:r>
        <w:t xml:space="preserve">☐ Enterprise-grade (vector DB + governance layered in)</w:t>
      </w:r>
    </w:p>
    <w:p>
      <w:pPr/>
      <w:r>
        <w:rPr>
          <w:b/>
        </w:rPr>
        <w:t xml:space="preserve">Compression strategy:</w:t>
      </w:r>
    </w:p>
    <w:p>
      <w:pPr>
        <w:pStyle w:val="ListParagraph"/>
        <w:numPr>
          <w:ilvl w:val="0"/>
          <w:numId w:val="33"/>
        </w:numPr>
      </w:pPr>
      <w:r>
        <w:t xml:space="preserve">☐ Truncation only</w:t>
      </w:r>
    </w:p>
    <w:p>
      <w:pPr>
        <w:pStyle w:val="ListParagraph"/>
        <w:numPr>
          <w:ilvl w:val="0"/>
          <w:numId w:val="33"/>
        </w:numPr>
      </w:pPr>
      <w:r>
        <w:t xml:space="preserve">☐ Summarization</w:t>
      </w:r>
    </w:p>
    <w:p>
      <w:pPr>
        <w:pStyle w:val="ListParagraph"/>
        <w:numPr>
          <w:ilvl w:val="0"/>
          <w:numId w:val="33"/>
        </w:numPr>
      </w:pPr>
      <w:r>
        <w:t xml:space="preserve">☐ Layered / staged compression passes</w:t>
      </w:r>
    </w:p>
    <w:p>
      <w:pPr/>
      <w:r>
        <w:rPr>
          <w:b/>
        </w:rPr>
        <w:t xml:space="preserve">Persistence scope:</w:t>
      </w:r>
    </w:p>
    <w:p>
      <w:pPr>
        <w:pStyle w:val="ListParagraph"/>
        <w:numPr>
          <w:ilvl w:val="0"/>
          <w:numId w:val="34"/>
        </w:numPr>
      </w:pPr>
      <w:r>
        <w:t xml:space="preserve">☐ Session-bound (ephemeral, tolerable for short-lived assistants)</w:t>
      </w:r>
    </w:p>
    <w:p>
      <w:pPr>
        <w:pStyle w:val="ListParagraph"/>
        <w:numPr>
          <w:ilvl w:val="0"/>
          <w:numId w:val="34"/>
        </w:numPr>
      </w:pPr>
      <w:r>
        <w:t xml:space="preserve">☐ Durable across sessions (required for long-running coding/research workflows)</w:t>
      </w:r>
    </w:p>
    <w:p>
      <w:pPr/>
      <w:r>
        <w:rPr>
          <w:b/>
        </w:rPr>
        <w:t xml:space="preserve">Token-budget awareness:</w:t>
      </w:r>
    </w:p>
    <w:p>
      <w:pPr>
        <w:pStyle w:val="ListParagraph"/>
        <w:numPr>
          <w:ilvl w:val="0"/>
          <w:numId w:val="35"/>
        </w:numPr>
      </w:pPr>
      <w:r>
        <w:t xml:space="preserve">☐ Implicit — ad hoc trimming when near the limit</w:t>
      </w:r>
    </w:p>
    <w:p>
      <w:pPr>
        <w:pStyle w:val="ListParagraph"/>
        <w:numPr>
          <w:ilvl w:val="0"/>
          <w:numId w:val="35"/>
        </w:numPr>
      </w:pPr>
      <w:r>
        <w:t xml:space="preserve">☐ Explicit — tracks usage, reserves budget for tool calls/subagents, triggers compression proactively</w:t>
      </w:r>
    </w:p>
    <w:p>
      <w:pPr>
        <w:pStyle w:val="ListParagraph"/>
        <w:numPr>
          <w:ilvl w:val="0"/>
          <w:numId w:val="35"/>
        </w:numPr>
      </w:pPr>
      <w:r>
        <w:t xml:space="preserve">☐ Token/context-pressure measurement anchors on the provider's own reported token count, not a local estimator — confirmed as a real, named bug in a production harness: a built-in local estimator priced non-English text (Chinese) at more than double its real cost, causing those conversations to compact roughly twice as often as necessary. Verify this rather than assuming a local heuristic is unbiased across languages/content types</w:t>
      </w:r>
    </w:p>
    <w:p>
      <w:pPr/>
      <w:r>
        <w:rPr>
          <w:b/>
        </w:rPr>
        <w:t xml:space="preserve">Compaction trigger mechanics</w:t>
      </w:r>
      <w:r>
        <w:t xml:space="preserve"> (SoL-Pi's Online Context Compact mechanism — arXiv:2609.20519):</w:t>
      </w:r>
    </w:p>
    <w:p>
      <w:pPr>
        <w:pStyle w:val="ListParagraph"/>
        <w:numPr>
          <w:ilvl w:val="0"/>
          <w:numId w:val="36"/>
        </w:numPr>
      </w:pPr>
      <w:r>
        <w:t xml:space="preserve">☐ Triggered at plan-step-completion boundaries, gated by a cost estimate (projected savings vs. cache-rewrite cost)</w:t>
      </w:r>
    </w:p>
    <w:p>
      <w:pPr>
        <w:pStyle w:val="ListParagraph"/>
        <w:numPr>
          <w:ilvl w:val="0"/>
          <w:numId w:val="36"/>
        </w:numPr>
      </w:pPr>
      <w:r>
        <w:t xml:space="preserve">☐ Triggered only near the hard context-window limit</w:t>
      </w:r>
    </w:p>
    <w:p>
      <w:pPr>
        <w:pStyle w:val="ListParagraph"/>
        <w:numPr>
          <w:ilvl w:val="0"/>
          <w:numId w:val="36"/>
        </w:numPr>
      </w:pPr>
      <w:r>
        <w:t xml:space="preserve">☐ No compaction — context grows until the window forces truncation</w:t>
      </w:r>
    </w:p>
    <w:p>
      <w:pPr/>
      <w:r>
        <w:rPr>
          <w:b/>
        </w:rPr>
        <w:t xml:space="preserve">Large tool-output handling</w:t>
      </w:r>
      <w:r>
        <w:t xml:space="preserve"> (ObservationPack pattern):</w:t>
      </w:r>
    </w:p>
    <w:p>
      <w:pPr>
        <w:pStyle w:val="ListParagraph"/>
        <w:numPr>
          <w:ilvl w:val="0"/>
          <w:numId w:val="37"/>
        </w:numPr>
      </w:pPr>
      <w:r>
        <w:t xml:space="preserve">☐ Send full output for the first N requests, then substitute a stable handle + excerpt, retrievable on demand</w:t>
      </w:r>
    </w:p>
    <w:p>
      <w:pPr>
        <w:pStyle w:val="ListParagraph"/>
        <w:numPr>
          <w:ilvl w:val="0"/>
          <w:numId w:val="37"/>
        </w:numPr>
      </w:pPr>
      <w:r>
        <w:t xml:space="preserve">☐ Always truncate large outputs immediately</w:t>
      </w:r>
    </w:p>
    <w:p>
      <w:pPr>
        <w:pStyle w:val="ListParagraph"/>
        <w:numPr>
          <w:ilvl w:val="0"/>
          <w:numId w:val="37"/>
        </w:numPr>
      </w:pPr>
      <w:r>
        <w:t xml:space="preserve">☐ Never truncate (accept the token cost)</w:t>
      </w:r>
    </w:p>
    <w:p>
      <w:pPr/>
      <w:r>
        <w:rPr>
          <w:b/>
        </w:rPr>
        <w:t xml:space="preserve">Log/evidence compression</w:t>
      </w:r>
      <w:r>
        <w:t xml:space="preserve"> (Evidence-Preserving Reducer pattern):</w:t>
      </w:r>
    </w:p>
    <w:p>
      <w:pPr>
        <w:pStyle w:val="ListParagraph"/>
        <w:numPr>
          <w:ilvl w:val="0"/>
          <w:numId w:val="38"/>
        </w:numPr>
      </w:pPr>
      <w:r>
        <w:t xml:space="preserve">☐ Auxiliary low-cost model extracts key evidence into a compact receipt, verified deterministically (schema, source hash, exit status, exact quotes) before replacing the raw log</w:t>
      </w:r>
    </w:p>
    <w:p>
      <w:pPr>
        <w:pStyle w:val="ListParagraph"/>
        <w:numPr>
          <w:ilvl w:val="0"/>
          <w:numId w:val="38"/>
        </w:numPr>
      </w:pPr>
      <w:r>
        <w:t xml:space="preserve">☐ Raw pass-through, no compression of build/test logs</w:t>
      </w:r>
    </w:p>
    <w:p>
      <w:pPr/>
      <w:r>
        <w:rPr>
          <w:b/>
        </w:rPr>
        <w:t xml:space="preserve">Caution documented in SoL-Pi's own results:</w:t>
      </w:r>
      <w:r>
        <w:t xml:space="preserve"> shortening context can reduce prompt-cache reuse when it changes a cached prefix — cheaper input isn't automatically cheaper overall. If you implement aggressive compaction, track total cost, not cache-hit rate alone.</w:t>
      </w:r>
    </w:p>
    <w:p>
      <w:pPr>
        <w:pStyle w:val="Heading2"/>
      </w:pPr>
      <w:r>
        <w:t xml:space="preserve">6. Task State &amp; Project Memory</w:t>
      </w:r>
    </w:p>
    <w:p>
      <w:pPr/>
      <w:r>
        <w:rPr>
          <w:b/>
        </w:rPr>
        <w:t xml:space="preserve">Task-state tracking:</w:t>
      </w:r>
    </w:p>
    <w:p>
      <w:pPr>
        <w:pStyle w:val="ListParagraph"/>
        <w:numPr>
          <w:ilvl w:val="0"/>
          <w:numId w:val="39"/>
        </w:numPr>
      </w:pPr>
      <w:r>
        <w:t xml:space="preserve">☐ Dedicated task-state file (hypothesis, inspected files, open questions, next steps) — prevents drift and repeated work</w:t>
      </w:r>
    </w:p>
    <w:p>
      <w:pPr>
        <w:pStyle w:val="ListParagraph"/>
        <w:numPr>
          <w:ilvl w:val="0"/>
          <w:numId w:val="39"/>
        </w:numPr>
      </w:pPr>
      <w:r>
        <w:t xml:space="preserve">☐ No explicit task state — relies on conversation history alone</w:t>
      </w:r>
    </w:p>
    <w:p>
      <w:pPr>
        <w:pStyle w:val="ListParagraph"/>
        <w:numPr>
          <w:ilvl w:val="0"/>
          <w:numId w:val="39"/>
        </w:numPr>
      </w:pPr>
      <w:r>
        <w:t xml:space="preserve">☐ Deliberately no built-in task-state/to-do tracking — kept out of the core to minimize system-prompt token overhead, available only via extension if needed</w:t>
      </w:r>
    </w:p>
    <w:p>
      <w:pPr>
        <w:pStyle w:val="ListParagraph"/>
        <w:numPr>
          <w:ilvl w:val="0"/>
          <w:numId w:val="39"/>
        </w:numPr>
      </w:pPr>
      <w:r>
        <w:t xml:space="preserve">☐ Vendor-term check — "background bash execution": the named feature (running a command asynchronously while the agent keeps working) is one concrete instance of the broader durable, resumable async-task-execution capability this section already covers — confirmed as a named capability in production (a shared background service that keeps accepted tasks running after the client closes, and a separate scheduled-automation layer built on the same session/permission/recovery machinery). The specific tool is optional; the general capability it instantiates recurs constantly enough to be worth checking for even when a harness doesn't call it out by this name</w:t>
      </w:r>
    </w:p>
    <w:p>
      <w:pPr/>
      <w:r>
        <w:rPr>
          <w:b/>
        </w:rPr>
        <w:t xml:space="preserve">Agent-readable project memory:</w:t>
      </w:r>
    </w:p>
    <w:p>
      <w:pPr>
        <w:pStyle w:val="ListParagraph"/>
        <w:numPr>
          <w:ilvl w:val="0"/>
          <w:numId w:val="40"/>
        </w:numPr>
      </w:pPr>
      <w:r>
        <w:t xml:space="preserve">☐ Architecture document</w:t>
      </w:r>
    </w:p>
    <w:p>
      <w:pPr>
        <w:pStyle w:val="ListParagraph"/>
        <w:numPr>
          <w:ilvl w:val="0"/>
          <w:numId w:val="40"/>
        </w:numPr>
      </w:pPr>
      <w:r>
        <w:t xml:space="preserve">☐ Testing conventions guide</w:t>
      </w:r>
    </w:p>
    <w:p>
      <w:pPr>
        <w:pStyle w:val="ListParagraph"/>
        <w:numPr>
          <w:ilvl w:val="0"/>
          <w:numId w:val="40"/>
        </w:numPr>
      </w:pPr>
      <w:r>
        <w:t xml:space="preserve">☐ Known-failures file</w:t>
      </w:r>
    </w:p>
    <w:p>
      <w:pPr>
        <w:pStyle w:val="ListParagraph"/>
        <w:numPr>
          <w:ilvl w:val="0"/>
          <w:numId w:val="40"/>
        </w:numPr>
      </w:pPr>
      <w:r>
        <w:t xml:space="preserve">☐ None of the above — agent rediscovers project structure each session</w:t>
      </w:r>
    </w:p>
    <w:p>
      <w:pPr/>
      <w:r>
        <w:rPr>
          <w:b/>
        </w:rPr>
        <w:t xml:space="preserve">Context-selection protocol:</w:t>
      </w:r>
    </w:p>
    <w:p>
      <w:pPr>
        <w:pStyle w:val="ListParagraph"/>
        <w:numPr>
          <w:ilvl w:val="0"/>
          <w:numId w:val="41"/>
        </w:numPr>
      </w:pPr>
      <w:r>
        <w:t xml:space="preserve">☐ Explicit — a defined procedure for what memory gets pulled into context and why</w:t>
      </w:r>
    </w:p>
    <w:p>
      <w:pPr>
        <w:pStyle w:val="ListParagraph"/>
        <w:numPr>
          <w:ilvl w:val="0"/>
          <w:numId w:val="41"/>
        </w:numPr>
      </w:pPr>
      <w:r>
        <w:t xml:space="preserve">☐ Implicit — whatever fits gets included, no selection logic</w:t>
      </w:r>
    </w:p>
    <w:p>
      <w:pPr/>
      <w:r>
        <w:rPr>
          <w:b/>
        </w:rPr>
        <w:t xml:space="preserve">Memory auditability:</w:t>
      </w:r>
      <w:r>
        <w:t xml:space="preserve"> providing memory is not the same as memory being usable — decide whether you will trace </w:t>
      </w:r>
      <w:r>
        <w:rPr>
          <w:i/>
        </w:rPr>
        <w:t xml:space="preserve">which</w:t>
      </w:r>
      <w:r>
        <w:t xml:space="preserve"> memory artifact was consulted, what it contributed, and whether it changed the agent's decision. Without this trace, a stale or wrong memory file is invisible until it silently misleads the agent.</w:t>
      </w:r>
    </w:p>
    <w:p>
      <w:pPr>
        <w:pStyle w:val="ListParagraph"/>
        <w:numPr>
          <w:ilvl w:val="0"/>
          <w:numId w:val="42"/>
        </w:numPr>
      </w:pPr>
      <w:r>
        <w:t xml:space="preserve">☐ Context trace implemented (memory use is inspectable)</w:t>
      </w:r>
    </w:p>
    <w:p>
      <w:pPr>
        <w:pStyle w:val="ListParagraph"/>
        <w:numPr>
          <w:ilvl w:val="0"/>
          <w:numId w:val="42"/>
        </w:numPr>
      </w:pPr>
      <w:r>
        <w:t xml:space="preserve">☐ No trace — memory is an opaque prompt ingredient</w:t>
      </w:r>
    </w:p>
    <w:p>
      <w:pPr/>
      <w:r>
        <w:rPr>
          <w:b/>
        </w:rPr>
        <w:t xml:space="preserve">Project-memory content trust</w:t>
      </w:r>
      <w:r>
        <w:t xml:space="preserve"> (a different failure mode from the auditability question above — that asked whether memory </w:t>
      </w:r>
      <w:r>
        <w:rPr>
          <w:i/>
        </w:rPr>
        <w:t xml:space="preserve">use</w:t>
      </w:r>
      <w:r>
        <w:t xml:space="preserve"> is traced; this asks whether memory </w:t>
      </w:r>
      <w:r>
        <w:rPr>
          <w:i/>
        </w:rPr>
        <w:t xml:space="preserve">content</w:t>
      </w:r>
      <w:r>
        <w:t xml:space="preserve"> is vetted before being trusted at all):</w:t>
      </w:r>
    </w:p>
    <w:p>
      <w:pPr>
        <w:pStyle w:val="ListParagraph"/>
        <w:numPr>
          <w:ilvl w:val="0"/>
          <w:numId w:val="43"/>
        </w:numPr>
      </w:pPr>
      <w:r>
        <w:t xml:space="preserve">☐ Project/context files are scanned for injected instructions before being trusted (a real, named attack: content from an untrusted source — a web page, a support ticket — gets the agent to persist a malicious instruction into a memory or skill file, which then silently re-executes on every future session)</w:t>
      </w:r>
    </w:p>
    <w:p>
      <w:pPr>
        <w:pStyle w:val="ListParagraph"/>
        <w:numPr>
          <w:ilvl w:val="0"/>
          <w:numId w:val="43"/>
        </w:numPr>
      </w:pPr>
      <w:r>
        <w:t xml:space="preserve">☐ Project/context files are trusted unconditionally once present on disk</w:t>
      </w:r>
    </w:p>
    <w:p>
      <w:pPr>
        <w:pStyle w:val="ListParagraph"/>
        <w:numPr>
          <w:ilvl w:val="0"/>
          <w:numId w:val="43"/>
        </w:numPr>
      </w:pPr>
      <w:r>
        <w:t xml:space="preserve">☐ Not yet decided — worth a deliberate answer given this is exactly the kind of thing that looks fine until it's exploited once</w:t>
      </w:r>
    </w:p>
    <w:p>
      <w:pPr>
        <w:pStyle w:val="ListParagraph"/>
        <w:numPr>
          <w:ilvl w:val="0"/>
          <w:numId w:val="43"/>
        </w:numPr>
      </w:pPr>
      <w:r>
        <w:t xml:space="preserve">☐ Config-loading trust gate, distinct from the content-scanning question above: does the harness load project-supplied configuration (not just memory files) unconditionally, or only once the project directory has been explicitly marked trusted? Without this, opening an untrusted repository could silently change security-relevant settings — approval mode, sandbox scope — before you've made any deliberate choice about it</w:t>
      </w:r>
    </w:p>
    <w:p>
      <w:pPr>
        <w:pStyle w:val="ListParagraph"/>
        <w:numPr>
          <w:ilvl w:val="0"/>
          <w:numId w:val="43"/>
        </w:numPr>
      </w:pPr>
      <w:r>
        <w:t xml:space="preserve">☐ Concrete escaping mechanism, if content scanning above is implemented: injected/untrusted content is wrapped in an explicit boundary marker whose closing tag is escaped, so the content itself cannot forge a matching close and break out of its container to be interpreted as a new instruction — confirmed as a real, shipped defense in a production harness</w:t>
      </w:r>
    </w:p>
    <w:p>
      <w:pPr>
        <w:pStyle w:val="Heading2"/>
      </w:pPr>
      <w:r>
        <w:t xml:space="preserve">7. Observability &amp; Tracing</w:t>
      </w:r>
    </w:p>
    <w:p>
      <w:pPr/>
      <w:r>
        <w:rPr>
          <w:b/>
        </w:rPr>
        <w:t xml:space="preserve">Trace types to capture</w:t>
      </w:r>
      <w:r>
        <w:t xml:space="preserve"> — check each you'll actually implement (a harness that claims to be observable but only logs one of these isn't really auditable):</w:t>
      </w:r>
    </w:p>
    <w:p>
      <w:pPr>
        <w:pStyle w:val="ListParagraph"/>
        <w:numPr>
          <w:ilvl w:val="0"/>
          <w:numId w:val="44"/>
        </w:numPr>
      </w:pPr>
      <w:r>
        <w:t xml:space="preserve">☐ Action trace (sequence of agent operations)</w:t>
      </w:r>
    </w:p>
    <w:p>
      <w:pPr>
        <w:pStyle w:val="ListParagraph"/>
        <w:numPr>
          <w:ilvl w:val="0"/>
          <w:numId w:val="44"/>
        </w:numPr>
      </w:pPr>
      <w:r>
        <w:t xml:space="preserve">☐ Tool trace (command, exit code, duration, timeout status, recovery outcome)</w:t>
      </w:r>
    </w:p>
    <w:p>
      <w:pPr>
        <w:pStyle w:val="ListParagraph"/>
        <w:numPr>
          <w:ilvl w:val="0"/>
          <w:numId w:val="44"/>
        </w:numPr>
      </w:pPr>
      <w:r>
        <w:t xml:space="preserve">☐ Context trace (which memory artifacts were consulted and their influence)</w:t>
      </w:r>
    </w:p>
    <w:p>
      <w:pPr>
        <w:pStyle w:val="ListParagraph"/>
        <w:numPr>
          <w:ilvl w:val="0"/>
          <w:numId w:val="44"/>
        </w:numPr>
      </w:pPr>
      <w:r>
        <w:t xml:space="preserve">☐ Verification trace (type of check, method, result, requirements covered)</w:t>
      </w:r>
    </w:p>
    <w:p>
      <w:pPr>
        <w:pStyle w:val="ListParagraph"/>
        <w:numPr>
          <w:ilvl w:val="0"/>
          <w:numId w:val="44"/>
        </w:numPr>
      </w:pPr>
      <w:r>
        <w:t xml:space="preserve">☐ Failure-attribution log (observed vs. expected output, diagnosis, alternatives considered)</w:t>
      </w:r>
    </w:p>
    <w:p>
      <w:pPr>
        <w:pStyle w:val="ListParagraph"/>
        <w:numPr>
          <w:ilvl w:val="0"/>
          <w:numId w:val="44"/>
        </w:numPr>
      </w:pPr>
      <w:r>
        <w:t xml:space="preserve">☐ Intervention log (human assistance during an episode, its avoidability)</w:t>
      </w:r>
    </w:p>
    <w:p>
      <w:pPr>
        <w:pStyle w:val="ListParagraph"/>
        <w:numPr>
          <w:ilvl w:val="0"/>
          <w:numId w:val="44"/>
        </w:numPr>
      </w:pPr>
      <w:r>
        <w:t xml:space="preserve">☐ Entropy audit (maintenance burden the agent introduced)</w:t>
      </w:r>
    </w:p>
    <w:p>
      <w:pPr>
        <w:pStyle w:val="ListParagraph"/>
        <w:numPr>
          <w:ilvl w:val="0"/>
          <w:numId w:val="44"/>
        </w:numPr>
      </w:pPr>
      <w:r>
        <w:t xml:space="preserve">☐ Outcome record (final classification)</w:t>
      </w:r>
    </w:p>
    <w:p>
      <w:pPr/>
      <w:r>
        <w:rPr>
          <w:b/>
        </w:rPr>
        <w:t xml:space="preserve">Trace format:</w:t>
      </w:r>
    </w:p>
    <w:p>
      <w:pPr>
        <w:pStyle w:val="ListParagraph"/>
        <w:numPr>
          <w:ilvl w:val="0"/>
          <w:numId w:val="45"/>
        </w:numPr>
      </w:pPr>
      <w:r>
        <w:t xml:space="preserve">☐ Structured (JSONL or similar) — machine-parseable, supports later analysis</w:t>
      </w:r>
    </w:p>
    <w:p>
      <w:pPr>
        <w:pStyle w:val="ListParagraph"/>
        <w:numPr>
          <w:ilvl w:val="0"/>
          <w:numId w:val="45"/>
        </w:numPr>
      </w:pPr>
      <w:r>
        <w:t xml:space="preserve">☐ Free-text log only — human-readable, not analyzable at scale</w:t>
      </w:r>
    </w:p>
    <w:p>
      <w:pPr/>
      <w:r>
        <w:rPr>
          <w:b/>
        </w:rPr>
        <w:t xml:space="preserve">Cross-harness session/telemetry correlation</w:t>
      </w:r>
      <w:r>
        <w:t xml:space="preserve"> (only relevant if a provider wraps another harness, per Section 1 — confirmed as a real, documented limitation rather than a hypothetical one):</w:t>
      </w:r>
    </w:p>
    <w:p>
      <w:pPr>
        <w:pStyle w:val="ListParagraph"/>
        <w:numPr>
          <w:ilvl w:val="0"/>
          <w:numId w:val="46"/>
        </w:numPr>
      </w:pPr>
      <w:r>
        <w:t xml:space="preserve">☐ Not applicable — no harness-wrapping providers</w:t>
      </w:r>
    </w:p>
    <w:p>
      <w:pPr>
        <w:pStyle w:val="ListParagraph"/>
        <w:numPr>
          <w:ilvl w:val="0"/>
          <w:numId w:val="46"/>
        </w:numPr>
      </w:pPr>
      <w:r>
        <w:t xml:space="preserve">☐ Session and trace IDs correlate across the boundary — one coherent trace covers both sides</w:t>
      </w:r>
    </w:p>
    <w:p>
      <w:pPr>
        <w:pStyle w:val="ListParagraph"/>
        <w:numPr>
          <w:ilvl w:val="0"/>
          <w:numId w:val="46"/>
        </w:numPr>
      </w:pPr>
      <w:r>
        <w:t xml:space="preserve">☐ Session and trace IDs do not correlate — the wrapped harness's own session ID differs from this harness's session ID, so telemetry fields can't be joined across the two without extra work. Document this explicitly rather than letting it surface as a silent observability gap</w:t>
      </w:r>
    </w:p>
    <w:p>
      <w:pPr/>
      <w:r>
        <w:rPr>
          <w:b/>
        </w:rPr>
        <w:t xml:space="preserve">Minimum bar to set now:</w:t>
      </w:r>
      <w:r>
        <w:t xml:space="preserve"> decide which of the eight trace types above are non-negotiable for your first version vs. deferred — this directly determines what failure modes you'll be able to diagnose later without re-instrumenting.</w:t>
      </w:r>
    </w:p>
    <w:p>
      <w:pPr>
        <w:pStyle w:val="Heading2"/>
      </w:pPr>
      <w:r>
        <w:t xml:space="preserve">8. Failure Attribution</w:t>
      </w:r>
    </w:p>
    <w:p>
      <w:pPr/>
      <w:r>
        <w:rPr>
          <w:b/>
        </w:rPr>
        <w:t xml:space="preserve">Attribution-before-recovery discipline:</w:t>
      </w:r>
    </w:p>
    <w:p>
      <w:pPr>
        <w:pStyle w:val="ListParagraph"/>
        <w:numPr>
          <w:ilvl w:val="0"/>
          <w:numId w:val="47"/>
        </w:numPr>
      </w:pPr>
      <w:r>
        <w:t xml:space="preserve">☐ A failed observation must produce a classified diagnosis before the agent is allowed to edit again</w:t>
      </w:r>
    </w:p>
    <w:p>
      <w:pPr>
        <w:pStyle w:val="ListParagraph"/>
        <w:numPr>
          <w:ilvl w:val="0"/>
          <w:numId w:val="47"/>
        </w:numPr>
      </w:pPr>
      <w:r>
        <w:t xml:space="preserve">☐ No enforced gap — agent may re-edit immediately after any failure (higher risk of "lucky fixes" or random patching)</w:t>
      </w:r>
    </w:p>
    <w:p>
      <w:pPr/>
      <w:r>
        <w:rPr>
          <w:b/>
        </w:rPr>
        <w:t xml:space="preserve">Failure taxonomy to classify against:</w:t>
      </w:r>
    </w:p>
    <w:p>
      <w:pPr>
        <w:pStyle w:val="ListParagraph"/>
        <w:numPr>
          <w:ilvl w:val="0"/>
          <w:numId w:val="48"/>
        </w:numPr>
      </w:pPr>
      <w:r>
        <w:t xml:space="preserve">☐ Context failure (agent lacks or misuses relevant context)</w:t>
      </w:r>
    </w:p>
    <w:p>
      <w:pPr>
        <w:pStyle w:val="ListParagraph"/>
        <w:numPr>
          <w:ilvl w:val="0"/>
          <w:numId w:val="48"/>
        </w:numPr>
      </w:pPr>
      <w:r>
        <w:t xml:space="preserve">☐ Tool failure (missing, unstable, or misused tool)</w:t>
      </w:r>
    </w:p>
    <w:p>
      <w:pPr>
        <w:pStyle w:val="ListParagraph"/>
        <w:numPr>
          <w:ilvl w:val="0"/>
          <w:numId w:val="48"/>
        </w:numPr>
      </w:pPr>
      <w:r>
        <w:t xml:space="preserve">☐ Feedback failure (feedback unavailable or uninterpretable)</w:t>
      </w:r>
    </w:p>
    <w:p>
      <w:pPr>
        <w:pStyle w:val="ListParagraph"/>
        <w:numPr>
          <w:ilvl w:val="0"/>
          <w:numId w:val="48"/>
        </w:numPr>
      </w:pPr>
      <w:r>
        <w:t xml:space="preserve">☐ Verification failure (agent cannot prove requirements are satisfied)</w:t>
      </w:r>
    </w:p>
    <w:p>
      <w:pPr>
        <w:pStyle w:val="ListParagraph"/>
        <w:numPr>
          <w:ilvl w:val="0"/>
          <w:numId w:val="48"/>
        </w:numPr>
      </w:pPr>
      <w:r>
        <w:t xml:space="preserve">☐ Recovery failure (agent cannot recover from a prior failure)</w:t>
      </w:r>
    </w:p>
    <w:p>
      <w:pPr>
        <w:pStyle w:val="ListParagraph"/>
        <w:numPr>
          <w:ilvl w:val="0"/>
          <w:numId w:val="48"/>
        </w:numPr>
      </w:pPr>
      <w:r>
        <w:t xml:space="preserve">☐ Entropy failure (agent introduces maintenance burden)</w:t>
      </w:r>
    </w:p>
    <w:p>
      <w:pPr>
        <w:pStyle w:val="ListParagraph"/>
        <w:numPr>
          <w:ilvl w:val="0"/>
          <w:numId w:val="48"/>
        </w:numPr>
      </w:pPr>
      <w:r>
        <w:t xml:space="preserve">☐ Model failure (reasoning/coding failure despite adequate harness support)</w:t>
      </w:r>
    </w:p>
    <w:p>
      <w:pPr>
        <w:pStyle w:val="ListParagraph"/>
        <w:numPr>
          <w:ilvl w:val="0"/>
          <w:numId w:val="48"/>
        </w:numPr>
      </w:pPr>
      <w:r>
        <w:t xml:space="preserve">☐ Unknown / unattributable</w:t>
      </w:r>
    </w:p>
    <w:p>
      <w:pPr/>
      <w:r>
        <w:rPr>
          <w:b/>
        </w:rPr>
        <w:t xml:space="preserve">Attribution log contents (if implemented):</w:t>
      </w:r>
    </w:p>
    <w:p>
      <w:pPr>
        <w:pStyle w:val="ListParagraph"/>
        <w:numPr>
          <w:ilvl w:val="0"/>
          <w:numId w:val="49"/>
        </w:numPr>
      </w:pPr>
      <w:r>
        <w:t xml:space="preserve">☐ Observed output</w:t>
      </w:r>
    </w:p>
    <w:p>
      <w:pPr>
        <w:pStyle w:val="ListParagraph"/>
        <w:numPr>
          <w:ilvl w:val="0"/>
          <w:numId w:val="49"/>
        </w:numPr>
      </w:pPr>
      <w:r>
        <w:t xml:space="preserve">☐ Expected output</w:t>
      </w:r>
    </w:p>
    <w:p>
      <w:pPr>
        <w:pStyle w:val="ListParagraph"/>
        <w:numPr>
          <w:ilvl w:val="0"/>
          <w:numId w:val="49"/>
        </w:numPr>
      </w:pPr>
      <w:r>
        <w:t xml:space="preserve">☐ Inferred failure type</w:t>
      </w:r>
    </w:p>
    <w:p>
      <w:pPr>
        <w:pStyle w:val="ListParagraph"/>
        <w:numPr>
          <w:ilvl w:val="0"/>
          <w:numId w:val="49"/>
        </w:numPr>
      </w:pPr>
      <w:r>
        <w:t xml:space="preserve">☐ Supporting evidence</w:t>
      </w:r>
    </w:p>
    <w:p>
      <w:pPr>
        <w:pStyle w:val="ListParagraph"/>
        <w:numPr>
          <w:ilvl w:val="0"/>
          <w:numId w:val="49"/>
        </w:numPr>
      </w:pPr>
      <w:r>
        <w:t xml:space="preserve">☐ Alternative explanations considered</w:t>
      </w:r>
    </w:p>
    <w:p>
      <w:pPr>
        <w:pStyle w:val="ListParagraph"/>
        <w:numPr>
          <w:ilvl w:val="0"/>
          <w:numId w:val="49"/>
        </w:numPr>
      </w:pPr>
      <w:r>
        <w:t xml:space="preserve">☐ Next diagnostic action</w:t>
      </w:r>
    </w:p>
    <w:p>
      <w:pPr/>
      <w:r>
        <w:t xml:space="preserve">This is the component most harnesses skip entirely — worth deciding deliberately rather than by omission, since it's what turns a failed run from "broken, try again" into a diagnosable event.</w:t>
      </w:r>
    </w:p>
    <w:p>
      <w:pPr>
        <w:pStyle w:val="Heading2"/>
      </w:pPr>
      <w:r>
        <w:t xml:space="preserve">9. Verification Protocol</w:t>
      </w:r>
    </w:p>
    <w:p>
      <w:pPr/>
      <w:r>
        <w:rPr>
          <w:b/>
        </w:rPr>
        <w:t xml:space="preserve">Verification types supported:</w:t>
      </w:r>
    </w:p>
    <w:p>
      <w:pPr>
        <w:pStyle w:val="ListParagraph"/>
        <w:numPr>
          <w:ilvl w:val="0"/>
          <w:numId w:val="50"/>
        </w:numPr>
      </w:pPr>
      <w:r>
        <w:t xml:space="preserve">☐ Deterministic behavioral check (a scripted probe with an expected-output substring)</w:t>
      </w:r>
    </w:p>
    <w:p>
      <w:pPr>
        <w:pStyle w:val="ListParagraph"/>
        <w:numPr>
          <w:ilvl w:val="0"/>
          <w:numId w:val="50"/>
        </w:numPr>
      </w:pPr>
      <w:r>
        <w:t xml:space="preserve">☐ Targeted test (runs a specific, relevant test)</w:t>
      </w:r>
    </w:p>
    <w:p>
      <w:pPr>
        <w:pStyle w:val="ListParagraph"/>
        <w:numPr>
          <w:ilvl w:val="0"/>
          <w:numId w:val="50"/>
        </w:numPr>
      </w:pPr>
      <w:r>
        <w:t xml:space="preserve">☐ Full regression (runs the whole suite; decide your timeout policy)</w:t>
      </w:r>
    </w:p>
    <w:p>
      <w:pPr>
        <w:pStyle w:val="ListParagraph"/>
        <w:numPr>
          <w:ilvl w:val="0"/>
          <w:numId w:val="50"/>
        </w:numPr>
      </w:pPr>
      <w:r>
        <w:t xml:space="preserve">☐ Lint</w:t>
      </w:r>
    </w:p>
    <w:p>
      <w:pPr>
        <w:pStyle w:val="ListParagraph"/>
        <w:numPr>
          <w:ilvl w:val="0"/>
          <w:numId w:val="50"/>
        </w:numPr>
      </w:pPr>
      <w:r>
        <w:t xml:space="preserve">☐ Patch/diff review (structural check on the edit itself)</w:t>
      </w:r>
    </w:p>
    <w:p>
      <w:pPr>
        <w:pStyle w:val="ListParagraph"/>
        <w:numPr>
          <w:ilvl w:val="0"/>
          <w:numId w:val="50"/>
        </w:numPr>
      </w:pPr>
      <w:r>
        <w:t xml:space="preserve">☐ Manual/human check</w:t>
      </w:r>
    </w:p>
    <w:p>
      <w:pPr/>
      <w:r>
        <w:rPr>
          <w:b/>
        </w:rPr>
        <w:t xml:space="preserve">Requirement-to-evidence binding:</w:t>
      </w:r>
    </w:p>
    <w:p>
      <w:pPr>
        <w:pStyle w:val="ListParagraph"/>
        <w:numPr>
          <w:ilvl w:val="0"/>
          <w:numId w:val="51"/>
        </w:numPr>
      </w:pPr>
      <w:r>
        <w:t xml:space="preserve">☐ Explicit — each task requirement is mapped to a specific piece of verification evidence before completion is declared</w:t>
      </w:r>
    </w:p>
    <w:p>
      <w:pPr>
        <w:pStyle w:val="ListParagraph"/>
        <w:numPr>
          <w:ilvl w:val="0"/>
          <w:numId w:val="51"/>
        </w:numPr>
      </w:pPr>
      <w:r>
        <w:t xml:space="preserve">☐ Implicit — completion is a natural-language assertion from the model ("this should work now") with no bound evidence</w:t>
      </w:r>
    </w:p>
    <w:p>
      <w:pPr/>
      <w:r>
        <w:rPr>
          <w:b/>
        </w:rPr>
        <w:t xml:space="preserve">Who verifies:</w:t>
      </w:r>
    </w:p>
    <w:p>
      <w:pPr>
        <w:pStyle w:val="ListParagraph"/>
        <w:numPr>
          <w:ilvl w:val="0"/>
          <w:numId w:val="52"/>
        </w:numPr>
      </w:pPr>
      <w:r>
        <w:t xml:space="preserve">☐ Agent self-verifies using tools exposed for that purpose</w:t>
      </w:r>
    </w:p>
    <w:p>
      <w:pPr>
        <w:pStyle w:val="ListParagraph"/>
        <w:numPr>
          <w:ilvl w:val="0"/>
          <w:numId w:val="52"/>
        </w:numPr>
      </w:pPr>
      <w:r>
        <w:t xml:space="preserve">☐ External evaluator (separate from the agent) checks after the fact</w:t>
      </w:r>
    </w:p>
    <w:p>
      <w:pPr>
        <w:pStyle w:val="ListParagraph"/>
        <w:numPr>
          <w:ilvl w:val="0"/>
          <w:numId w:val="52"/>
        </w:numPr>
      </w:pPr>
      <w:r>
        <w:t xml:space="preserve">☐ Human review required before completion is accepted</w:t>
      </w:r>
    </w:p>
    <w:p>
      <w:pPr/>
      <w:r>
        <w:rPr>
          <w:b/>
        </w:rPr>
        <w:t xml:space="preserve">Outcome taxonomy</w:t>
      </w:r>
      <w:r>
        <w:t xml:space="preserve"> (adopt or adapt):</w:t>
      </w:r>
    </w:p>
    <w:p>
      <w:pPr>
        <w:pStyle w:val="ListParagraph"/>
        <w:numPr>
          <w:ilvl w:val="0"/>
          <w:numId w:val="53"/>
        </w:numPr>
      </w:pPr>
      <w:r>
        <w:t xml:space="preserve">☐ </w:t>
      </w:r>
      <w:r>
        <w:rPr>
          <w:rStyle w:val="CodeChar"/>
        </w:rPr>
        <w:t xml:space="preserve">autonomous_verified_success</w:t>
      </w:r>
      <w:r>
        <w:t xml:space="preserve"> — requirements satisfied, sufficient evidence produced, no human intervention needed</w:t>
      </w:r>
    </w:p>
    <w:p>
      <w:pPr>
        <w:pStyle w:val="ListParagraph"/>
        <w:numPr>
          <w:ilvl w:val="0"/>
          <w:numId w:val="53"/>
        </w:numPr>
      </w:pPr>
      <w:r>
        <w:t xml:space="preserve">☐ </w:t>
      </w:r>
      <w:r>
        <w:rPr>
          <w:rStyle w:val="CodeChar"/>
        </w:rPr>
        <w:t xml:space="preserve">assisted_verified_success</w:t>
      </w:r>
      <w:r>
        <w:t xml:space="preserve"> — correct result, but key progress or verification depended on human help</w:t>
      </w:r>
    </w:p>
    <w:p>
      <w:pPr>
        <w:pStyle w:val="ListParagraph"/>
        <w:numPr>
          <w:ilvl w:val="0"/>
          <w:numId w:val="53"/>
        </w:numPr>
      </w:pPr>
      <w:r>
        <w:t xml:space="preserve">☐ </w:t>
      </w:r>
      <w:r>
        <w:rPr>
          <w:rStyle w:val="CodeChar"/>
        </w:rPr>
        <w:t xml:space="preserve">unverified_success</w:t>
      </w:r>
      <w:r>
        <w:t xml:space="preserve"> — result looks correct but the agent didn't itself produce sufficient evidence</w:t>
      </w:r>
    </w:p>
    <w:p>
      <w:pPr>
        <w:pStyle w:val="ListParagraph"/>
        <w:numPr>
          <w:ilvl w:val="0"/>
          <w:numId w:val="53"/>
        </w:numPr>
      </w:pPr>
      <w:r>
        <w:t xml:space="preserve">☐ </w:t>
      </w:r>
      <w:r>
        <w:rPr>
          <w:rStyle w:val="CodeChar"/>
        </w:rPr>
        <w:t xml:space="preserve">failed</w:t>
      </w:r>
      <w:r>
        <w:t xml:space="preserve"> — required behavior fails or no usable result produced</w:t>
      </w:r>
    </w:p>
    <w:p>
      <w:pPr>
        <w:pStyle w:val="ListParagraph"/>
        <w:numPr>
          <w:ilvl w:val="0"/>
          <w:numId w:val="53"/>
        </w:numPr>
      </w:pPr>
      <w:r>
        <w:t xml:space="preserve">☐ </w:t>
      </w:r>
      <w:r>
        <w:rPr>
          <w:rStyle w:val="CodeChar"/>
        </w:rPr>
        <w:t xml:space="preserve">unsafe_invalid</w:t>
      </w:r>
      <w:r>
        <w:t xml:space="preserve"> — tests weakened, unrelated destructive edits occurred, or the task was bypassed</w:t>
      </w:r>
    </w:p>
    <w:p>
      <w:pPr/>
      <w:r>
        <w:rPr>
          <w:b/>
        </w:rPr>
        <w:t xml:space="preserve">Full-regression timeout handling (decide now, not during an incident):</w:t>
      </w:r>
    </w:p>
    <w:p>
      <w:pPr>
        <w:pStyle w:val="ListParagraph"/>
        <w:numPr>
          <w:ilvl w:val="0"/>
          <w:numId w:val="54"/>
        </w:numPr>
      </w:pPr>
      <w:r>
        <w:t xml:space="preserve">☐ Timeout recorded as a limitation, not silently retried or treated as success</w:t>
      </w:r>
    </w:p>
    <w:p>
      <w:pPr>
        <w:pStyle w:val="ListParagraph"/>
        <w:numPr>
          <w:ilvl w:val="0"/>
          <w:numId w:val="54"/>
        </w:numPr>
      </w:pPr>
      <w:r>
        <w:t xml:space="preserve">☐ No explicit timeout policy defined yet</w:t>
      </w:r>
    </w:p>
    <w:p>
      <w:pPr/>
      <w:r>
        <w:rPr>
          <w:b/>
        </w:rPr>
        <w:t xml:space="preserve">Timeout hierarchy</w:t>
      </w:r>
      <w:r>
        <w:t xml:space="preserve"> (a distinct policy question from full-regression handling above — confirmed as a real, well-specified two-tier pattern in a production harness):</w:t>
      </w:r>
    </w:p>
    <w:p>
      <w:pPr>
        <w:pStyle w:val="ListParagraph"/>
        <w:numPr>
          <w:ilvl w:val="0"/>
          <w:numId w:val="55"/>
        </w:numPr>
      </w:pPr>
      <w:r>
        <w:t xml:space="preserve">☐ Single timeout tier only — one deadline covers everything</w:t>
      </w:r>
    </w:p>
    <w:p>
      <w:pPr>
        <w:pStyle w:val="ListParagraph"/>
        <w:numPr>
          <w:ilvl w:val="0"/>
          <w:numId w:val="55"/>
        </w:numPr>
      </w:pPr>
      <w:r>
        <w:t xml:space="preserve">☐ Two-tier hierarchy: a per-tool soft timeout that produces a recoverable error the agent can see and react to (retry, pick a different tool), separate from a run-level hard timeout that unconditionally aborts regardless of what the per-tool tier allows</w:t>
      </w:r>
    </w:p>
    <w:p>
      <w:pPr>
        <w:pStyle w:val="ListParagraph"/>
        <w:numPr>
          <w:ilvl w:val="0"/>
          <w:numId w:val="55"/>
        </w:numPr>
      </w:pPr>
      <w:r>
        <w:t xml:space="preserve">☐ Not yet decided — worth specifying deliberately, since conflating the two tiers means a single slow tool call can either abort an otherwise-healthy run, or a genuinely stuck run has no outer bound</w:t>
      </w:r>
    </w:p>
    <w:p>
      <w:pPr>
        <w:pStyle w:val="Heading2"/>
      </w:pPr>
      <w:r>
        <w:t xml:space="preserve">10. Permissions &amp; Sandboxing</w:t>
      </w:r>
    </w:p>
    <w:p>
      <w:pPr/>
      <w:r>
        <w:t xml:space="preserve">These are three separate axes, not one linear scale — confirmed by checking two independent production harnesses, both of which split them the same way. Pick one option from each of the three groups below; they combine, they don't substitute for each other.</w:t>
      </w:r>
    </w:p>
    <w:p>
      <w:pPr/>
      <w:r>
        <w:rPr>
          <w:b/>
        </w:rPr>
        <w:t xml:space="preserve">Axis 0 — User authorization</w:t>
      </w:r>
      <w:r>
        <w:t xml:space="preserve"> (a distinct question from everything below: not what the agent may do once invoked, but who may invoke it at all. Only relevant once a harness is reachable over a network or messaging surface rather than run purely as a local CLI — confirmed as a first-class security layer in a harness built as a persistent multi-platform gateway):</w:t>
      </w:r>
    </w:p>
    <w:p>
      <w:pPr>
        <w:pStyle w:val="ListParagraph"/>
        <w:numPr>
          <w:ilvl w:val="0"/>
          <w:numId w:val="56"/>
        </w:numPr>
      </w:pPr>
      <w:r>
        <w:t xml:space="preserve">☐ Not applicable — single local user, no network/messaging exposure</w:t>
      </w:r>
    </w:p>
    <w:p>
      <w:pPr>
        <w:pStyle w:val="ListParagraph"/>
        <w:numPr>
          <w:ilvl w:val="0"/>
          <w:numId w:val="56"/>
        </w:numPr>
      </w:pPr>
      <w:r>
        <w:t xml:space="preserve">☐ Allowlist of authorized users/accounts per channel</w:t>
      </w:r>
    </w:p>
    <w:p>
      <w:pPr>
        <w:pStyle w:val="ListParagraph"/>
        <w:numPr>
          <w:ilvl w:val="0"/>
          <w:numId w:val="56"/>
        </w:numPr>
      </w:pPr>
      <w:r>
        <w:t xml:space="preserve">☐ Pairing flow required before a new identity (e.g. a DM) can interact with the agent at all</w:t>
      </w:r>
    </w:p>
    <w:p>
      <w:pPr>
        <w:pStyle w:val="ListParagraph"/>
        <w:numPr>
          <w:ilvl w:val="0"/>
          <w:numId w:val="56"/>
        </w:numPr>
      </w:pPr>
      <w:r>
        <w:t xml:space="preserve">☐ No access control — anyone who can reach the endpoint/channel can talk to the agent (flag explicitly if this is the case, don't let it default silently)</w:t>
      </w:r>
    </w:p>
    <w:p>
      <w:pPr/>
      <w:r>
        <w:rPr>
          <w:b/>
        </w:rPr>
        <w:t xml:space="preserve">Axis 1 — OS-level sandboxing mechanism</w:t>
      </w:r>
      <w:r>
        <w:t xml:space="preserve"> (confirmed present in both surveyed production harnesses, both built on OS primitives rather than a custom userspace sandbox):</w:t>
      </w:r>
    </w:p>
    <w:p>
      <w:pPr>
        <w:pStyle w:val="ListParagraph"/>
        <w:numPr>
          <w:ilvl w:val="0"/>
          <w:numId w:val="57"/>
        </w:numPr>
      </w:pPr>
      <w:r>
        <w:t xml:space="preserve">☐ No OS-level sandboxing — full host process privileges</w:t>
      </w:r>
    </w:p>
    <w:p>
      <w:pPr>
        <w:pStyle w:val="ListParagraph"/>
        <w:numPr>
          <w:ilvl w:val="0"/>
          <w:numId w:val="57"/>
        </w:numPr>
      </w:pPr>
      <w:r>
        <w:t xml:space="preserve">☐ Process separation — child processes, basic resource limits only</w:t>
      </w:r>
    </w:p>
    <w:p>
      <w:pPr>
        <w:pStyle w:val="ListParagraph"/>
        <w:numPr>
          <w:ilvl w:val="0"/>
          <w:numId w:val="57"/>
        </w:numPr>
      </w:pPr>
      <w:r>
        <w:t xml:space="preserve">☐ OS-native sandbox primitive (e.g. Linux Landlock/bubblewrap, macOS Seatbelt) — enforced at the kernel/OS level, applies to every subprocess a tool spawns, not just the harness's own file/edit tools</w:t>
      </w:r>
    </w:p>
    <w:p>
      <w:pPr>
        <w:pStyle w:val="ListParagraph"/>
        <w:numPr>
          <w:ilvl w:val="0"/>
          <w:numId w:val="57"/>
        </w:numPr>
      </w:pPr>
      <w:r>
        <w:t xml:space="preserve">☐ Container isolation</w:t>
      </w:r>
    </w:p>
    <w:p>
      <w:pPr>
        <w:pStyle w:val="ListParagraph"/>
        <w:numPr>
          <w:ilvl w:val="0"/>
          <w:numId w:val="57"/>
        </w:numPr>
      </w:pPr>
      <w:r>
        <w:t xml:space="preserve">☐ WASM sandboxing — fine-grained capability control</w:t>
      </w:r>
    </w:p>
    <w:p>
      <w:pPr/>
      <w:r>
        <w:rPr>
          <w:b/>
        </w:rPr>
        <w:t xml:space="preserve">Axis 2 — Filesystem access scope</w:t>
      </w:r>
      <w:r>
        <w:t xml:space="preserve"> (independent of the sandboxing mechanism above):</w:t>
      </w:r>
    </w:p>
    <w:p>
      <w:pPr>
        <w:pStyle w:val="ListParagraph"/>
        <w:numPr>
          <w:ilvl w:val="0"/>
          <w:numId w:val="58"/>
        </w:numPr>
      </w:pPr>
      <w:r>
        <w:t xml:space="preserve">☐ No restriction — read/write anywhere the process can reach</w:t>
      </w:r>
    </w:p>
    <w:p>
      <w:pPr>
        <w:pStyle w:val="ListParagraph"/>
        <w:numPr>
          <w:ilvl w:val="0"/>
          <w:numId w:val="58"/>
        </w:numPr>
      </w:pPr>
      <w:r>
        <w:t xml:space="preserve">☐ Read-only</w:t>
      </w:r>
    </w:p>
    <w:p>
      <w:pPr>
        <w:pStyle w:val="ListParagraph"/>
        <w:numPr>
          <w:ilvl w:val="0"/>
          <w:numId w:val="58"/>
        </w:numPr>
      </w:pPr>
      <w:r>
        <w:t xml:space="preserve">☐ Write scoped to the working directory and subdirectories; read broader, with explicit deny-list for sensitive locations</w:t>
      </w:r>
    </w:p>
    <w:p>
      <w:pPr>
        <w:pStyle w:val="ListParagraph"/>
        <w:numPr>
          <w:ilvl w:val="0"/>
          <w:numId w:val="58"/>
        </w:numPr>
      </w:pPr>
      <w:r>
        <w:t xml:space="preserve">☐ Write scope explicitly configurable (custom allow/deny paths)</w:t>
      </w:r>
    </w:p>
    <w:p>
      <w:pPr/>
      <w:r>
        <w:rPr>
          <w:b/>
        </w:rPr>
        <w:t xml:space="preserve">Axis 3 — Network access policy</w:t>
      </w:r>
      <w:r>
        <w:t xml:space="preserve"> (independent of both axes above — confirmed both harnesses gate this via a separate proxy layer, not the sandboxing mechanism itself):</w:t>
      </w:r>
    </w:p>
    <w:p>
      <w:pPr>
        <w:pStyle w:val="ListParagraph"/>
        <w:numPr>
          <w:ilvl w:val="0"/>
          <w:numId w:val="59"/>
        </w:numPr>
      </w:pPr>
      <w:r>
        <w:t xml:space="preserve">☐ No network access</w:t>
      </w:r>
    </w:p>
    <w:p>
      <w:pPr>
        <w:pStyle w:val="ListParagraph"/>
        <w:numPr>
          <w:ilvl w:val="0"/>
          <w:numId w:val="59"/>
        </w:numPr>
      </w:pPr>
      <w:r>
        <w:t xml:space="preserve">☐ Unrestricted network access</w:t>
      </w:r>
    </w:p>
    <w:p>
      <w:pPr>
        <w:pStyle w:val="ListParagraph"/>
        <w:numPr>
          <w:ilvl w:val="0"/>
          <w:numId w:val="59"/>
        </w:numPr>
      </w:pPr>
      <w:r>
        <w:t xml:space="preserve">☐ Domain-allowlisted access via an outbound proxy — new domain requests trigger a permission prompt (or are auto-blocked if allowlist-only mode is set)</w:t>
      </w:r>
    </w:p>
    <w:p>
      <w:pPr>
        <w:pStyle w:val="ListParagraph"/>
        <w:numPr>
          <w:ilvl w:val="0"/>
          <w:numId w:val="59"/>
        </w:numPr>
      </w:pPr>
      <w:r>
        <w:t xml:space="preserve">☐ Network policy not yet decided — flag as an open gap rather than defaulting silently to unrestricted</w:t>
      </w:r>
    </w:p>
    <w:p>
      <w:pPr/>
      <w:r>
        <w:rPr>
          <w:b/>
        </w:rPr>
        <w:t xml:space="preserve">Cross-session / multi-tenant isolation</w:t>
      </w:r>
      <w:r>
        <w:t xml:space="preserve"> (only relevant if your harness serves more than one user or conversation concurrently — e.g. a gateway process, not a single local CLI session):</w:t>
      </w:r>
    </w:p>
    <w:p>
      <w:pPr>
        <w:pStyle w:val="ListParagraph"/>
        <w:numPr>
          <w:ilvl w:val="0"/>
          <w:numId w:val="60"/>
        </w:numPr>
      </w:pPr>
      <w:r>
        <w:t xml:space="preserve">☐ Sessions cannot read or write each other's state — verified, not assumed</w:t>
      </w:r>
    </w:p>
    <w:p>
      <w:pPr>
        <w:pStyle w:val="ListParagraph"/>
        <w:numPr>
          <w:ilvl w:val="0"/>
          <w:numId w:val="60"/>
        </w:numPr>
      </w:pPr>
      <w:r>
        <w:t xml:space="preserve">☐ Storage paths for scheduled/background jobs are hardened against path traversal</w:t>
      </w:r>
    </w:p>
    <w:p>
      <w:pPr>
        <w:pStyle w:val="ListParagraph"/>
        <w:numPr>
          <w:ilvl w:val="0"/>
          <w:numId w:val="60"/>
        </w:numPr>
      </w:pPr>
      <w:r>
        <w:t xml:space="preserve">☐ Not applicable — single-user, single-session harness</w:t>
      </w:r>
    </w:p>
    <w:p>
      <w:pPr/>
      <w:r>
        <w:rPr>
          <w:b/>
        </w:rPr>
        <w:t xml:space="preserve">Cross-instance / multi-machine agent communication</w:t>
      </w:r>
      <w:r>
        <w:t xml:space="preserve"> (a distinct question from everything above, which assumes a single running instance — only relevant if your harness supports separate instances of itself communicating with each other, not just subagents within one process):</w:t>
      </w:r>
    </w:p>
    <w:p>
      <w:pPr>
        <w:pStyle w:val="ListParagraph"/>
        <w:numPr>
          <w:ilvl w:val="0"/>
          <w:numId w:val="61"/>
        </w:numPr>
      </w:pPr>
      <w:r>
        <w:t xml:space="preserve">☐ Not applicable — no cross-instance communication</w:t>
      </w:r>
    </w:p>
    <w:p>
      <w:pPr>
        <w:pStyle w:val="ListParagraph"/>
        <w:numPr>
          <w:ilvl w:val="0"/>
          <w:numId w:val="61"/>
        </w:numPr>
      </w:pPr>
      <w:r>
        <w:t xml:space="preserve">☐ Cross-instance channel is encrypted and authenticated end-to-end, with its own security model separate from single-instance permission/sandboxing settings</w:t>
      </w:r>
    </w:p>
    <w:p>
      <w:pPr>
        <w:pStyle w:val="ListParagraph"/>
        <w:numPr>
          <w:ilvl w:val="0"/>
          <w:numId w:val="61"/>
        </w:numPr>
      </w:pPr>
      <w:r>
        <w:t xml:space="preserve">☐ Cross-instance communication exists without a clearly defined security model — flag as a real gap rather than assuming single-instance protections extend to it</w:t>
      </w:r>
    </w:p>
    <w:p>
      <w:pPr/>
      <w:r>
        <w:rPr>
          <w:b/>
        </w:rPr>
        <w:t xml:space="preserve">Two opposite philosophies exist at the level above the mode list below, and it's worth naming which one you're building toward first.</w:t>
      </w:r>
      <w:r>
        <w:t xml:space="preserve"> One production harness states its security model outright: enforce boundaries entirely at the tool/sandbox level, and let the model do anything its tools structurally allow, without expecting the model to self-police or gating individual actions. That's a direct alternative to an approval-gate-individual-actions philosophy — neither is wrong, but they lead to different implementations, and picking the mode list below without deciding which philosophy you're in first tends to produce an inconsistent mix of both.</w:t>
      </w:r>
    </w:p>
    <w:p>
      <w:pPr/>
      <w:r>
        <w:rPr>
          <w:b/>
        </w:rPr>
        <w:t xml:space="preserve">Vendor-term check — "plan mode":</w:t>
      </w:r>
      <w:r>
        <w:t xml:space="preserve"> this is Claude Code's and DeepCode's name for the read-only/analysis-only state already covered by the approval-mode list below and the default-mutation-scope item above — not a separate axis. If a harness you're evaluating advertises "plan mode," map it onto those existing items rather than treating it as something new to account for.</w:t>
      </w:r>
    </w:p>
    <w:p>
      <w:pPr/>
      <w:r>
        <w:rPr>
          <w:b/>
        </w:rPr>
        <w:t xml:space="preserve">Default mutation scope</w:t>
      </w:r>
      <w:r>
        <w:t xml:space="preserve"> (a distinct axis from the approval-mode list below — this is about what the out-of-the-box default configuration </w:t>
      </w:r>
      <w:r>
        <w:rPr>
          <w:i/>
        </w:rPr>
        <w:t xml:space="preserve">does</w:t>
      </w:r>
      <w:r>
        <w:t xml:space="preserve">, not about whether you're asked first):</w:t>
      </w:r>
    </w:p>
    <w:p>
      <w:pPr>
        <w:pStyle w:val="ListParagraph"/>
        <w:numPr>
          <w:ilvl w:val="0"/>
          <w:numId w:val="62"/>
        </w:numPr>
      </w:pPr>
      <w:r>
        <w:t xml:space="preserve">☐ Default configuration is read-only / detection-only — mutating action requires an explicit opt-in flag</w:t>
      </w:r>
    </w:p>
    <w:p>
      <w:pPr>
        <w:pStyle w:val="ListParagraph"/>
        <w:numPr>
          <w:ilvl w:val="0"/>
          <w:numId w:val="62"/>
        </w:numPr>
      </w:pPr>
      <w:r>
        <w:t xml:space="preserve">☐ Default configuration performs mutating action out of the box — read-only/detection-only requires an explicit opt-out flag. Confirmed as a real, loudly-documented production choice: a security-scanning harness's plain default command edits source files in the target by continuing past detection into an auto-remediation stage, unless the user explicitly passes a stop-early flag</w:t>
      </w:r>
    </w:p>
    <w:p>
      <w:pPr>
        <w:pStyle w:val="ListParagraph"/>
        <w:numPr>
          <w:ilvl w:val="0"/>
          <w:numId w:val="62"/>
        </w:numPr>
      </w:pPr>
      <w:r>
        <w:t xml:space="preserve">☐ Not yet decided — worth being deliberate about which direction the default leans, since users skimming a quickstart will run the default command</w:t>
      </w:r>
    </w:p>
    <w:p>
      <w:pPr/>
      <w:r>
        <w:rPr>
          <w:b/>
        </w:rPr>
        <w:t xml:space="preserve">Vendor-term check — "permission confirmation popups":</w:t>
      </w:r>
      <w:r>
        <w:t xml:space="preserve"> the underlying capability (an approval workflow that pauses and asks before a risky action) is core — it's the whole of the material above. "Popup" is just one presentation of that capability; a confirmation could equally be a CLI prompt or an async webhook wait, as it is in gateway-style harnesses. Same distinction as durable task-state vs. its kanban rendering in Section 14: keep the capability requirement, don't mistake the UI widget for the thing itself.</w:t>
      </w:r>
    </w:p>
    <w:p>
      <w:pPr/>
      <w:r>
        <w:rPr>
          <w:b/>
        </w:rPr>
        <w:t xml:space="preserve">Permission-change timing</w:t>
      </w:r>
      <w:r>
        <w:t xml:space="preserve"> (a distinct axis from the mode itself — confirmed as a real, deliberate guarantee in a production harness):</w:t>
      </w:r>
    </w:p>
    <w:p>
      <w:pPr>
        <w:pStyle w:val="ListParagraph"/>
        <w:numPr>
          <w:ilvl w:val="0"/>
          <w:numId w:val="63"/>
        </w:numPr>
      </w:pPr>
      <w:r>
        <w:t xml:space="preserve">☐ A mid-session permission/approval change applies only to new submissions going forward — already-running and already-queued work keeps the access it was granted at admission time</w:t>
      </w:r>
    </w:p>
    <w:p>
      <w:pPr>
        <w:pStyle w:val="ListParagraph"/>
        <w:numPr>
          <w:ilvl w:val="0"/>
          <w:numId w:val="63"/>
        </w:numPr>
      </w:pPr>
      <w:r>
        <w:t xml:space="preserve">☐ A mid-session change could apply retroactively to in-flight or queued work — verify this deliberately rather than assuming the safer behavior</w:t>
      </w:r>
    </w:p>
    <w:p>
      <w:pPr>
        <w:pStyle w:val="ListParagraph"/>
        <w:numPr>
          <w:ilvl w:val="0"/>
          <w:numId w:val="63"/>
        </w:numPr>
      </w:pPr>
      <w:r>
        <w:t xml:space="preserve">☐ Explicit deny rules always override allow/ask regardless of session-level mode — confirm this precedence is true for your implementation, not just assumed</w:t>
      </w:r>
    </w:p>
    <w:p>
      <w:pPr/>
      <w:r>
        <w:rPr>
          <w:b/>
        </w:rPr>
        <w:t xml:space="preserve">No silent replay of side effects during recovery</w:t>
      </w:r>
      <w:r>
        <w:t xml:space="preserve"> (distinct from the timeout-hierarchy item — this is about what happens to already-in-flight actions when a run stops, crashes, or resumes):</w:t>
      </w:r>
    </w:p>
    <w:p>
      <w:pPr>
        <w:pStyle w:val="ListParagraph"/>
        <w:numPr>
          <w:ilvl w:val="0"/>
          <w:numId w:val="64"/>
        </w:numPr>
      </w:pPr>
      <w:r>
        <w:t xml:space="preserve">☐ Stopping, interrupting, or crash-recovering a run never automatically re-executes a side-effecting tool call (a shell command, a file write, a network call) that was in flight — confirmed as a real, explicit guarantee in a production harness</w:t>
      </w:r>
    </w:p>
    <w:p>
      <w:pPr>
        <w:pStyle w:val="ListParagraph"/>
        <w:numPr>
          <w:ilvl w:val="0"/>
          <w:numId w:val="64"/>
        </w:numPr>
      </w:pPr>
      <w:r>
        <w:t xml:space="preserve">☐ Recovery behavior around in-flight side effects hasn't been verified — flag as a real risk: a naive resume implementation could double-execute a destructive operation</w:t>
      </w:r>
    </w:p>
    <w:p>
      <w:pPr/>
      <w:r>
        <w:rPr>
          <w:b/>
        </w:rPr>
        <w:t xml:space="preserve">Detection heuristics are not the security boundary — and internal shortcuts must not bypass it either</w:t>
      </w:r>
      <w:r>
        <w:t xml:space="preserve"> (confirmed as two real, previously-shipped bugs in one production harness):</w:t>
      </w:r>
    </w:p>
    <w:p>
      <w:pPr>
        <w:pStyle w:val="ListParagraph"/>
        <w:numPr>
          <w:ilvl w:val="0"/>
          <w:numId w:val="65"/>
        </w:numPr>
      </w:pPr>
      <w:r>
        <w:t xml:space="preserve">☐ Dangerous-command detection is argv-aware (parses the actual command structure), not substring-matching on the raw command line — substring matching both misses disguised dangerous commands and false-flags innocent ones (a real example: a file literally named to contain a dangerous substring)</w:t>
      </w:r>
    </w:p>
    <w:p>
      <w:pPr>
        <w:pStyle w:val="ListParagraph"/>
        <w:numPr>
          <w:ilvl w:val="0"/>
          <w:numId w:val="65"/>
        </w:numPr>
      </w:pPr>
      <w:r>
        <w:t xml:space="preserve">☐ Dangerous-command detection is explicitly treated as a cheap first pass / defense-in-depth, with the sandbox as the actual enforced boundary — not the other way around</w:t>
      </w:r>
    </w:p>
    <w:p>
      <w:pPr>
        <w:pStyle w:val="ListParagraph"/>
        <w:numPr>
          <w:ilvl w:val="0"/>
          <w:numId w:val="65"/>
        </w:numPr>
      </w:pPr>
      <w:r>
        <w:t xml:space="preserve">☐ Every code path that performs a filesystem or shell operation — including internal performance shortcuts that avoid subprocess overhead — routes through the same sandbox boundary as everything else. Verify this specifically: a fast-path optimization is a real, documented way a sandbox has been accidentally bypassed in production</w:t>
      </w:r>
    </w:p>
    <w:p>
      <w:pPr/>
      <w:r>
        <w:rPr>
          <w:b/>
        </w:rPr>
        <w:t xml:space="preserve">Approval workflow:</w:t>
      </w:r>
    </w:p>
    <w:p>
      <w:pPr>
        <w:pStyle w:val="ListParagraph"/>
        <w:numPr>
          <w:ilvl w:val="0"/>
          <w:numId w:val="66"/>
        </w:numPr>
      </w:pPr>
      <w:r>
        <w:t xml:space="preserve">☐ No built-in approval/permission system at all — deliberately delegated to external containerization (a micro-VM, a plain container, a policy-controlled sandbox) or a third-party extension, not built into the core loop. A real, popular pattern (confirmed in a harness with 100k+ stars), not a gap by default — three surveyed harnesses show three genuinely different philosophies here: one owns a rich built-in enum including optimistic "on-failure" execution, one owns a rich built-in enum without that mode, one owns none of it at all. Decide which camp you're in before assuming your harness needs its own permission system</w:t>
      </w:r>
    </w:p>
    <w:p>
      <w:pPr>
        <w:pStyle w:val="ListParagraph"/>
        <w:numPr>
          <w:ilvl w:val="0"/>
          <w:numId w:val="66"/>
        </w:numPr>
      </w:pPr>
      <w:r>
        <w:t xml:space="preserve">☐ None — agent acts without confirmation</w:t>
      </w:r>
    </w:p>
    <w:p>
      <w:pPr>
        <w:pStyle w:val="ListParagraph"/>
        <w:numPr>
          <w:ilvl w:val="0"/>
          <w:numId w:val="66"/>
        </w:numPr>
      </w:pPr>
      <w:r>
        <w:t xml:space="preserve">☐ One-off confirmation for risky actions, every time</w:t>
      </w:r>
    </w:p>
    <w:p>
      <w:pPr>
        <w:pStyle w:val="ListParagraph"/>
        <w:numPr>
          <w:ilvl w:val="0"/>
          <w:numId w:val="66"/>
        </w:numPr>
      </w:pPr>
      <w:r>
        <w:t xml:space="preserve">☐ Policy-based approval gates (rules define what needs sign-off)</w:t>
      </w:r>
    </w:p>
    <w:p>
      <w:pPr>
        <w:pStyle w:val="ListParagraph"/>
        <w:numPr>
          <w:ilvl w:val="0"/>
          <w:numId w:val="66"/>
        </w:numPr>
      </w:pPr>
      <w:r>
        <w:t xml:space="preserve">☐ Auto-approve a specific category (e.g. file edits) while still confirming everything else</w:t>
      </w:r>
    </w:p>
    <w:p>
      <w:pPr>
        <w:pStyle w:val="ListParagraph"/>
        <w:numPr>
          <w:ilvl w:val="0"/>
          <w:numId w:val="66"/>
        </w:numPr>
      </w:pPr>
      <w:r>
        <w:t xml:space="preserve">☐ Optimistic execution — run without asking, only interrupt if a command actually fails (situational — one of three surveyed harnesses; decide deliberately rather than copying by default)</w:t>
      </w:r>
    </w:p>
    <w:p>
      <w:pPr>
        <w:pStyle w:val="ListParagraph"/>
        <w:numPr>
          <w:ilvl w:val="0"/>
          <w:numId w:val="66"/>
        </w:numPr>
      </w:pPr>
      <w:r>
        <w:t xml:space="preserve">☐ Deny-by-default unless pre-approved via an explicit allow-list (opposite philosophy from optimistic execution — good for unattended/CI contexts with no human present to approve)</w:t>
      </w:r>
    </w:p>
    <w:p>
      <w:pPr>
        <w:pStyle w:val="ListParagraph"/>
        <w:numPr>
          <w:ilvl w:val="0"/>
          <w:numId w:val="66"/>
        </w:numPr>
      </w:pPr>
      <w:r>
        <w:t xml:space="preserve">☐ Dedicated read-only / analysis mode — no modifications permitted regardless of other settings, for exploration or review passes</w:t>
      </w:r>
    </w:p>
    <w:p>
      <w:pPr>
        <w:pStyle w:val="ListParagraph"/>
        <w:numPr>
          <w:ilvl w:val="0"/>
          <w:numId w:val="66"/>
        </w:numPr>
      </w:pPr>
      <w:r>
        <w:t xml:space="preserve">☐ Heuristic / risk-based auto-approval — a distinct fourth philosophy from a fourth surveyed harness: auto-approve what a risk classifier judges safe, only interrupt for commands matching a curated dangerous-pattern list</w:t>
      </w:r>
    </w:p>
    <w:p>
      <w:pPr/>
      <w:r>
        <w:rPr>
          <w:b/>
        </w:rPr>
        <w:t xml:space="preserve">Unattended / headless approval fallback</w:t>
      </w:r>
      <w:r>
        <w:t xml:space="preserve"> (a separate question from the default mode above — only matters once your harness can run without a human present, e.g. scheduled jobs, background automations):</w:t>
      </w:r>
    </w:p>
    <w:p>
      <w:pPr>
        <w:pStyle w:val="ListParagraph"/>
        <w:numPr>
          <w:ilvl w:val="0"/>
          <w:numId w:val="67"/>
        </w:numPr>
      </w:pPr>
      <w:r>
        <w:t xml:space="preserve">☐ Deny the action and let the agent find another path or report back</w:t>
      </w:r>
    </w:p>
    <w:p>
      <w:pPr>
        <w:pStyle w:val="ListParagraph"/>
        <w:numPr>
          <w:ilvl w:val="0"/>
          <w:numId w:val="67"/>
        </w:numPr>
      </w:pPr>
      <w:r>
        <w:t xml:space="preserve">☐ Approve automatically in headless contexts (higher risk, but sometimes the whole point of automation)</w:t>
      </w:r>
    </w:p>
    <w:p>
      <w:pPr>
        <w:pStyle w:val="ListParagraph"/>
        <w:numPr>
          <w:ilvl w:val="0"/>
          <w:numId w:val="67"/>
        </w:numPr>
      </w:pPr>
      <w:r>
        <w:t xml:space="preserve">☐ Explicit timeout duration configured for interactive approval requests, with a defined fallback once it expires</w:t>
      </w:r>
    </w:p>
    <w:p>
      <w:pPr>
        <w:pStyle w:val="ListParagraph"/>
        <w:numPr>
          <w:ilvl w:val="0"/>
          <w:numId w:val="67"/>
        </w:numPr>
      </w:pPr>
      <w:r>
        <w:t xml:space="preserve">☐ Not yet decided — flag as an open gap rather than defaulting silently</w:t>
      </w:r>
    </w:p>
    <w:p>
      <w:pPr/>
      <w:r>
        <w:rPr>
          <w:b/>
        </w:rPr>
        <w:t xml:space="preserve">Audit capability</w:t>
      </w:r>
      <w:r>
        <w:t xml:space="preserve"> (corpus shares: no audit 40%, basic logging 35%, structured audit 20%, tamper-evident 5%):</w:t>
      </w:r>
    </w:p>
    <w:p>
      <w:pPr>
        <w:pStyle w:val="ListParagraph"/>
        <w:numPr>
          <w:ilvl w:val="0"/>
          <w:numId w:val="68"/>
        </w:numPr>
      </w:pPr>
      <w:r>
        <w:t xml:space="preserve">☐ No audit trail</w:t>
      </w:r>
    </w:p>
    <w:p>
      <w:pPr>
        <w:pStyle w:val="ListParagraph"/>
        <w:numPr>
          <w:ilvl w:val="0"/>
          <w:numId w:val="68"/>
        </w:numPr>
      </w:pPr>
      <w:r>
        <w:t xml:space="preserve">☐ Basic text logs</w:t>
      </w:r>
    </w:p>
    <w:p>
      <w:pPr>
        <w:pStyle w:val="ListParagraph"/>
        <w:numPr>
          <w:ilvl w:val="0"/>
          <w:numId w:val="68"/>
        </w:numPr>
      </w:pPr>
      <w:r>
        <w:t xml:space="preserve">☐ Structured audit (metadata-rich: actions, actors, timestamps)</w:t>
      </w:r>
    </w:p>
    <w:p>
      <w:pPr>
        <w:pStyle w:val="ListParagraph"/>
        <w:numPr>
          <w:ilvl w:val="0"/>
          <w:numId w:val="68"/>
        </w:numPr>
      </w:pPr>
      <w:r>
        <w:t xml:space="preserve">☐ Tamper-evident (e.g. hash-chained records)</w:t>
      </w:r>
    </w:p>
    <w:p>
      <w:pPr/>
      <w:r>
        <w:rPr>
          <w:b/>
        </w:rPr>
        <w:t xml:space="preserve">Documented finding worth weighing:</w:t>
      </w:r>
      <w:r>
        <w:t xml:space="preserve"> in the surveyed corpus, container isolation and policy-based governance co-occur almost universally (100% of container-isolated projects implement policy engines, vs. 23% without) — if you're granting broad execution power, plan the governance layer alongside it rather than after.</w:t>
      </w:r>
    </w:p>
    <w:p>
      <w:pPr>
        <w:pStyle w:val="Heading2"/>
      </w:pPr>
      <w:r>
        <w:t xml:space="preserve">11. Entropy Auditing &amp; Maintenance Burden</w:t>
      </w:r>
    </w:p>
    <w:p>
      <w:pPr/>
      <w:r>
        <w:t xml:space="preserve">Most harnesses skip this entirely — worth a deliberate yes/no rather than silent omission, since this is what determines whether the harness degrades a project over many sessions even when individual tasks succeed.</w:t>
      </w:r>
    </w:p>
    <w:p>
      <w:pPr/>
      <w:r>
        <w:rPr>
          <w:b/>
        </w:rPr>
        <w:t xml:space="preserve">Tracked or not:</w:t>
      </w:r>
    </w:p>
    <w:p>
      <w:pPr>
        <w:pStyle w:val="ListParagraph"/>
        <w:numPr>
          <w:ilvl w:val="0"/>
          <w:numId w:val="69"/>
        </w:numPr>
      </w:pPr>
      <w:r>
        <w:t xml:space="preserve">☐ Implemented — agent-introduced maintenance burden is recorded per episode</w:t>
      </w:r>
    </w:p>
    <w:p>
      <w:pPr>
        <w:pStyle w:val="ListParagraph"/>
        <w:numPr>
          <w:ilvl w:val="0"/>
          <w:numId w:val="69"/>
        </w:numPr>
      </w:pPr>
      <w:r>
        <w:t xml:space="preserve">☐ Not implemented (default for most harnesses today — acceptable for a v1, but note it as a known gap)</w:t>
      </w:r>
    </w:p>
    <w:p>
      <w:pPr/>
      <w:r>
        <w:rPr>
          <w:b/>
        </w:rPr>
        <w:t xml:space="preserve">Categories to track, if implemented:</w:t>
      </w:r>
    </w:p>
    <w:p>
      <w:pPr>
        <w:pStyle w:val="ListParagraph"/>
        <w:numPr>
          <w:ilvl w:val="0"/>
          <w:numId w:val="70"/>
        </w:numPr>
      </w:pPr>
      <w:r>
        <w:t xml:space="preserve">☐ Stale/redundant code</w:t>
      </w:r>
    </w:p>
    <w:p>
      <w:pPr>
        <w:pStyle w:val="ListParagraph"/>
        <w:numPr>
          <w:ilvl w:val="0"/>
          <w:numId w:val="70"/>
        </w:numPr>
      </w:pPr>
      <w:r>
        <w:t xml:space="preserve">☐ Stale documentation</w:t>
      </w:r>
    </w:p>
    <w:p>
      <w:pPr>
        <w:pStyle w:val="ListParagraph"/>
        <w:numPr>
          <w:ilvl w:val="0"/>
          <w:numId w:val="70"/>
        </w:numPr>
      </w:pPr>
      <w:r>
        <w:t xml:space="preserve">☐ Dependency churn</w:t>
      </w:r>
    </w:p>
    <w:p>
      <w:pPr>
        <w:pStyle w:val="ListParagraph"/>
        <w:numPr>
          <w:ilvl w:val="0"/>
          <w:numId w:val="70"/>
        </w:numPr>
      </w:pPr>
      <w:r>
        <w:t xml:space="preserve">☐ Weakened tests</w:t>
      </w:r>
    </w:p>
    <w:p>
      <w:pPr>
        <w:pStyle w:val="ListParagraph"/>
        <w:numPr>
          <w:ilvl w:val="0"/>
          <w:numId w:val="70"/>
        </w:numPr>
      </w:pPr>
      <w:r>
        <w:t xml:space="preserve">☐ Debug scripts / file residue left behind</w:t>
      </w:r>
    </w:p>
    <w:p>
      <w:pPr>
        <w:pStyle w:val="ListParagraph"/>
        <w:numPr>
          <w:ilvl w:val="0"/>
          <w:numId w:val="70"/>
        </w:numPr>
      </w:pPr>
      <w:r>
        <w:t xml:space="preserve">☐ Architecture boundary violations</w:t>
      </w:r>
    </w:p>
    <w:p>
      <w:pPr>
        <w:pStyle w:val="ListParagraph"/>
        <w:numPr>
          <w:ilvl w:val="0"/>
          <w:numId w:val="70"/>
        </w:numPr>
      </w:pPr>
      <w:r>
        <w:t xml:space="preserve">☐ Inconsistent task notes</w:t>
      </w:r>
    </w:p>
    <w:p>
      <w:pPr/>
      <w:r>
        <w:rPr>
          <w:b/>
        </w:rPr>
        <w:t xml:space="preserve">Severity scale:</w:t>
      </w:r>
    </w:p>
    <w:p>
      <w:pPr>
        <w:pStyle w:val="ListParagraph"/>
        <w:numPr>
          <w:ilvl w:val="0"/>
          <w:numId w:val="71"/>
        </w:numPr>
      </w:pPr>
      <w:r>
        <w:t xml:space="preserve">☐ Binary (present/absent)</w:t>
      </w:r>
    </w:p>
    <w:p>
      <w:pPr>
        <w:pStyle w:val="ListParagraph"/>
        <w:numPr>
          <w:ilvl w:val="0"/>
          <w:numId w:val="71"/>
        </w:numPr>
      </w:pPr>
      <w:r>
        <w:t xml:space="preserve">☐ Graded (e.g. a 0–3 severity score per finding)</w:t>
      </w:r>
    </w:p>
    <w:p>
      <w:pPr>
        <w:pStyle w:val="Heading2"/>
      </w:pPr>
      <w:r>
        <w:t xml:space="preserve">12. Intervention Logging</w:t>
      </w:r>
    </w:p>
    <w:p>
      <w:pPr/>
      <w:r>
        <w:rPr>
          <w:b/>
        </w:rPr>
        <w:t xml:space="preserve">Log human assistance during an episode:</w:t>
      </w:r>
    </w:p>
    <w:p>
      <w:pPr>
        <w:pStyle w:val="ListParagraph"/>
        <w:numPr>
          <w:ilvl w:val="0"/>
          <w:numId w:val="72"/>
        </w:numPr>
      </w:pPr>
      <w:r>
        <w:t xml:space="preserve">☐ Implemented — every human action during a run is recorded</w:t>
      </w:r>
    </w:p>
    <w:p>
      <w:pPr>
        <w:pStyle w:val="ListParagraph"/>
        <w:numPr>
          <w:ilvl w:val="0"/>
          <w:numId w:val="72"/>
        </w:numPr>
      </w:pPr>
      <w:r>
        <w:t xml:space="preserve">☐ Not implemented</w:t>
      </w:r>
    </w:p>
    <w:p>
      <w:pPr/>
      <w:r>
        <w:rPr>
          <w:b/>
        </w:rPr>
        <w:t xml:space="preserve">Classify each intervention's avoidability, if implemented:</w:t>
      </w:r>
    </w:p>
    <w:p>
      <w:pPr>
        <w:pStyle w:val="ListParagraph"/>
        <w:numPr>
          <w:ilvl w:val="0"/>
          <w:numId w:val="73"/>
        </w:numPr>
      </w:pPr>
      <w:r>
        <w:t xml:space="preserve">☐ Was it avoidable with better harness support (points at a specific missing component above)?</w:t>
      </w:r>
    </w:p>
    <w:p>
      <w:pPr>
        <w:pStyle w:val="ListParagraph"/>
        <w:numPr>
          <w:ilvl w:val="0"/>
          <w:numId w:val="73"/>
        </w:numPr>
      </w:pPr>
      <w:r>
        <w:t xml:space="preserve">☐ Was it inherent to the task (would have needed a human regardless)?</w:t>
      </w:r>
    </w:p>
    <w:p>
      <w:pPr/>
      <w:r>
        <w:rPr>
          <w:b/>
        </w:rPr>
        <w:t xml:space="preserve">Track a missing-harness intervention rate as a running signal:</w:t>
      </w:r>
    </w:p>
    <w:p>
      <w:pPr>
        <w:pStyle w:val="ListParagraph"/>
        <w:numPr>
          <w:ilvl w:val="0"/>
          <w:numId w:val="74"/>
        </w:numPr>
      </w:pPr>
      <w:r>
        <w:t xml:space="preserve">☐ Yes — even informally, this tells you where the harness is under-specified faster than reading transcripts</w:t>
      </w:r>
    </w:p>
    <w:p>
      <w:pPr>
        <w:pStyle w:val="ListParagraph"/>
        <w:numPr>
          <w:ilvl w:val="0"/>
          <w:numId w:val="74"/>
        </w:numPr>
      </w:pPr>
      <w:r>
        <w:t xml:space="preserve">☐ No — not tracked</w:t>
      </w:r>
    </w:p>
    <w:p>
      <w:pPr/>
      <w:r>
        <w:t xml:space="preserve">This component doubles as a diagnostic for your own development process: every time you personally have to step in and tell the agent which file to check, or interpret a test failure for it, that's a specific missing harness component (context manager, observability, failure attribution) named above — not a one-off.</w:t>
      </w:r>
    </w:p>
    <w:p>
      <w:pPr>
        <w:pStyle w:val="Heading2"/>
      </w:pPr>
      <w:r>
        <w:t xml:space="preserve">13. Scope Exclusions — the fluff filter</w:t>
      </w:r>
    </w:p>
    <w:p>
      <w:pPr/>
      <w:r>
        <w:rPr>
          <w:b/>
        </w:rPr>
        <w:t xml:space="preserve">The test:</w:t>
      </w:r>
      <w:r>
        <w:t xml:space="preserve"> does removing it change what the agent can observe, act on, or verify? If no, it sits next to the harness, not inside it. Explicitly mark these out of scope for the harness spec (they can still exist as a separate product-UI layer — just don't let them consume harness design time or get bundled into "harness" requirements):</w:t>
      </w:r>
    </w:p>
    <w:p>
      <w:pPr>
        <w:pStyle w:val="ListParagraph"/>
        <w:numPr>
          <w:ilvl w:val="0"/>
          <w:numId w:val="75"/>
        </w:numPr>
      </w:pPr>
      <w:r>
        <w:t xml:space="preserve">☐ Kanban boards / task-list widgets</w:t>
      </w:r>
    </w:p>
    <w:p>
      <w:pPr>
        <w:pStyle w:val="ListParagraph"/>
        <w:numPr>
          <w:ilvl w:val="0"/>
          <w:numId w:val="75"/>
        </w:numPr>
      </w:pPr>
      <w:r>
        <w:t xml:space="preserve">☐ Dashboards</w:t>
      </w:r>
    </w:p>
    <w:p>
      <w:pPr>
        <w:pStyle w:val="ListParagraph"/>
        <w:numPr>
          <w:ilvl w:val="0"/>
          <w:numId w:val="75"/>
        </w:numPr>
      </w:pPr>
      <w:r>
        <w:t xml:space="preserve">☐ Chat history browsers / session replay UI</w:t>
      </w:r>
    </w:p>
    <w:p>
      <w:pPr>
        <w:pStyle w:val="ListParagraph"/>
        <w:numPr>
          <w:ilvl w:val="0"/>
          <w:numId w:val="75"/>
        </w:numPr>
      </w:pPr>
      <w:r>
        <w:t xml:space="preserve">☐ Themes / visual customization</w:t>
      </w:r>
    </w:p>
    <w:p>
      <w:pPr>
        <w:pStyle w:val="ListParagraph"/>
        <w:numPr>
          <w:ilvl w:val="0"/>
          <w:numId w:val="75"/>
        </w:numPr>
      </w:pPr>
      <w:r>
        <w:t xml:space="preserve">☐ Notification systems</w:t>
      </w:r>
    </w:p>
    <w:p>
      <w:pPr>
        <w:pStyle w:val="ListParagraph"/>
        <w:numPr>
          <w:ilvl w:val="0"/>
          <w:numId w:val="75"/>
        </w:numPr>
      </w:pPr>
      <w:r>
        <w:t xml:space="preserve">☐ Onboarding wizards</w:t>
      </w:r>
    </w:p>
    <w:p>
      <w:pPr>
        <w:pStyle w:val="ListParagraph"/>
        <w:numPr>
          <w:ilvl w:val="0"/>
          <w:numId w:val="75"/>
        </w:numPr>
      </w:pPr>
      <w:r>
        <w:t xml:space="preserve">☐ Plugin marketplaces</w:t>
      </w:r>
    </w:p>
    <w:p>
      <w:pPr>
        <w:pStyle w:val="ListParagraph"/>
        <w:numPr>
          <w:ilvl w:val="0"/>
          <w:numId w:val="75"/>
        </w:numPr>
      </w:pPr>
      <w:r>
        <w:t xml:space="preserve">☐ Usage / billing displays</w:t>
      </w:r>
    </w:p>
    <w:p>
      <w:pPr>
        <w:pStyle w:val="ListParagraph"/>
        <w:numPr>
          <w:ilvl w:val="0"/>
          <w:numId w:val="75"/>
        </w:numPr>
      </w:pPr>
      <w:r>
        <w:t xml:space="preserve">☐ Other (name it): ___________</w:t>
      </w:r>
    </w:p>
    <w:p>
      <w:pPr>
        <w:pStyle w:val="ListParagraph"/>
        <w:numPr>
          <w:ilvl w:val="0"/>
          <w:numId w:val="75"/>
        </w:numPr>
      </w:pPr>
      <w:r>
        <w:t xml:space="preserve">☐ Mascot / avatar / personality UI</w:t>
      </w:r>
    </w:p>
    <w:p>
      <w:pPr>
        <w:pStyle w:val="ListParagraph"/>
        <w:numPr>
          <w:ilvl w:val="0"/>
          <w:numId w:val="75"/>
        </w:numPr>
      </w:pPr>
      <w:r>
        <w:t xml:space="preserve">☐ Video-conferencing / meeting-bot integration</w:t>
      </w:r>
    </w:p>
    <w:p>
      <w:pPr/>
      <w:r>
        <w:rPr>
          <w:b/>
        </w:rPr>
        <w:t xml:space="preserve">A clarifying distinction before applying this list:</w:t>
      </w:r>
      <w:r>
        <w:t xml:space="preserve"> the fluff test asks about a </w:t>
      </w:r>
      <w:r>
        <w:rPr>
          <w:i/>
        </w:rPr>
        <w:t xml:space="preserve">feature</w:t>
      </w:r>
      <w:r>
        <w:t xml:space="preserve">, not the underlying </w:t>
      </w:r>
      <w:r>
        <w:rPr>
          <w:i/>
        </w:rPr>
        <w:t xml:space="preserve">data</w:t>
      </w:r>
      <w:r>
        <w:t xml:space="preserve"> it might render. A durable goal or task object that persists and actually drives agent behavior is legitimate Section 6 material even when a UI (a kanban board, a dashboard) is one way of displaying it — confirmed by a harness whose own example ships a durable goal object driving a kanban rendering on one thread. Keep the durable state; the board is still the part that's out of scope here.</w:t>
      </w:r>
    </w:p>
    <w:p>
      <w:pPr/>
      <w:r>
        <w:t xml:space="preserve">If something on this list feels like it should be in-scope for </w:t>
      </w:r>
      <w:r>
        <w:rPr>
          <w:i/>
        </w:rPr>
        <w:t xml:space="preserve">your</w:t>
      </w:r>
      <w:r>
        <w:t xml:space="preserve"> harness specifically, that's a real signal worth chasing — but write down </w:t>
      </w:r>
      <w:r>
        <w:rPr>
          <w:i/>
        </w:rPr>
        <w:t xml:space="preserve">why</w:t>
      </w:r>
      <w:r>
        <w:t xml:space="preserve"> it changes observation/action/verification before including it, rather than including it by default.</w:t>
      </w:r>
    </w:p>
    <w:p>
      <w:pPr>
        <w:pStyle w:val="Heading3"/>
      </w:pPr>
      <w:r>
        <w:t xml:space="preserve">Category check: is this actually a harness?</w:t>
      </w:r>
    </w:p>
    <w:p>
      <w:pPr/>
      <w:r>
        <w:t xml:space="preserve">A repo calling itself a harness isn't necessarily where the model-harness-environment loop lives. Before running the rest of this checklist against something, sort it into one of the categories below — determined by whether it directly owns that loop (observes the environment, acts on it, receives feedback, establishes completion), or does something adjacent to it. All five categories are confirmed against real repos, not hypothetical:</w:t>
      </w:r>
    </w:p>
    <w:p>
      <w:pPr>
        <w:pStyle w:val="ListParagraph"/>
        <w:numPr>
          <w:ilvl w:val="0"/>
          <w:numId w:val="76"/>
        </w:numPr>
      </w:pPr>
      <w:r>
        <w:rPr>
          <w:b/>
        </w:rPr>
        <w:t xml:space="preserve">Harness proper</w:t>
      </w:r>
      <w:r>
        <w:t xml:space="preserve"> — owns the loop directly. Confirmed: coding-agent CLIs (own model-harness-environment loop end to end), and persistent multi-platform gateway agents (same core loop, extended to messaging/scheduling surfaces).</w:t>
      </w:r>
    </w:p>
    <w:p>
      <w:pPr>
        <w:pStyle w:val="ListParagraph"/>
        <w:numPr>
          <w:ilvl w:val="0"/>
          <w:numId w:val="76"/>
        </w:numPr>
      </w:pPr>
      <w:r>
        <w:rPr>
          <w:b/>
        </w:rPr>
        <w:t xml:space="preserve">Harness extension / plugin</w:t>
      </w:r>
      <w:r>
        <w:t xml:space="preserve"> — extends an existing harness's loop through its public extension API; doesn't own or replace the loop itself. Confirmed: a standalone efficiency-mechanism package that installs on top of an unmodified host harness release and imports only its public APIs; a meta-layer product that packages workflows and config across many different host harnesses simultaneously via each one's own native extension points.</w:t>
      </w:r>
    </w:p>
    <w:p>
      <w:pPr>
        <w:pStyle w:val="ListParagraph"/>
        <w:numPr>
          <w:ilvl w:val="0"/>
          <w:numId w:val="76"/>
        </w:numPr>
      </w:pPr>
      <w:r>
        <w:rPr>
          <w:b/>
        </w:rPr>
        <w:t xml:space="preserve">Benchmark / evaluation tooling</w:t>
      </w:r>
      <w:r>
        <w:t xml:space="preserve"> — uses a harness (often one it doesn't let you choose) to test models against a task suite. Confirmed: a benchmark repo whose adapters pin you to one of exactly two specific harness binaries regardless of the model family being tested — meaning the harness under evaluation may not be the one you'd actually deploy.</w:t>
      </w:r>
    </w:p>
    <w:p>
      <w:pPr>
        <w:pStyle w:val="ListParagraph"/>
        <w:numPr>
          <w:ilvl w:val="0"/>
          <w:numId w:val="76"/>
        </w:numPr>
      </w:pPr>
      <w:r>
        <w:rPr>
          <w:b/>
        </w:rPr>
        <w:t xml:space="preserve">Research artifact without a runnable harness</w:t>
      </w:r>
      <w:r>
        <w:t xml:space="preserve"> — describes or names a technique that sits above, beside, or independent of a harness, but the repo itself ships no runnable harness implementation. Confirmed: a paper-landing-page repo for a technique explicitly designed to work with an unmodified, unspecified coding agent underneath it — the repo is the paper and project page, not an implementation.</w:t>
      </w:r>
    </w:p>
    <w:p>
      <w:pPr>
        <w:pStyle w:val="ListParagraph"/>
        <w:numPr>
          <w:ilvl w:val="0"/>
          <w:numId w:val="76"/>
        </w:numPr>
      </w:pPr>
      <w:r>
        <w:rPr>
          <w:b/>
        </w:rPr>
        <w:t xml:space="preserve">Consumer product with a harness vendored inside</w:t>
      </w:r>
      <w:r>
        <w:t xml:space="preserve"> — the majority of the repo's own claimed value (UI, themes, mascots, messaging channels, meeting bots) is product surface, with a genuine harness present as one dependency among several others. Confirmed: a full desktop app whose actual agent-execution engine is a separate, independently maintained open-source dependency, wrapped in a product with far more surface area than the harness component itself.</w:t>
      </w:r>
    </w:p>
    <w:p>
      <w:pPr/>
      <w:r>
        <w:rPr>
          <w:b/>
        </w:rPr>
        <w:t xml:space="preserve">Category 2 splits into two distinct shapes, confirmed by a repo whose own FAQ draws exactly this line:</w:t>
      </w:r>
    </w:p>
    <w:p>
      <w:pPr>
        <w:pStyle w:val="ListParagraph"/>
        <w:numPr>
          <w:ilvl w:val="0"/>
          <w:numId w:val="77"/>
        </w:numPr>
      </w:pPr>
      <w:r>
        <w:rPr>
          <w:b/>
        </w:rPr>
        <w:t xml:space="preserve">2a — Single-harness proprietary extension.</w:t>
      </w:r>
      <w:r>
        <w:t xml:space="preserve"> Extends one specific host harness through that host's own plugin/extension API. You're bound to that host; the extension typically doesn't run anywhere else.</w:t>
      </w:r>
    </w:p>
    <w:p>
      <w:pPr>
        <w:pStyle w:val="ListParagraph"/>
        <w:numPr>
          <w:ilvl w:val="0"/>
          <w:numId w:val="77"/>
        </w:numPr>
      </w:pPr>
      <w:r>
        <w:rPr>
          <w:b/>
        </w:rPr>
        <w:t xml:space="preserve">2b — Portable, harness-agnostic layer built on shared primitives.</w:t>
      </w:r>
      <w:r>
        <w:t xml:space="preserve"> Built on primitives common enough across harnesses (hooks, skills, context-file injection, agentic routing) that it isn't tied to any single vendor's proprietary API, and is explicitly designed to be usable with whichever harness the person already runs. Confirmed: a system whose own tagline calls itself "the universal AI harness," but whose own FAQ states plainly that the </w:t>
      </w:r>
      <w:r>
        <w:rPr>
          <w:i/>
        </w:rPr>
        <w:t xml:space="preserve">host</w:t>
      </w:r>
      <w:r>
        <w:t xml:space="preserve"> is the harness and "the engine" while this system is "everything else" layered on top — built and most-tested against one host in practice, but architecturally not bound to it.</w:t>
      </w:r>
    </w:p>
    <w:p>
      <w:pPr/>
      <w:r>
        <w:t xml:space="preserve">The risk profile differs: a 2a extension either works or doesn't per host, cleanly. A 2b layer can silently behave differently across hosts it hasn't been equally tested against — worth checking whether claimed portability has actually been verified per host, or is aspirational.</w:t>
      </w:r>
    </w:p>
    <w:p>
      <w:pPr/>
      <w:r>
        <w:rPr>
          <w:b/>
        </w:rPr>
        <w:t xml:space="preserve">Quick test:</w:t>
      </w:r>
      <w:r>
        <w:t xml:space="preserve"> would this repo's own claimed value survive a completely different harness being swapped in underneath it? If yes, you're very likely looking at category 2, 3, 4, or 5 — not the harness itself. Categories 2–5 are all worth understanding, but battle-test the </w:t>
      </w:r>
      <w:r>
        <w:rPr>
          <w:i/>
        </w:rPr>
        <w:t xml:space="preserve">actual</w:t>
      </w:r>
      <w:r>
        <w:t xml:space="preserve"> harness they depend on (if one is named), not the wrapper, when checking this list against them.</w:t>
      </w:r>
    </w:p>
    <w:p>
      <w:pPr/>
      <w:r>
        <w:rPr>
          <w:b/>
        </w:rPr>
        <w:t xml:space="preserve">A nuance on category 1 vs. category 2:</w:t>
      </w:r>
      <w:r>
        <w:t xml:space="preserve"> the extension pattern (a plugin bolted onto a host harness via its public API, category 2) isn't the only way a harness can sit on top of something else. Confirmed as a distinct, legitimate pattern: a shared underlying runtime can host multiple official, co-maintained harnesses at different levels of opinionation — a minimal harness, and a more opinionated one built on the same runtime — that explicitly compose rather than one merely extending the other (a raw runtime graph can be passed into the more opinionated harness as a sub-component, and vice versa isn't required). If a repo's own docs describe it as one layer in a stack of several official harnesses on a shared runtime, that's worth noting as its own shape rather than forcing it into category 1 or 2.</w:t>
      </w:r>
    </w:p>
    <w:p>
      <w:pPr>
        <w:pStyle w:val="Heading2"/>
      </w:pPr>
      <w:r>
        <w:t xml:space="preserve">14. Implementation Language Considerations</w:t>
      </w:r>
    </w:p>
    <w:p>
      <w:pPr/>
      <w:r>
        <w:t xml:space="preserve">Same checklist axes, but a harness's implementation language changes what's structurally achievable or how much extra checking a given item needs. Confirmed across the eleven repos above, which span Rust, TypeScript/Node, and Python implementations.</w:t>
      </w:r>
    </w:p>
    <w:p>
      <w:pPr/>
      <w:r>
        <w:rPr>
          <w:b/>
        </w:rPr>
        <w:t xml:space="preserve">Sandboxing achievability (relates to Section 10, Axis 1):</w:t>
      </w:r>
    </w:p>
    <w:p>
      <w:pPr>
        <w:pStyle w:val="ListParagraph"/>
        <w:numPr>
          <w:ilvl w:val="0"/>
          <w:numId w:val="78"/>
        </w:numPr>
      </w:pPr>
      <w:r>
        <w:t xml:space="preserve">☐ Compiled, single-binary implementation (e.g. Rust) — in-process OS-level syscall filtering (Landlock, seccomp) is structurally plausible as part of the harness executable itself</w:t>
      </w:r>
    </w:p>
    <w:p>
      <w:pPr>
        <w:pStyle w:val="ListParagraph"/>
        <w:numPr>
          <w:ilvl w:val="0"/>
          <w:numId w:val="78"/>
        </w:numPr>
      </w:pPr>
      <w:r>
        <w:t xml:space="preserve">☐ Interpreted-language implementation (e.g. Python, Node) — the interpreter process itself typically needs broad host access to run, so meaningful isolation is usually achieved by wrapping the entire process externally (a container, a VM), not intrinsically within the harness</w:t>
      </w:r>
    </w:p>
    <w:p>
      <w:pPr>
        <w:pStyle w:val="ListParagraph"/>
        <w:numPr>
          <w:ilvl w:val="0"/>
          <w:numId w:val="78"/>
        </w:numPr>
      </w:pPr>
      <w:r>
        <w:t xml:space="preserve">☐ Not yet verified which applies — worth confirming before assuming a given sandboxing strength is achievable</w:t>
      </w:r>
    </w:p>
    <w:p>
      <w:pPr/>
      <w:r>
        <w:rPr>
          <w:b/>
        </w:rPr>
        <w:t xml:space="preserve">Version-pinning reproducibility strength (relates to the version-pinning items already in Sections 1 and elsewhere):</w:t>
      </w:r>
    </w:p>
    <w:p>
      <w:pPr>
        <w:pStyle w:val="ListParagraph"/>
        <w:numPr>
          <w:ilvl w:val="0"/>
          <w:numId w:val="79"/>
        </w:numPr>
      </w:pPr>
      <w:r>
        <w:t xml:space="preserve">☐ Single compiled artifact at a pinned version — close to trivially reproducible, one binary, one hash</w:t>
      </w:r>
    </w:p>
    <w:p>
      <w:pPr>
        <w:pStyle w:val="ListParagraph"/>
        <w:numPr>
          <w:ilvl w:val="0"/>
          <w:numId w:val="79"/>
        </w:numPr>
      </w:pPr>
      <w:r>
        <w:t xml:space="preserve">☐ Dependency tree resolved by a package manager (npm, pip, uv, etc.) at a pinned top-level version — reproducibility depends on whether lockfiles are strictly enforced, not just on the version number; confirmed as a real concern serious enough that a production harness enforces exact-version pinning and blocks accidental lockfile commits by default</w:t>
      </w:r>
    </w:p>
    <w:p>
      <w:pPr>
        <w:pStyle w:val="ListParagraph"/>
        <w:numPr>
          <w:ilvl w:val="0"/>
          <w:numId w:val="79"/>
        </w:numPr>
      </w:pPr>
      <w:r>
        <w:t xml:space="preserve">☐ Not yet verified whether the pinned version is actually reproducible end to end</w:t>
      </w:r>
    </w:p>
    <w:p>
      <w:pPr/>
      <w:r>
        <w:rPr>
          <w:b/>
        </w:rPr>
        <w:t xml:space="preserve">Native/compiled extensions inside an interpreted-language harness (an addition to the existing supply-chain and config-trust items):</w:t>
      </w:r>
    </w:p>
    <w:p>
      <w:pPr>
        <w:pStyle w:val="ListParagraph"/>
        <w:numPr>
          <w:ilvl w:val="0"/>
          <w:numId w:val="80"/>
        </w:numPr>
      </w:pPr>
      <w:r>
        <w:t xml:space="preserve">☐ Not applicable — no native extensions, or the harness is itself compiled</w:t>
      </w:r>
    </w:p>
    <w:p>
      <w:pPr>
        <w:pStyle w:val="ListParagraph"/>
        <w:numPr>
          <w:ilvl w:val="0"/>
          <w:numId w:val="80"/>
        </w:numPr>
      </w:pPr>
      <w:r>
        <w:t xml:space="preserve">☐ Native/compiled extensions exist inside an otherwise interpreted-language package (confirmed as a real pattern — a Python-based harness shipping a native full-text-search extension) — their build and provenance are auditable the same way the rest of the source is</w:t>
      </w:r>
    </w:p>
    <w:p>
      <w:pPr>
        <w:pStyle w:val="ListParagraph"/>
        <w:numPr>
          <w:ilvl w:val="0"/>
          <w:numId w:val="80"/>
        </w:numPr>
      </w:pPr>
      <w:r>
        <w:t xml:space="preserve">☐ Native extensions exist and haven't been separately audited — flag this rather than assuming the same review process that covers the readable source also covers the compiled parts</w:t>
      </w:r>
    </w:p>
    <w:p>
      <w:pPr/>
      <w:r>
        <w:rPr>
          <w:b/>
        </w:rPr>
        <w:t xml:space="preserve">Concurrency/cancellation model (relates to the timeout-hierarchy item in Section 9):</w:t>
      </w:r>
    </w:p>
    <w:p>
      <w:pPr>
        <w:pStyle w:val="ListParagraph"/>
        <w:numPr>
          <w:ilvl w:val="0"/>
          <w:numId w:val="81"/>
        </w:numPr>
      </w:pPr>
      <w:r>
        <w:t xml:space="preserve">☐ Structured async cancellation is a natural fit in the implementation language (e.g. Rust) — a clean recoverable-per-tool-timeout vs. hard-run-timeout split is comparatively straightforward to build correctly</w:t>
      </w:r>
    </w:p>
    <w:p>
      <w:pPr>
        <w:pStyle w:val="ListParagraph"/>
        <w:numPr>
          <w:ilvl w:val="0"/>
          <w:numId w:val="81"/>
        </w:numPr>
      </w:pPr>
      <w:r>
        <w:t xml:space="preserve">☐ Cancellation is looser in the implementation language (e.g. Python's asyncio) — a cancelled task can still complete side effects before actually stopping unless each tool implementation deliberately checks for cancellation; verify this rather than assuming the timeout hierarchy behaves as specified</w:t>
      </w:r>
    </w:p>
    <w:p>
      <w:pPr>
        <w:pStyle w:val="ListParagraph"/>
        <w:numPr>
          <w:ilvl w:val="0"/>
          <w:numId w:val="81"/>
        </w:numPr>
      </w:pPr>
      <w:r>
        <w:t xml:space="preserve">☐ Single-threaded event-loop model (e.g. Node) — a CPU-heavy tool can block the entire harness unless deliberately offloaded to a worker thread or child process; verify this was accounted for</w:t>
      </w:r>
    </w:p>
    <w:p>
      <w:pPr>
        <w:pStyle w:val="ListParagraph"/>
        <w:numPr>
          <w:ilvl w:val="0"/>
          <w:numId w:val="81"/>
        </w:numPr>
      </w:pPr>
      <w:r>
        <w:t xml:space="preserve">☐ CPython's GIL specifically (distinct from asyncio cancellation looseness above — a different mechanism, same language): even genuine OS threads can't achieve true CPU parallelism within one Python process, so a CPU-heavy tool needs subprocess or multiprocess offloading specifically, not just a cancellation check</w:t>
      </w:r>
    </w:p>
    <w:p>
      <w:pPr/>
      <w:r>
        <w:rPr>
          <w:b/>
        </w:rPr>
        <w:t xml:space="preserve">Same-product, multi-language ports</w:t>
      </w:r>
      <w:r>
        <w:t xml:space="preserve"> (distinct from the per-harness capability-parity item in Section 1 — this is the </w:t>
      </w:r>
      <w:r>
        <w:rPr>
          <w:i/>
        </w:rPr>
        <w:t xml:space="preserve">same</w:t>
      </w:r>
      <w:r>
        <w:t xml:space="preserve"> harness deliberately implemented in more than one language by the same maintainers, not different harnesses):</w:t>
      </w:r>
    </w:p>
    <w:p>
      <w:pPr>
        <w:pStyle w:val="ListParagraph"/>
        <w:numPr>
          <w:ilvl w:val="0"/>
          <w:numId w:val="82"/>
        </w:numPr>
      </w:pPr>
      <w:r>
        <w:t xml:space="preserve">☐ Not applicable — single-language implementation only</w:t>
      </w:r>
    </w:p>
    <w:p>
      <w:pPr>
        <w:pStyle w:val="ListParagraph"/>
        <w:numPr>
          <w:ilvl w:val="0"/>
          <w:numId w:val="82"/>
        </w:numPr>
      </w:pPr>
      <w:r>
        <w:t xml:space="preserve">☐ Ported to more than one language with feature parity explicitly documented</w:t>
      </w:r>
    </w:p>
    <w:p>
      <w:pPr>
        <w:pStyle w:val="ListParagraph"/>
        <w:numPr>
          <w:ilvl w:val="0"/>
          <w:numId w:val="82"/>
        </w:numPr>
      </w:pPr>
      <w:r>
        <w:t xml:space="preserve">☐ Ported to more than one language with parity assumed rather than documented — confirmed as a real pattern (a harness with an official parallel JavaScript/TypeScript port alongside its Python original); verify rather than assume identical behavior across ports</w:t>
      </w:r>
    </w:p>
    <w:p>
      <w:pPr>
        <w:pStyle w:val="Heading2"/>
      </w:pPr>
      <w:r>
        <w:t xml:space="preserve">15. Next Step</w:t>
      </w:r>
    </w:p>
    <w:p>
      <w:pPr/>
      <w:r>
        <w:t xml:space="preserve">Once sections 1–13 are checked, each section's selections become one section of the actual spec: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Checklist section</w:t>
            </w:r>
          </w:p>
        </w:tc>
        <w:tc>
          <w:tcPr>
            <w:tcW w:w="4680" w:type="dxa"/>
            <w:shd w:val="clear" w:color="auto" w:fill="F2F2F2"/>
          </w:tcPr>
          <w:p>
            <w:pPr/>
            <w:r>
              <w:t xml:space="preserve">Spec section</w:t>
            </w:r>
          </w:p>
        </w:tc>
      </w:tr>
      <w:tr>
        <w:tc>
          <w:tcPr>
            <w:tcW w:w="4680" w:type="dxa"/>
          </w:tcPr>
          <w:p>
            <w:pPr/>
            <w:r>
              <w:t xml:space="preserve">1. Model Alignment Profile</w:t>
            </w:r>
          </w:p>
        </w:tc>
        <w:tc>
          <w:tcPr>
            <w:tcW w:w="4680" w:type="dxa"/>
          </w:tcPr>
          <w:p>
            <w:pPr/>
            <w:r>
              <w:t xml:space="preserve">Supported model matrix + per-model integration requirements</w:t>
            </w:r>
          </w:p>
        </w:tc>
      </w:tr>
      <w:tr>
        <w:tc>
          <w:tcPr>
            <w:tcW w:w="4680" w:type="dxa"/>
          </w:tcPr>
          <w:p>
            <w:pPr/>
            <w:r>
              <w:t xml:space="preserve">2. Tool-Call Interface</w:t>
            </w:r>
          </w:p>
        </w:tc>
        <w:tc>
          <w:tcPr>
            <w:tcW w:w="4680" w:type="dxa"/>
          </w:tcPr>
          <w:p>
            <w:pPr/>
            <w:r>
              <w:t xml:space="preserve">Tool system architecture</w:t>
            </w:r>
          </w:p>
        </w:tc>
      </w:tr>
      <w:tr>
        <w:tc>
          <w:tcPr>
            <w:tcW w:w="4680" w:type="dxa"/>
          </w:tcPr>
          <w:p>
            <w:pPr/>
            <w:r>
              <w:t xml:space="preserve">3. Code-Edit Protocol</w:t>
            </w:r>
          </w:p>
        </w:tc>
        <w:tc>
          <w:tcPr>
            <w:tcW w:w="4680" w:type="dxa"/>
          </w:tcPr>
          <w:p>
            <w:pPr/>
            <w:r>
              <w:t xml:space="preserve">Code-edit tool specification</w:t>
            </w:r>
          </w:p>
        </w:tc>
      </w:tr>
      <w:tr>
        <w:tc>
          <w:tcPr>
            <w:tcW w:w="4680" w:type="dxa"/>
          </w:tcPr>
          <w:p>
            <w:pPr/>
            <w:r>
              <w:t xml:space="preserve">4. Orchestration</w:t>
            </w:r>
          </w:p>
        </w:tc>
        <w:tc>
          <w:tcPr>
            <w:tcW w:w="4680" w:type="dxa"/>
          </w:tcPr>
          <w:p>
            <w:pPr/>
            <w:r>
              <w:t xml:space="preserve">Control-flow architecture</w:t>
            </w:r>
          </w:p>
        </w:tc>
      </w:tr>
      <w:tr>
        <w:tc>
          <w:tcPr>
            <w:tcW w:w="4680" w:type="dxa"/>
          </w:tcPr>
          <w:p>
            <w:pPr/>
            <w:r>
              <w:t xml:space="preserve">5. Context &amp; Memory</w:t>
            </w:r>
          </w:p>
        </w:tc>
        <w:tc>
          <w:tcPr>
            <w:tcW w:w="4680" w:type="dxa"/>
          </w:tcPr>
          <w:p>
            <w:pPr/>
            <w:r>
              <w:t xml:space="preserve">Memory subsystem design</w:t>
            </w:r>
          </w:p>
        </w:tc>
      </w:tr>
      <w:tr>
        <w:tc>
          <w:tcPr>
            <w:tcW w:w="4680" w:type="dxa"/>
          </w:tcPr>
          <w:p>
            <w:pPr/>
            <w:r>
              <w:t xml:space="preserve">6. Task State &amp; Project Memory</w:t>
            </w:r>
          </w:p>
        </w:tc>
        <w:tc>
          <w:tcPr>
            <w:tcW w:w="4680" w:type="dxa"/>
          </w:tcPr>
          <w:p>
            <w:pPr/>
            <w:r>
              <w:t xml:space="preserve">Project-memory schema</w:t>
            </w:r>
          </w:p>
        </w:tc>
      </w:tr>
      <w:tr>
        <w:tc>
          <w:tcPr>
            <w:tcW w:w="4680" w:type="dxa"/>
          </w:tcPr>
          <w:p>
            <w:pPr/>
            <w:r>
              <w:t xml:space="preserve">7. Observability</w:t>
            </w:r>
          </w:p>
        </w:tc>
        <w:tc>
          <w:tcPr>
            <w:tcW w:w="4680" w:type="dxa"/>
          </w:tcPr>
          <w:p>
            <w:pPr/>
            <w:r>
              <w:t xml:space="preserve">Tracing/logging schema</w:t>
            </w:r>
          </w:p>
        </w:tc>
      </w:tr>
      <w:tr>
        <w:tc>
          <w:tcPr>
            <w:tcW w:w="4680" w:type="dxa"/>
          </w:tcPr>
          <w:p>
            <w:pPr/>
            <w:r>
              <w:t xml:space="preserve">8. Failure Attribution</w:t>
            </w:r>
          </w:p>
        </w:tc>
        <w:tc>
          <w:tcPr>
            <w:tcW w:w="4680" w:type="dxa"/>
          </w:tcPr>
          <w:p>
            <w:pPr/>
            <w:r>
              <w:t xml:space="preserve">Failure-handling protocol</w:t>
            </w:r>
          </w:p>
        </w:tc>
      </w:tr>
      <w:tr>
        <w:tc>
          <w:tcPr>
            <w:tcW w:w="4680" w:type="dxa"/>
          </w:tcPr>
          <w:p>
            <w:pPr/>
            <w:r>
              <w:t xml:space="preserve">9. Verification</w:t>
            </w:r>
          </w:p>
        </w:tc>
        <w:tc>
          <w:tcPr>
            <w:tcW w:w="4680" w:type="dxa"/>
          </w:tcPr>
          <w:p>
            <w:pPr/>
            <w:r>
              <w:t xml:space="preserve">Verification/completion protocol</w:t>
            </w:r>
          </w:p>
        </w:tc>
      </w:tr>
      <w:tr>
        <w:tc>
          <w:tcPr>
            <w:tcW w:w="4680" w:type="dxa"/>
          </w:tcPr>
          <w:p>
            <w:pPr/>
            <w:r>
              <w:t xml:space="preserve">10. Permissions &amp; Sandboxing</w:t>
            </w:r>
          </w:p>
        </w:tc>
        <w:tc>
          <w:tcPr>
            <w:tcW w:w="4680" w:type="dxa"/>
          </w:tcPr>
          <w:p>
            <w:pPr/>
            <w:r>
              <w:t xml:space="preserve">Security/execution boundary</w:t>
            </w:r>
          </w:p>
        </w:tc>
      </w:tr>
      <w:tr>
        <w:tc>
          <w:tcPr>
            <w:tcW w:w="4680" w:type="dxa"/>
          </w:tcPr>
          <w:p>
            <w:pPr/>
            <w:r>
              <w:t xml:space="preserve">11. Entropy Auditing</w:t>
            </w:r>
          </w:p>
        </w:tc>
        <w:tc>
          <w:tcPr>
            <w:tcW w:w="4680" w:type="dxa"/>
          </w:tcPr>
          <w:p>
            <w:pPr/>
            <w:r>
              <w:t xml:space="preserve">Maintenance-burden tracking (or explicit non-goal)</w:t>
            </w:r>
          </w:p>
        </w:tc>
      </w:tr>
      <w:tr>
        <w:tc>
          <w:tcPr>
            <w:tcW w:w="4680" w:type="dxa"/>
          </w:tcPr>
          <w:p>
            <w:pPr/>
            <w:r>
              <w:t xml:space="preserve">12. Intervention Logging</w:t>
            </w:r>
          </w:p>
        </w:tc>
        <w:tc>
          <w:tcPr>
            <w:tcW w:w="4680" w:type="dxa"/>
          </w:tcPr>
          <w:p>
            <w:pPr/>
            <w:r>
              <w:t xml:space="preserve">Human-in-the-loop instrumentation</w:t>
            </w:r>
          </w:p>
        </w:tc>
      </w:tr>
      <w:tr>
        <w:tc>
          <w:tcPr>
            <w:tcW w:w="4680" w:type="dxa"/>
          </w:tcPr>
          <w:p>
            <w:pPr/>
            <w:r>
              <w:t xml:space="preserve">13. Scope Exclusions</w:t>
            </w:r>
          </w:p>
        </w:tc>
        <w:tc>
          <w:tcPr>
            <w:tcW w:w="4680" w:type="dxa"/>
          </w:tcPr>
          <w:p>
            <w:pPr/>
            <w:r>
              <w:t xml:space="preserve">Explicit non-goals section of the spec</w:t>
            </w:r>
          </w:p>
        </w:tc>
      </w:tr>
    </w:tbl>
    <w:p>
      <w:pPr/>
      <w:r>
        <w:t xml:space="preserve">Bring the completed checklist back and it can be turned directly into a structured spec document, section by section, with the Model Alignment Profile (Section 1) locked first since it constrains what's technically possible in every other section.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1"/>
    <w:lvlOverride w:ilvl="0">
      <w:startOverride w:val="1"/>
    </w:lvlOverride>
  </w:num>
  <w:num w:numId="77">
    <w:abstractNumId w:val="0"/>
  </w:num>
  <w:num w:numId="78">
    <w:abstractNumId w:val="0"/>
  </w:num>
  <w:num w:numId="79">
    <w:abstractNumId w:val="0"/>
  </w:num>
  <w:num w:numId="80">
    <w:abstractNumId w:val="0"/>
  </w:num>
  <w:num w:numId="81">
    <w:abstractNumId w:val="0"/>
  </w:num>
  <w:num w:numId="8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openai/codex" TargetMode="External"/><Relationship Id="rId4" Type="http://schemas.openxmlformats.org/officeDocument/2006/relationships/hyperlink" Target="https://github.com/anthropics/claude-code" TargetMode="External"/><Relationship Id="rId5" Type="http://schemas.openxmlformats.org/officeDocument/2006/relationships/hyperlink" Target="https://github.com/earendil-works/pi" TargetMode="External"/><Relationship Id="rId6" Type="http://schemas.openxmlformats.org/officeDocument/2006/relationships/hyperlink" Target="https://github.com/NousResearch/hermes-agent" TargetMode="External"/><Relationship Id="rId7" Type="http://schemas.openxmlformats.org/officeDocument/2006/relationships/hyperlink" Target="https://github.com/Einsia/SWE-Refactor-Bench" TargetMode="External"/><Relationship Id="rId8" Type="http://schemas.openxmlformats.org/officeDocument/2006/relationships/hyperlink" Target="https://github.com/NVlabs/SoL-Pi" TargetMode="External"/><Relationship Id="rId9" Type="http://schemas.openxmlformats.org/officeDocument/2006/relationships/hyperlink" Target="https://github.com/zhengkid/Dream-RSI" TargetMode="External"/><Relationship Id="rId10" Type="http://schemas.openxmlformats.org/officeDocument/2006/relationships/hyperlink" Target="https://github.com/affaan-m/ECC" TargetMode="External"/><Relationship Id="rId11" Type="http://schemas.openxmlformats.org/officeDocument/2006/relationships/hyperlink" Target="https://github.com/tinyhumansai/openhuman" TargetMode="External"/><Relationship Id="rId12" Type="http://schemas.openxmlformats.org/officeDocument/2006/relationships/hyperlink" Target="https://github.com/tinyhumansai/tinyagents" TargetMode="External"/><Relationship Id="rId13" Type="http://schemas.openxmlformats.org/officeDocument/2006/relationships/hyperlink" Target="https://github.com/aaif-goose/goos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Harness Design Checklist</dc:title>
  <dc:description>Claude Docs node/7043ec12-3a6c@69 docx-w5</dc:description>
  <cp:revision>69</cp:revision>
</cp:coreProperties>
</file>