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Feature Specification: General-Purpose AI Coding Harness</w:t>
      </w:r>
    </w:p>
    <w:p>
      <w:pPr/>
      <w:r>
        <w:rPr>
          <w:b/>
        </w:rPr>
        <w:t xml:space="preserve">Feature Branch</w:t>
      </w:r>
      <w:r>
        <w:t xml:space="preserve">: </w:t>
      </w:r>
      <w:r>
        <w:rPr>
          <w:rStyle w:val="CodeChar"/>
        </w:rPr>
        <w:t xml:space="preserve">harness-design-baseline</w:t>
      </w:r>
      <w:r>
        <w:t xml:space="preserve"> </w:t>
      </w:r>
      <w:r>
        <w:rPr>
          <w:b/>
        </w:rPr>
        <w:t xml:space="preserve">Created</w:t>
      </w:r>
      <w:r>
        <w:t xml:space="preserve">: 2026-09-22 </w:t>
      </w:r>
      <w:r>
        <w:rPr>
          <w:b/>
        </w:rPr>
        <w:t xml:space="preserve">Status</w:t>
      </w:r>
      <w:r>
        <w:t xml:space="preserve">: Draft </w:t>
      </w:r>
      <w:r>
        <w:rPr>
          <w:b/>
        </w:rPr>
        <w:t xml:space="preserve">Input</w:t>
      </w:r>
      <w:r>
        <w:t xml:space="preserve">: Distilled from the AI Harness Design Checklist — sixteen repos battle-tested against a running checklist over the course of this project, spanning production coding harnesses, a benchmark tool, a harness extension, a meta-layer product, and a consumer product with a harness vendored inside.</w:t>
      </w:r>
    </w:p>
    <w:p>
      <w:pPr>
        <w:pStyle w:val="Heading2"/>
      </w:pPr>
      <w:r>
        <w:t xml:space="preserve">Scope note</w:t>
      </w:r>
    </w:p>
    <w:p>
      <w:pPr/>
      <w:r>
        <w:t xml:space="preserve">This specification describes a general-purpose, single-user, single-machine coding harness — the category-1 "harness proper" pattern confirmed across Codex, Claude Code, Pi, Hermes, TinyAgents, Goose, and DeepCode. It intentionally omits UI/product surface (dashboards, kanban boards, mascots, messaging channels — see the checklist's fluff filter) and anything specific to a single vendor's model or wire protocol. Requirements below are technology-agnostic; the accompanying checklist remains the source of implementation-level detail (dialect choices, exact config keys, wire-protocol specifics).</w:t>
      </w:r>
    </w:p>
    <w:p>
      <w:pPr>
        <w:pStyle w:val="Heading2"/>
      </w:pPr>
      <w:r>
        <w:t xml:space="preserve">User Scenarios &amp; Testing (mandatory)</w:t>
      </w:r>
    </w:p>
    <w:p>
      <w:pPr>
        <w:pStyle w:val="Heading3"/>
      </w:pPr>
      <w:r>
        <w:t xml:space="preserve">Primary user story</w:t>
      </w:r>
    </w:p>
    <w:p>
      <w:pPr/>
      <w:r>
        <w:t xml:space="preserve">An engineer points the harness at a real repository, gives it a coding task, and the harness explores the codebase, edits files, runs commands and tests, verifies its own work against real evidence rather than a plausible-looking answer, and either completes the task or reports why it's genuinely blocked — all while the engineer can see what tools were called, approve or deny risky actions, interrupt or steer the run at any point, and trust that resuming after a crash or interruption never silently re-runs a side-effecting action.</w:t>
      </w:r>
    </w:p>
    <w:p>
      <w:pPr>
        <w:pStyle w:val="Heading3"/>
      </w:pPr>
      <w:r>
        <w:t xml:space="preserve">Acceptance scenarios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Given</w:t>
      </w:r>
      <w:r>
        <w:t xml:space="preserve"> a supported model and provider are configured, </w:t>
      </w:r>
      <w:r>
        <w:rPr>
          <w:b/>
        </w:rPr>
        <w:t xml:space="preserve">When</w:t>
      </w:r>
      <w:r>
        <w:t xml:space="preserve"> the engineer starts a task, </w:t>
      </w:r>
      <w:r>
        <w:rPr>
          <w:b/>
        </w:rPr>
        <w:t xml:space="preserve">Then</w:t>
      </w:r>
      <w:r>
        <w:t xml:space="preserve"> the harness completes a tool-call round-trip and a code-edit round-trip against the actual serving stack before the run proceeds, not just against the model's published card.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Given</w:t>
      </w:r>
      <w:r>
        <w:t xml:space="preserve"> a run is in progress with tool calls executing, </w:t>
      </w:r>
      <w:r>
        <w:rPr>
          <w:b/>
        </w:rPr>
        <w:t xml:space="preserve">When</w:t>
      </w:r>
      <w:r>
        <w:t xml:space="preserve"> the engineer interrupts, stops, or the process crashes, </w:t>
      </w:r>
      <w:r>
        <w:rPr>
          <w:b/>
        </w:rPr>
        <w:t xml:space="preserve">Then</w:t>
      </w:r>
      <w:r>
        <w:t xml:space="preserve"> recovery restores conversational and planning state but never automatically re-executes an in-flight side-effecting tool call.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Given</w:t>
      </w:r>
      <w:r>
        <w:t xml:space="preserve"> a task requires a mutating action (editing a file, running a shell command), </w:t>
      </w:r>
      <w:r>
        <w:rPr>
          <w:b/>
        </w:rPr>
        <w:t xml:space="preserve">When</w:t>
      </w:r>
      <w:r>
        <w:t xml:space="preserve"> the configured approval mode is "ask", </w:t>
      </w:r>
      <w:r>
        <w:rPr>
          <w:b/>
        </w:rPr>
        <w:t xml:space="preserve">Then</w:t>
      </w:r>
      <w:r>
        <w:t xml:space="preserve"> the harness pauses and requests explicit confirmation before the action runs, and an explicit deny always overrides an allow or ask regardless of the session-level mode.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Given</w:t>
      </w:r>
      <w:r>
        <w:t xml:space="preserve"> a long-running task accumulates context, </w:t>
      </w:r>
      <w:r>
        <w:rPr>
          <w:b/>
        </w:rPr>
        <w:t xml:space="preserve">When</w:t>
      </w:r>
      <w:r>
        <w:t xml:space="preserve"> the context window approaches its budget, </w:t>
      </w:r>
      <w:r>
        <w:rPr>
          <w:b/>
        </w:rPr>
        <w:t xml:space="preserve">Then</w:t>
      </w:r>
      <w:r>
        <w:t xml:space="preserve"> the harness compacts using the provider's own reported token count, and the most recent turns survive the compaction verbatim rather than being folded into a lossy summary.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Given</w:t>
      </w:r>
      <w:r>
        <w:t xml:space="preserve"> the engineer changes permissions mid-session, </w:t>
      </w:r>
      <w:r>
        <w:rPr>
          <w:b/>
        </w:rPr>
        <w:t xml:space="preserve">When</w:t>
      </w:r>
      <w:r>
        <w:t xml:space="preserve"> other work is already running or queued, </w:t>
      </w:r>
      <w:r>
        <w:rPr>
          <w:b/>
        </w:rPr>
        <w:t xml:space="preserve">Then</w:t>
      </w:r>
      <w:r>
        <w:t xml:space="preserve"> the change applies only to new submissions going forward — already-admitted turns keep the access they were granted.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Given</w:t>
      </w:r>
      <w:r>
        <w:t xml:space="preserve"> a task is reported complete, </w:t>
      </w:r>
      <w:r>
        <w:rPr>
          <w:b/>
        </w:rPr>
        <w:t xml:space="preserve">When</w:t>
      </w:r>
      <w:r>
        <w:t xml:space="preserve"> the engineer reviews the result, </w:t>
      </w:r>
      <w:r>
        <w:rPr>
          <w:b/>
        </w:rPr>
        <w:t xml:space="preserve">Then</w:t>
      </w:r>
      <w:r>
        <w:t xml:space="preserve"> the completion claim is backed by attached evidence (test output, build results, diffs) rather than the model's own unverified assertion.</w:t>
      </w:r>
    </w:p>
    <w:p>
      <w:pPr>
        <w:pStyle w:val="Heading3"/>
      </w:pPr>
      <w:r>
        <w:t xml:space="preserve">Edge cases</w:t>
      </w:r>
    </w:p>
    <w:p>
      <w:pPr>
        <w:pStyle w:val="ListParagraph"/>
        <w:numPr>
          <w:ilvl w:val="0"/>
          <w:numId w:val="3"/>
        </w:numPr>
      </w:pPr>
      <w:r>
        <w:t xml:space="preserve">What happens when the configured provider is itself another vendor's harness (a wrapped CLI, an ACP adapter) rather than a raw model API — does the wrapping harness detect and compensate for that provider's own default sandboxing or session behavior?</w:t>
      </w:r>
    </w:p>
    <w:p>
      <w:pPr>
        <w:pStyle w:val="ListParagraph"/>
        <w:numPr>
          <w:ilvl w:val="0"/>
          <w:numId w:val="3"/>
        </w:numPr>
      </w:pPr>
      <w:r>
        <w:t xml:space="preserve">What happens when a subagent or delegated role requires a capability (e.g. file mutation) that its assigned backend cannot structurally provide — does the harness refuse explicitly, or silently run a degraded version of the step?</w:t>
      </w:r>
    </w:p>
    <w:p>
      <w:pPr>
        <w:pStyle w:val="ListParagraph"/>
        <w:numPr>
          <w:ilvl w:val="0"/>
          <w:numId w:val="3"/>
        </w:numPr>
      </w:pPr>
      <w:r>
        <w:t xml:space="preserve">How does the system handle a tool call whose author is the model itself (an agent-authored workflow blueprint) rather than a human — does it execute through the same trust path as human-authored code, deliberately or by omission?</w:t>
      </w:r>
    </w:p>
    <w:p>
      <w:pPr>
        <w:pStyle w:val="ListParagraph"/>
        <w:numPr>
          <w:ilvl w:val="0"/>
          <w:numId w:val="3"/>
        </w:numPr>
      </w:pPr>
      <w:r>
        <w:t xml:space="preserve">What happens when local artifact storage (session state, compaction snapshots, observation caches) accumulates with no retention policy — is there a bounded, explicit cleanup mechanism?</w:t>
      </w:r>
    </w:p>
    <w:p>
      <w:pPr>
        <w:pStyle w:val="Heading2"/>
      </w:pPr>
      <w:r>
        <w:t xml:space="preserve">Requirements (mandatory)</w:t>
      </w:r>
    </w:p>
    <w:p>
      <w:pPr>
        <w:pStyle w:val="Heading3"/>
      </w:pPr>
      <w:r>
        <w:t xml:space="preserve">Functional requirements</w:t>
      </w:r>
    </w:p>
    <w:p>
      <w:pPr/>
      <w:r>
        <w:rPr>
          <w:b/>
        </w:rPr>
        <w:t xml:space="preserve">Model alignment &amp; provider profile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FR-001</w:t>
      </w:r>
      <w:r>
        <w:t xml:space="preserve">: The system MUST declare a capability profile per supported model (context window, max output tokens, multimodal support, reasoning-effort levels) rather than assuming parity across models.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FR-002</w:t>
      </w:r>
      <w:r>
        <w:t xml:space="preserve">: The system MUST declare, per model, its wire protocol, tool-call encoding, and code-edit dialect, and verify each with a live round-trip test before the choice is committed to the spec.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FR-003</w:t>
      </w:r>
      <w:r>
        <w:t xml:space="preserve">: The system MUST treat a configured provider as potentially being another vendor's own harness rather than a raw model API, and MUST document any compensation required for that wrapped harness's own defaults (sandboxing, session model, auth).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FR-004</w:t>
      </w:r>
      <w:r>
        <w:t xml:space="preserve">: The system MUST support assigning different models or backends to different pipeline stages or agent roles within a single run, where the workflow has stages of differing stakes or capability needs.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FR-005</w:t>
      </w:r>
      <w:r>
        <w:t xml:space="preserve">: The system MUST refuse explicitly — not silently degrade — when a configured backend cannot meet a role's capability requirements (e.g. file mutation on a read-only-sandboxed backend).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FR-006</w:t>
      </w:r>
      <w:r>
        <w:t xml:space="preserve">: The system MUST NOT export a resolved connection's credential into the shared process environment where other same-template connections could read it.</w:t>
      </w:r>
    </w:p>
    <w:p>
      <w:pPr/>
      <w:r>
        <w:rPr>
          <w:b/>
        </w:rPr>
        <w:t xml:space="preserve">Tool-call interface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FR-007</w:t>
      </w:r>
      <w:r>
        <w:t xml:space="preserve">: The system MUST validate tool-call arguments against a schema before execution and MUST NOT execute a call with malformed arguments.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FR-008</w:t>
      </w:r>
      <w:r>
        <w:t xml:space="preserve">: The system MUST isolate MCP subprocess credentials so a spawned server cannot access secrets belonging to other configured servers.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FR-009</w:t>
      </w:r>
      <w:r>
        <w:t xml:space="preserve">: The system MUST NOT allow a tool call's own arguments to widen the scope or identity it operates under for a shared or sensitive resource (memory, credential store, multi-tenant data) — scope is fixed by the operator at launch.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FR-010</w:t>
      </w:r>
      <w:r>
        <w:t xml:space="preserve">: The system MUST separate a per-tool soft timeout (recoverable, agent-visible, allows retry or an alternate tool) from a run-level hard timeout (unconditional abort).</w:t>
      </w:r>
    </w:p>
    <w:p>
      <w:pPr/>
      <w:r>
        <w:rPr>
          <w:b/>
        </w:rPr>
        <w:t xml:space="preserve">Code-edit protocol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FR-011</w:t>
      </w:r>
      <w:r>
        <w:t xml:space="preserve">: The system MUST validate a proposed edit's target path against the working directory boundary before applying it, rejecting any path traversal outside that boundary.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FR-012</w:t>
      </w:r>
      <w:r>
        <w:t xml:space="preserve">: The system MUST apply edits atomically such that a failed or partial edit does not leave the target file in a corrupted intermediate state.</w:t>
      </w:r>
    </w:p>
    <w:p>
      <w:pPr/>
      <w:r>
        <w:rPr>
          <w:b/>
        </w:rPr>
        <w:t xml:space="preserve">Orchestration &amp; loop structure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FR-013</w:t>
      </w:r>
      <w:r>
        <w:t xml:space="preserve">: The system MUST enforce an explicit recursion or delegation depth limit for subagents, and MUST roll up child-run usage and cost to the parent as first-class observable data.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FR-014</w:t>
      </w:r>
      <w:r>
        <w:t xml:space="preserve">: Where the system allows agent-authored code or workflow blueprints to compile and execute, it MUST route that execution through a distinct, lower-trust path than human-authored code, or document that the identical-trust choice was made deliberately.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FR-015</w:t>
      </w:r>
      <w:r>
        <w:t xml:space="preserve">: Where the system delegates individual subagents to external wrapped harnesses, each such delegation MUST run with a scrubbed environment and an explicit, checkable success criterion.</w:t>
      </w:r>
    </w:p>
    <w:p>
      <w:pPr/>
      <w:r>
        <w:rPr>
          <w:b/>
        </w:rPr>
        <w:t xml:space="preserve">Context &amp; memory management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FR-016</w:t>
      </w:r>
      <w:r>
        <w:t xml:space="preserve">: The system MUST measure context/token pressure using the provider's own reported count rather than a local estimator, or MUST document known bias in that estimator across languages and content types.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FR-017</w:t>
      </w:r>
      <w:r>
        <w:t xml:space="preserve">: Compaction MUST preserve the most recent turns verbatim and MUST NOT re-insert dynamic content (environment blocks, live state) ahead of the user's newest message in a way that invalidates prompt-cache prefix matching every turn.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FR-018</w:t>
      </w:r>
      <w:r>
        <w:t xml:space="preserve">: Large tool outputs MUST be represented as stable, re-fetchable handles rather than replayed in full on every subsequent turn.</w:t>
      </w:r>
    </w:p>
    <w:p>
      <w:pPr/>
      <w:r>
        <w:rPr>
          <w:b/>
        </w:rPr>
        <w:t xml:space="preserve">Task state &amp; project memory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FR-019</w:t>
      </w:r>
      <w:r>
        <w:t xml:space="preserve">: Project-supplied configuration and memory content MUST NOT be honored until the project directory has been explicitly marked trusted.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FR-020</w:t>
      </w:r>
      <w:r>
        <w:t xml:space="preserve">: Injected or untrusted memory content MUST be wrapped in a boundary that cannot be forged from inside the content, preventing a poisoned note from being interpreted as a new instruction.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FR-021</w:t>
      </w:r>
      <w:r>
        <w:t xml:space="preserve">: A skill or loaded capability MUST be able to narrow the tools already permitted to a session but MUST NOT be able to grant new permissions beyond that session's existing grant.</w:t>
      </w:r>
    </w:p>
    <w:p>
      <w:pPr/>
      <w:r>
        <w:rPr>
          <w:b/>
        </w:rPr>
        <w:t xml:space="preserve">Observability &amp; tracing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FR-022</w:t>
      </w:r>
      <w:r>
        <w:t xml:space="preserve">: The system MUST record action, tool-call, and outcome traces sufficient to answer "what did the agent just run" after a session resume, from the canonical session record alone.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FR-023</w:t>
      </w:r>
      <w:r>
        <w:t xml:space="preserve">: Where a provider wraps another harness, the system MUST document whether session and trace identifiers correlate across that boundary, or explicitly flag the gap if they do not.</w:t>
      </w:r>
    </w:p>
    <w:p>
      <w:pPr/>
      <w:r>
        <w:rPr>
          <w:b/>
        </w:rPr>
        <w:t xml:space="preserve">Failure attribution &amp; verification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FR-024</w:t>
      </w:r>
      <w:r>
        <w:t xml:space="preserve">: The system MUST attribute a failure to a cause before attempting automated recovery, rather than retrying blindly.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FR-025</w:t>
      </w:r>
      <w:r>
        <w:t xml:space="preserve">: A task MUST NOT be labeled complete on the model's own semantic assertion alone; completion MUST be backed by selected evidence appropriate to the task (test results, build output, diagnostics, diffs, or generated artifacts).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FR-026</w:t>
      </w:r>
      <w:r>
        <w:t xml:space="preserve">: A failed verification MUST feed back into the next repair attempt rather than being silently discarded or re-presented as success.</w:t>
      </w:r>
    </w:p>
    <w:p>
      <w:pPr/>
      <w:r>
        <w:rPr>
          <w:b/>
        </w:rPr>
        <w:t xml:space="preserve">Permissions &amp; sandboxing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FR-027</w:t>
      </w:r>
      <w:r>
        <w:t xml:space="preserve">: The system MUST implement filesystem access scope, network access policy, and OS-level sandboxing as three independent, separately configurable axes.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FR-028</w:t>
      </w:r>
      <w:r>
        <w:t xml:space="preserve">: Dangerous-command detection MUST parse the command's actual structure (argv-aware) rather than substring-matching the raw command line, and MUST be treated as a first-pass filter in front of the sandbox, not as the sandbox itself.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FR-029</w:t>
      </w:r>
      <w:r>
        <w:t xml:space="preserve">: Every code path that performs a filesystem or shell operation — including internal performance shortcuts that avoid subprocess overhead — MUST route through the same sandbox boundary as every other such operation.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FR-030</w:t>
      </w:r>
      <w:r>
        <w:t xml:space="preserve">: A mid-session permission or approval-mode change MUST apply only to new submissions going forward; already-running or already-queued work MUST keep the access it was granted at admission.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FR-031</w:t>
      </w:r>
      <w:r>
        <w:t xml:space="preserve">: An explicit deny rule MUST override an allow or ask setting regardless of the session-level approval mode.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FR-032</w:t>
      </w:r>
      <w:r>
        <w:t xml:space="preserve">: The system's default configuration MUST declare, deliberately and in its own documentation, whether it performs read-only analysis or mutating action out of the box — the default MUST NOT be an accidental byproduct of feature ordering.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FR-033</w:t>
      </w:r>
      <w:r>
        <w:t xml:space="preserve">: Stopping, interrupting, or recovering from a crash MUST NOT automatically re-execute a side-effecting tool call that was in flight when the run stopped.</w:t>
      </w:r>
    </w:p>
    <w:p>
      <w:pPr/>
      <w:r>
        <w:rPr>
          <w:b/>
        </w:rPr>
        <w:t xml:space="preserve">Entropy auditing, intervention logging, and cost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FR-034</w:t>
      </w:r>
      <w:r>
        <w:t xml:space="preserve">: The system MUST log human interventions during a run and classify whether each was avoidable by better upstream design.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FR-035</w:t>
      </w:r>
      <w:r>
        <w:t xml:space="preserve">: The system MUST track per-call cost and usage, rolled up across any recursive or delegated child runs, as first-class observable data.</w:t>
      </w:r>
    </w:p>
    <w:p>
      <w:pPr/>
      <w:r>
        <w:rPr>
          <w:b/>
        </w:rPr>
        <w:t xml:space="preserve">Local artifact &amp; upgrade lifecycle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FR-036</w:t>
      </w:r>
      <w:r>
        <w:t xml:space="preserve">: Locally archived session data (checkpoints, observation caches, reducer archives) MUST have an explicit, bounded retention policy rather than accumulating indefinitely with no cleanup.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FR-037</w:t>
      </w:r>
      <w:r>
        <w:t xml:space="preserve">: An upgrade or update MUST NOT silently overwrite user customizations, identity, or settings; config updates MUST merge rather than replace wholesale, and a backup step MUST be recommended or automated before upgrading.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FR-038</w:t>
      </w:r>
      <w:r>
        <w:t xml:space="preserve">: The system SHOULD ship a re-runnable self-diagnostic that reports the real state of every optional capability and reconciles on-disk configuration against what the system believes is registered.</w:t>
      </w:r>
    </w:p>
    <w:p>
      <w:pPr/>
      <w:r>
        <w:rPr>
          <w:b/>
        </w:rPr>
        <w:t xml:space="preserve">Scope boundary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FR-039</w:t>
      </w:r>
      <w:r>
        <w:t xml:space="preserve">: The system MUST NOT include product/UI surface whose removal would not change what the agent can observe, act on, or verify (dashboards, kanban boards, mascots, messaging channels, theming) — see the fluff-filter test in the accompanying checklist.</w:t>
      </w:r>
    </w:p>
    <w:p>
      <w:pPr>
        <w:pStyle w:val="Heading3"/>
      </w:pPr>
      <w:r>
        <w:t xml:space="preserve">Key entities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Model</w:t>
      </w:r>
      <w:r>
        <w:t xml:space="preserve">: a language model the harness can call, identified independently of its provider; carries its own declared capability profile (context window, tool-call dialect, reasoning-effort levels).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Provider</w:t>
      </w:r>
      <w:r>
        <w:t xml:space="preserve">: the connection through which a model is reached — a raw API, or, distinctly, another vendor's own harness wrapped as a backend, inheriting that harness's defaults.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Session</w:t>
      </w:r>
      <w:r>
        <w:t xml:space="preserve">: a durable unit of work tied to a project; stores tool calls, permission decisions, model configuration, and verification records, not just chat text.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Turn</w:t>
      </w:r>
      <w:r>
        <w:t xml:space="preserve">: one admitted unit of execution within a session; freezes its resolved security profile at admission, independent of later mid-session permission changes.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Tool</w:t>
      </w:r>
      <w:r>
        <w:t xml:space="preserve">: a typed, schema-validated capability the model can invoke; carries its own timeout tier and sandbox boundary.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Skill</w:t>
      </w:r>
      <w:r>
        <w:t xml:space="preserve">: a reusable, loaded-on-demand behavior; can narrow but never widen the permissions of the session that loads it.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Subagent</w:t>
      </w:r>
      <w:r>
        <w:t xml:space="preserve">: a delegated, depth-tracked child run, possibly backed by an entirely different external harness than its parent.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Permission profile</w:t>
      </w:r>
      <w:r>
        <w:t xml:space="preserve">: the resolved combination of session-level approval mode (ask / read-only / full-access) and per-tool allow/ask/deny rules, with deny always dominant.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Sandbox boundary</w:t>
      </w:r>
      <w:r>
        <w:t xml:space="preserve">: the actual enforced isolation mechanism (OS-level, filesystem scope, network policy) — distinct from any heuristic detection layer sitting in front of it.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Trace / run record</w:t>
      </w:r>
      <w:r>
        <w:t xml:space="preserve">: the canonical, resumable log of what a session or subagent actually did, correlated across recursive calls by a shared root identifier.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Local artifact store</w:t>
      </w:r>
      <w:r>
        <w:t xml:space="preserve">: session state, checkpoints, and caches kept outside the target repository, with an explicit retention and cleanup policy.</w:t>
      </w:r>
    </w:p>
    <w:p>
      <w:pPr>
        <w:pStyle w:val="Heading2"/>
      </w:pPr>
      <w:r>
        <w:t xml:space="preserve">Success Criteria (mandatory)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SC-001</w:t>
      </w:r>
      <w:r>
        <w:t xml:space="preserve">: Every supported model has a documented capability profile and passes a live tool-call and code-edit round-trip test before it is added to the spec, not just before release.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SC-002</w:t>
      </w:r>
      <w:r>
        <w:t xml:space="preserve">: Zero sandbox-bypass incidents where an internal performance shortcut (a fast path, an in-process operation) skips the enforced sandbox boundary.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SC-003</w:t>
      </w:r>
      <w:r>
        <w:t xml:space="preserve">: 100% of task completions carry attached, task-appropriate verification evidence; zero completions are accepted on the model's own unverified assertion alone.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SC-004</w:t>
      </w:r>
      <w:r>
        <w:t xml:space="preserve">: A crash, interruption, or resume never results in a duplicated side-effecting action, measured by an automated test that a resumed session's request log matches the canonical session record with no extra tool calls.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SC-005</w:t>
      </w:r>
      <w:r>
        <w:t xml:space="preserve">: A mid-session permission change is verified, by test, to leave already-admitted turns' access unchanged and to apply only to new submissions.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SC-006</w:t>
      </w:r>
      <w:r>
        <w:t xml:space="preserve">: Local artifact storage has a documented retention window with automated pruning; no local session archive grows unbounded across a defined observation period.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SC-007</w:t>
      </w:r>
      <w:r>
        <w:t xml:space="preserve">: 100% of MCP subprocess launches receive an isolated credential set; zero cross-server credential leakage in a scan of subprocess environments.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SC-008</w:t>
      </w:r>
      <w:r>
        <w:t xml:space="preserve">: Context-pressure measurement is anchored to provider-reported token counts for every supported model; zero known systematic estimator bias goes undocumented.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SC-009</w:t>
      </w:r>
      <w:r>
        <w:t xml:space="preserve">: An engineer new to the harness can locate, within the spec and checklist, the answer to "is this repo a harness or something else" for any dependency or integration it wraps, without needing to inspect that dependency's source.</w:t>
      </w: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18"/>
        </w:numPr>
      </w:pPr>
      <w:r>
        <w:t xml:space="preserve">The target user is a single engineer operating the harness against repositories they own or are authorized to modify — multi-tenant, cross-organization use is out of scope for this baseline spec.</w:t>
      </w:r>
    </w:p>
    <w:p>
      <w:pPr>
        <w:pStyle w:val="ListParagraph"/>
        <w:numPr>
          <w:ilvl w:val="0"/>
          <w:numId w:val="18"/>
        </w:numPr>
      </w:pPr>
      <w:r>
        <w:t xml:space="preserve">At least one provider is a raw model API; wrapped-harness providers (ACP-style) are supported but not assumed to be the only path.</w:t>
      </w:r>
    </w:p>
    <w:p>
      <w:pPr>
        <w:pStyle w:val="ListParagraph"/>
        <w:numPr>
          <w:ilvl w:val="0"/>
          <w:numId w:val="18"/>
        </w:numPr>
      </w:pPr>
      <w:r>
        <w:t xml:space="preserve">The harness runs on a single machine per session; cross-instance or cross-machine agent-to-agent communication is a distinct, separately specified capability, not assumed present.</w:t>
      </w:r>
    </w:p>
    <w:p>
      <w:pPr>
        <w:pStyle w:val="ListParagraph"/>
        <w:numPr>
          <w:ilvl w:val="0"/>
          <w:numId w:val="18"/>
        </w:numPr>
      </w:pPr>
      <w:r>
        <w:t xml:space="preserve">Implementation language is not fixed by this spec, but Section 14 of the accompanying checklist (sandboxing achievability, version-pinning reproducibility, native-extension trust surface, concurrency/cancellation model) governs whichever language is chosen.</w:t>
      </w:r>
    </w:p>
    <w:p>
      <w:pPr>
        <w:pStyle w:val="ListParagraph"/>
        <w:numPr>
          <w:ilvl w:val="0"/>
          <w:numId w:val="18"/>
        </w:numPr>
      </w:pPr>
      <w:r>
        <w:t xml:space="preserve">"Vertical" or fixed-pipeline harnesses (a single hardcoded workflow for one task type, as confirmed in security-scanning use cases) are a valid specialization of this baseline, not a different spec.</w:t>
      </w:r>
    </w:p>
    <w:p>
      <w:pPr>
        <w:pStyle w:val="Heading2"/>
      </w:pPr>
      <w:r>
        <w:t xml:space="preserve">Dependencies</w:t>
      </w:r>
    </w:p>
    <w:p>
      <w:pPr>
        <w:pStyle w:val="ListParagraph"/>
        <w:numPr>
          <w:ilvl w:val="0"/>
          <w:numId w:val="19"/>
        </w:numPr>
      </w:pPr>
      <w:r>
        <w:t xml:space="preserve">At least one LLM provider (direct API or a wrapped external harness) reachable from the runtime environment.</w:t>
      </w:r>
    </w:p>
    <w:p>
      <w:pPr>
        <w:pStyle w:val="ListParagraph"/>
        <w:numPr>
          <w:ilvl w:val="0"/>
          <w:numId w:val="19"/>
        </w:numPr>
      </w:pPr>
      <w:r>
        <w:t xml:space="preserve">An OS-level isolation primitive appropriate to the implementation language and target platform (syscall filtering for a compiled single-binary implementation; container/VM wrapping for an interpreted-language implementation).</w:t>
      </w:r>
    </w:p>
    <w:p>
      <w:pPr>
        <w:pStyle w:val="ListParagraph"/>
        <w:numPr>
          <w:ilvl w:val="0"/>
          <w:numId w:val="19"/>
        </w:numPr>
      </w:pPr>
      <w:r>
        <w:t xml:space="preserve">A local, durable storage mechanism for session state and checkpoints, kept outside the directory tree the harness operates on.</w:t>
      </w:r>
    </w:p>
    <w:p>
      <w:pPr>
        <w:pStyle w:val="ListParagraph"/>
        <w:numPr>
          <w:ilvl w:val="0"/>
          <w:numId w:val="19"/>
        </w:numPr>
      </w:pPr>
      <w:r>
        <w:t xml:space="preserve">Where MCP is used: a subprocess-capable runtime that supports per-server environment isolation.</w:t>
      </w:r>
    </w:p>
    <w:p>
      <w:pPr>
        <w:pStyle w:val="ListParagraph"/>
        <w:numPr>
          <w:ilvl w:val="0"/>
          <w:numId w:val="19"/>
        </w:numPr>
      </w:pPr>
      <w:r>
        <w:t xml:space="preserve">Where a named-profile or multi-provider setup is used: a configuration-loading path that can distinguish trusted from untrusted project directories before honoring project-supplied settings.</w:t>
      </w:r>
    </w:p>
    <w:p>
      <w:pPr>
        <w:pStyle w:val="Heading2"/>
      </w:pPr>
      <w:r>
        <w:t xml:space="preserve">Review &amp; Acceptance Checklist</w:t>
      </w:r>
    </w:p>
    <w:p>
      <w:pPr/>
      <w:r>
        <w:rPr>
          <w:i/>
        </w:rPr>
        <w:t xml:space="preserve">GATE: run before treating this spec as ready for planning</w:t>
      </w:r>
    </w:p>
    <w:p>
      <w:pPr>
        <w:pStyle w:val="Heading3"/>
      </w:pPr>
      <w:r>
        <w:t xml:space="preserve">Content quality</w:t>
      </w:r>
    </w:p>
    <w:p>
      <w:pPr>
        <w:pStyle w:val="ListParagraph"/>
        <w:numPr>
          <w:ilvl w:val="0"/>
          <w:numId w:val="20"/>
        </w:numPr>
      </w:pPr>
      <w:r>
        <w:t xml:space="preserve">☐ No single-vendor implementation details leaked into a functional requirement (dialect names, specific config keys) — those stay in the accompanying checklist</w:t>
      </w:r>
    </w:p>
    <w:p>
      <w:pPr>
        <w:pStyle w:val="ListParagraph"/>
        <w:numPr>
          <w:ilvl w:val="0"/>
          <w:numId w:val="20"/>
        </w:numPr>
      </w:pPr>
      <w:r>
        <w:t xml:space="preserve">☐ Every requirement is phrased as a testable MUST/SHOULD, not a description</w:t>
      </w:r>
    </w:p>
    <w:p>
      <w:pPr>
        <w:pStyle w:val="ListParagraph"/>
        <w:numPr>
          <w:ilvl w:val="0"/>
          <w:numId w:val="20"/>
        </w:numPr>
      </w:pPr>
      <w:r>
        <w:t xml:space="preserve">☐ Product/UI surface excluded per the fluff-filter scope boundary (FR-039)</w:t>
      </w:r>
    </w:p>
    <w:p>
      <w:pPr>
        <w:pStyle w:val="ListParagraph"/>
        <w:numPr>
          <w:ilvl w:val="0"/>
          <w:numId w:val="20"/>
        </w:numPr>
      </w:pPr>
      <w:r>
        <w:t xml:space="preserve">☐ All mandatory sections completed</w:t>
      </w:r>
    </w:p>
    <w:p>
      <w:pPr>
        <w:pStyle w:val="Heading3"/>
      </w:pPr>
      <w:r>
        <w:t xml:space="preserve">Requirement completeness</w:t>
      </w:r>
    </w:p>
    <w:p>
      <w:pPr>
        <w:pStyle w:val="ListParagraph"/>
        <w:numPr>
          <w:ilvl w:val="0"/>
          <w:numId w:val="21"/>
        </w:numPr>
      </w:pPr>
      <w:r>
        <w:t xml:space="preserve">☐ No unresolved ambiguity markers remain</w:t>
      </w:r>
    </w:p>
    <w:p>
      <w:pPr>
        <w:pStyle w:val="ListParagraph"/>
        <w:numPr>
          <w:ilvl w:val="0"/>
          <w:numId w:val="21"/>
        </w:numPr>
      </w:pPr>
      <w:r>
        <w:t xml:space="preserve">☐ Every FR has at least one corresponding Success Criterion or acceptance scenario it would fail if unmet</w:t>
      </w:r>
    </w:p>
    <w:p>
      <w:pPr>
        <w:pStyle w:val="ListParagraph"/>
        <w:numPr>
          <w:ilvl w:val="0"/>
          <w:numId w:val="21"/>
        </w:numPr>
      </w:pPr>
      <w:r>
        <w:t xml:space="preserve">☐ Scope is bounded (see Scope note and Assumptions)</w:t>
      </w:r>
    </w:p>
    <w:p>
      <w:pPr>
        <w:pStyle w:val="ListParagraph"/>
        <w:numPr>
          <w:ilvl w:val="0"/>
          <w:numId w:val="21"/>
        </w:numPr>
      </w:pPr>
      <w:r>
        <w:t xml:space="preserve">☐ Dependencies and assumptions are identified</w:t>
      </w:r>
    </w:p>
    <w:p>
      <w:pPr>
        <w:pStyle w:val="ListParagraph"/>
        <w:numPr>
          <w:ilvl w:val="0"/>
          <w:numId w:val="21"/>
        </w:numPr>
      </w:pPr>
      <w:r>
        <w:t xml:space="preserve">☐ The category-check question — "would this survive a different harness being swapped in underneath it" — has been asked of every external component this spec assumes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Feature Specification General-Purpose AI Coding Harness</dc:title>
  <dc:description>Claude Docs node/ac14c61e-c70f@8 docx-w5</dc:description>
  <cp:revision>8</cp:revision>
</cp:coreProperties>
</file>