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480"/>
      </w:pPr>
      <w:r>
        <w:rPr>
          <w:rFonts w:ascii="Calibri" w:hAnsi="Calibri"/>
          <w:b/>
          <w:i w:val="0"/>
          <w:color w:val="595959"/>
          <w:sz w:val="18"/>
        </w:rPr>
        <w:t>EQUITY RESEARCH  |  INDIA  |  CAPITAL GOODS — HEAVY ELECTRICAL EQUIPMENT</w:t>
      </w:r>
    </w:p>
    <w:p>
      <w:pPr>
        <w:spacing w:after="40"/>
      </w:pPr>
      <w:r>
        <w:rPr>
          <w:rFonts w:ascii="Calibri" w:hAnsi="Calibri"/>
          <w:b/>
          <w:i w:val="0"/>
          <w:color w:val="1F3864"/>
          <w:sz w:val="52"/>
        </w:rPr>
        <w:t>Bharat Heavy Electricals Limited</w:t>
      </w:r>
    </w:p>
    <w:p>
      <w:pPr>
        <w:spacing w:after="40"/>
      </w:pPr>
      <w:r>
        <w:rPr>
          <w:rFonts w:ascii="Calibri" w:hAnsi="Calibri"/>
          <w:b w:val="0"/>
          <w:i w:val="0"/>
          <w:color w:val="595959"/>
          <w:sz w:val="22"/>
        </w:rPr>
        <w:t>NSE: BHEL  |  BSE: 500103  |  Bloomberg: BHEL IN</w:t>
      </w:r>
    </w:p>
    <w:p>
      <w:pPr>
        <w:spacing w:after="280" w:before="120"/>
      </w:pPr>
      <w:r>
        <w:rPr>
          <w:rFonts w:ascii="Calibri" w:hAnsi="Calibri"/>
          <w:b/>
          <w:i/>
          <w:color w:val="2E5BA8"/>
          <w:sz w:val="26"/>
        </w:rPr>
        <w:t>Riding the thermal super-cycle — but the price already assumes it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pPr>
              <w:jc w:val="center"/>
            </w:pPr>
            <w:r>
              <w:rPr>
                <w:rFonts w:ascii="Calibri" w:hAnsi="Calibri"/>
                <w:b/>
                <w:i w:val="0"/>
                <w:color w:val="FFFFFF"/>
                <w:sz w:val="17"/>
              </w:rPr>
              <w:t>RATING</w:t>
            </w:r>
          </w:p>
        </w:tc>
        <w:tc>
          <w:tcPr>
            <w:tcW w:type="dxa" w:w="2412"/>
            <w:shd w:val="clear" w:fill="1F3864"/>
          </w:tcPr>
          <w:p>
            <w:pPr>
              <w:jc w:val="center"/>
            </w:pPr>
            <w:r>
              <w:rPr>
                <w:rFonts w:ascii="Calibri" w:hAnsi="Calibri"/>
                <w:b/>
                <w:i w:val="0"/>
                <w:color w:val="FFFFFF"/>
                <w:sz w:val="17"/>
              </w:rPr>
              <w:t>12M TARGET PRICE</w:t>
            </w:r>
          </w:p>
        </w:tc>
        <w:tc>
          <w:tcPr>
            <w:tcW w:type="dxa" w:w="2412"/>
            <w:shd w:val="clear" w:fill="1F3864"/>
          </w:tcPr>
          <w:p>
            <w:pPr>
              <w:jc w:val="center"/>
            </w:pPr>
            <w:r>
              <w:rPr>
                <w:rFonts w:ascii="Calibri" w:hAnsi="Calibri"/>
                <w:b/>
                <w:i w:val="0"/>
                <w:color w:val="FFFFFF"/>
                <w:sz w:val="17"/>
              </w:rPr>
              <w:t>CURRENT PRICE</w:t>
            </w:r>
          </w:p>
        </w:tc>
        <w:tc>
          <w:tcPr>
            <w:tcW w:type="dxa" w:w="2412"/>
            <w:shd w:val="clear" w:fill="1F3864"/>
          </w:tcPr>
          <w:p>
            <w:pPr>
              <w:jc w:val="center"/>
            </w:pPr>
            <w:r>
              <w:rPr>
                <w:rFonts w:ascii="Calibri" w:hAnsi="Calibri"/>
                <w:b/>
                <w:i w:val="0"/>
                <w:color w:val="FFFFFF"/>
                <w:sz w:val="17"/>
              </w:rPr>
              <w:t>DOWNSIDE</w:t>
            </w:r>
          </w:p>
        </w:tc>
      </w:tr>
      <w:tr>
        <w:tc>
          <w:tcPr>
            <w:tcW w:type="dxa" w:w="2412"/>
          </w:tcPr>
          <w:p>
            <w:pPr>
              <w:jc w:val="center"/>
            </w:pPr>
            <w:r>
              <w:rPr>
                <w:rFonts w:ascii="Calibri" w:hAnsi="Calibri"/>
                <w:b/>
                <w:i w:val="0"/>
                <w:color w:val="C00000"/>
                <w:sz w:val="30"/>
              </w:rPr>
              <w:t>SELL</w:t>
            </w:r>
          </w:p>
        </w:tc>
        <w:tc>
          <w:tcPr>
            <w:tcW w:type="dxa" w:w="2412"/>
          </w:tcPr>
          <w:p>
            <w:pPr>
              <w:jc w:val="center"/>
            </w:pPr>
            <w:r>
              <w:rPr>
                <w:rFonts w:ascii="Calibri" w:hAnsi="Calibri"/>
                <w:b/>
                <w:i w:val="0"/>
                <w:color w:val="1F3864"/>
                <w:sz w:val="30"/>
              </w:rPr>
              <w:t>₹245</w:t>
            </w:r>
          </w:p>
        </w:tc>
        <w:tc>
          <w:tcPr>
            <w:tcW w:type="dxa" w:w="2412"/>
          </w:tcPr>
          <w:p>
            <w:pPr>
              <w:jc w:val="center"/>
            </w:pPr>
            <w:r>
              <w:rPr>
                <w:rFonts w:ascii="Calibri" w:hAnsi="Calibri"/>
                <w:b/>
                <w:i w:val="0"/>
                <w:color w:val="1F3864"/>
                <w:sz w:val="30"/>
              </w:rPr>
              <w:t>₹403</w:t>
            </w:r>
          </w:p>
        </w:tc>
        <w:tc>
          <w:tcPr>
            <w:tcW w:type="dxa" w:w="2412"/>
          </w:tcPr>
          <w:p>
            <w:pPr>
              <w:jc w:val="center"/>
            </w:pPr>
            <w:r>
              <w:rPr>
                <w:rFonts w:ascii="Calibri" w:hAnsi="Calibri"/>
                <w:b/>
                <w:i w:val="0"/>
                <w:color w:val="C00000"/>
                <w:sz w:val="30"/>
              </w:rPr>
              <w:t>-39%</w:t>
            </w:r>
          </w:p>
        </w:tc>
      </w:tr>
    </w:tbl>
    <w:p/>
    <w:p>
      <w:pPr>
        <w:spacing w:after="80" w:before="0"/>
      </w:pPr>
      <w:r>
        <w:rPr>
          <w:rFonts w:ascii="Calibri" w:hAnsi="Calibri"/>
          <w:b/>
          <w:i w:val="0"/>
          <w:color w:val="1F3864"/>
          <w:sz w:val="21"/>
        </w:rPr>
        <w:t>Market Data &amp; Snapshot (as of FY2026 close)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fill="1F3864"/>
          </w:tcPr>
          <w:p>
            <w:pPr>
              <w:jc w:val="left"/>
            </w:pPr>
            <w:r>
              <w:rPr>
                <w:rFonts w:ascii="Calibri" w:hAnsi="Calibri"/>
                <w:b/>
                <w:i w:val="0"/>
                <w:color w:val="FFFFFF"/>
                <w:sz w:val="19"/>
              </w:rPr>
              <w:t>Metric</w:t>
            </w:r>
          </w:p>
        </w:tc>
        <w:tc>
          <w:tcPr>
            <w:tcW w:type="dxa" w:w="3168"/>
            <w:shd w:val="clear" w:fill="1F3864"/>
          </w:tcPr>
          <w:p>
            <w:pPr>
              <w:jc w:val="center"/>
            </w:pPr>
            <w:r>
              <w:rPr>
                <w:rFonts w:ascii="Calibri" w:hAnsi="Calibri"/>
                <w:b/>
                <w:i w:val="0"/>
                <w:color w:val="FFFFFF"/>
                <w:sz w:val="19"/>
              </w:rPr>
              <w:t>Value</w:t>
            </w:r>
          </w:p>
        </w:tc>
        <w:tc>
          <w:tcPr>
            <w:tcW w:type="dxa" w:w="2304"/>
            <w:shd w:val="clear" w:fill="1F3864"/>
          </w:tcPr>
          <w:p>
            <w:pPr>
              <w:jc w:val="center"/>
            </w:pPr>
            <w:r>
              <w:rPr>
                <w:rFonts w:ascii="Calibri" w:hAnsi="Calibri"/>
                <w:b/>
                <w:i w:val="0"/>
                <w:color w:val="FFFFFF"/>
                <w:sz w:val="19"/>
              </w:rPr>
              <w:t>Metric</w:t>
            </w:r>
          </w:p>
        </w:tc>
        <w:tc>
          <w:tcPr>
            <w:tcW w:type="dxa" w:w="3168"/>
            <w:shd w:val="clear" w:fill="1F3864"/>
          </w:tcPr>
          <w:p>
            <w:pPr>
              <w:jc w:val="center"/>
            </w:pPr>
            <w:r>
              <w:rPr>
                <w:rFonts w:ascii="Calibri" w:hAnsi="Calibri"/>
                <w:b/>
                <w:i w:val="0"/>
                <w:color w:val="FFFFFF"/>
                <w:sz w:val="19"/>
              </w:rPr>
              <w:t>Value</w:t>
            </w:r>
          </w:p>
        </w:tc>
      </w:tr>
      <w:tr>
        <w:tc>
          <w:tcPr>
            <w:tcW w:type="dxa" w:w="2304"/>
            <w:shd w:val="clear" w:fill="F2F5FB"/>
          </w:tcPr>
          <w:p>
            <w:pPr>
              <w:jc w:val="left"/>
            </w:pPr>
            <w:r>
              <w:rPr>
                <w:rFonts w:ascii="Calibri" w:hAnsi="Calibri"/>
                <w:b w:val="0"/>
                <w:i w:val="0"/>
                <w:sz w:val="19"/>
              </w:rPr>
              <w:t>Market capitalisation</w:t>
            </w:r>
          </w:p>
        </w:tc>
        <w:tc>
          <w:tcPr>
            <w:tcW w:type="dxa" w:w="3168"/>
            <w:shd w:val="clear" w:fill="F2F5FB"/>
          </w:tcPr>
          <w:p>
            <w:pPr>
              <w:jc w:val="right"/>
            </w:pPr>
            <w:r>
              <w:rPr>
                <w:rFonts w:ascii="Calibri" w:hAnsi="Calibri"/>
                <w:b w:val="0"/>
                <w:i w:val="0"/>
                <w:sz w:val="19"/>
              </w:rPr>
              <w:t>₹1,40,300 cr (~US$16.8 bn)</w:t>
            </w:r>
          </w:p>
        </w:tc>
        <w:tc>
          <w:tcPr>
            <w:tcW w:type="dxa" w:w="2304"/>
            <w:shd w:val="clear" w:fill="F2F5FB"/>
          </w:tcPr>
          <w:p>
            <w:pPr>
              <w:jc w:val="right"/>
            </w:pPr>
            <w:r>
              <w:rPr>
                <w:rFonts w:ascii="Calibri" w:hAnsi="Calibri"/>
                <w:b w:val="0"/>
                <w:i w:val="0"/>
                <w:sz w:val="19"/>
              </w:rPr>
              <w:t>52-week range</w:t>
            </w:r>
          </w:p>
        </w:tc>
        <w:tc>
          <w:tcPr>
            <w:tcW w:type="dxa" w:w="3168"/>
            <w:shd w:val="clear" w:fill="F2F5FB"/>
          </w:tcPr>
          <w:p>
            <w:pPr>
              <w:jc w:val="right"/>
            </w:pPr>
            <w:r>
              <w:rPr>
                <w:rFonts w:ascii="Calibri" w:hAnsi="Calibri"/>
                <w:b w:val="0"/>
                <w:i w:val="0"/>
                <w:sz w:val="19"/>
              </w:rPr>
              <w:t>₹205 – ₹425</w:t>
            </w:r>
          </w:p>
        </w:tc>
      </w:tr>
      <w:tr>
        <w:tc>
          <w:tcPr>
            <w:tcW w:type="dxa" w:w="2304"/>
          </w:tcPr>
          <w:p>
            <w:pPr>
              <w:jc w:val="left"/>
            </w:pPr>
            <w:r>
              <w:rPr>
                <w:rFonts w:ascii="Calibri" w:hAnsi="Calibri"/>
                <w:b w:val="0"/>
                <w:i w:val="0"/>
                <w:sz w:val="19"/>
              </w:rPr>
              <w:t>Shares outstanding</w:t>
            </w:r>
          </w:p>
        </w:tc>
        <w:tc>
          <w:tcPr>
            <w:tcW w:type="dxa" w:w="3168"/>
          </w:tcPr>
          <w:p>
            <w:pPr>
              <w:jc w:val="right"/>
            </w:pPr>
            <w:r>
              <w:rPr>
                <w:rFonts w:ascii="Calibri" w:hAnsi="Calibri"/>
                <w:b w:val="0"/>
                <w:i w:val="0"/>
                <w:sz w:val="19"/>
              </w:rPr>
              <w:t>348.05 cr</w:t>
            </w:r>
          </w:p>
        </w:tc>
        <w:tc>
          <w:tcPr>
            <w:tcW w:type="dxa" w:w="2304"/>
          </w:tcPr>
          <w:p>
            <w:pPr>
              <w:jc w:val="right"/>
            </w:pPr>
            <w:r>
              <w:rPr>
                <w:rFonts w:ascii="Calibri" w:hAnsi="Calibri"/>
                <w:b w:val="0"/>
                <w:i w:val="0"/>
                <w:sz w:val="19"/>
              </w:rPr>
              <w:t>Free float</w:t>
            </w:r>
          </w:p>
        </w:tc>
        <w:tc>
          <w:tcPr>
            <w:tcW w:type="dxa" w:w="3168"/>
          </w:tcPr>
          <w:p>
            <w:pPr>
              <w:jc w:val="right"/>
            </w:pPr>
            <w:r>
              <w:rPr>
                <w:rFonts w:ascii="Calibri" w:hAnsi="Calibri"/>
                <w:b w:val="0"/>
                <w:i w:val="0"/>
                <w:sz w:val="19"/>
              </w:rPr>
              <w:t>~37% (GoI holds ~63%)</w:t>
            </w:r>
          </w:p>
        </w:tc>
      </w:tr>
      <w:tr>
        <w:tc>
          <w:tcPr>
            <w:tcW w:type="dxa" w:w="2304"/>
            <w:shd w:val="clear" w:fill="F2F5FB"/>
          </w:tcPr>
          <w:p>
            <w:pPr>
              <w:jc w:val="left"/>
            </w:pPr>
            <w:r>
              <w:rPr>
                <w:rFonts w:ascii="Calibri" w:hAnsi="Calibri"/>
                <w:b w:val="0"/>
                <w:i w:val="0"/>
                <w:sz w:val="19"/>
              </w:rPr>
              <w:t>FY26 revenue</w:t>
            </w:r>
          </w:p>
        </w:tc>
        <w:tc>
          <w:tcPr>
            <w:tcW w:type="dxa" w:w="3168"/>
            <w:shd w:val="clear" w:fill="F2F5FB"/>
          </w:tcPr>
          <w:p>
            <w:pPr>
              <w:jc w:val="right"/>
            </w:pPr>
            <w:r>
              <w:rPr>
                <w:rFonts w:ascii="Calibri" w:hAnsi="Calibri"/>
                <w:b w:val="0"/>
                <w:i w:val="0"/>
                <w:sz w:val="19"/>
              </w:rPr>
              <w:t>₹33,782 cr</w:t>
            </w:r>
          </w:p>
        </w:tc>
        <w:tc>
          <w:tcPr>
            <w:tcW w:type="dxa" w:w="2304"/>
            <w:shd w:val="clear" w:fill="F2F5FB"/>
          </w:tcPr>
          <w:p>
            <w:pPr>
              <w:jc w:val="right"/>
            </w:pPr>
            <w:r>
              <w:rPr>
                <w:rFonts w:ascii="Calibri" w:hAnsi="Calibri"/>
                <w:b w:val="0"/>
                <w:i w:val="0"/>
                <w:sz w:val="19"/>
              </w:rPr>
              <w:t>FY26 PAT</w:t>
            </w:r>
          </w:p>
        </w:tc>
        <w:tc>
          <w:tcPr>
            <w:tcW w:type="dxa" w:w="3168"/>
            <w:shd w:val="clear" w:fill="F2F5FB"/>
          </w:tcPr>
          <w:p>
            <w:pPr>
              <w:jc w:val="right"/>
            </w:pPr>
            <w:r>
              <w:rPr>
                <w:rFonts w:ascii="Calibri" w:hAnsi="Calibri"/>
                <w:b w:val="0"/>
                <w:i w:val="0"/>
                <w:sz w:val="19"/>
              </w:rPr>
              <w:t>₹1,600 cr</w:t>
            </w:r>
          </w:p>
        </w:tc>
      </w:tr>
      <w:tr>
        <w:tc>
          <w:tcPr>
            <w:tcW w:type="dxa" w:w="2304"/>
          </w:tcPr>
          <w:p>
            <w:pPr>
              <w:jc w:val="left"/>
            </w:pPr>
            <w:r>
              <w:rPr>
                <w:rFonts w:ascii="Calibri" w:hAnsi="Calibri"/>
                <w:b w:val="0"/>
                <w:i w:val="0"/>
                <w:sz w:val="19"/>
              </w:rPr>
              <w:t>FY26 EPS</w:t>
            </w:r>
          </w:p>
        </w:tc>
        <w:tc>
          <w:tcPr>
            <w:tcW w:type="dxa" w:w="3168"/>
          </w:tcPr>
          <w:p>
            <w:pPr>
              <w:jc w:val="right"/>
            </w:pPr>
            <w:r>
              <w:rPr>
                <w:rFonts w:ascii="Calibri" w:hAnsi="Calibri"/>
                <w:b w:val="0"/>
                <w:i w:val="0"/>
                <w:sz w:val="19"/>
              </w:rPr>
              <w:t>₹4.60</w:t>
            </w:r>
          </w:p>
        </w:tc>
        <w:tc>
          <w:tcPr>
            <w:tcW w:type="dxa" w:w="2304"/>
          </w:tcPr>
          <w:p>
            <w:pPr>
              <w:jc w:val="right"/>
            </w:pPr>
            <w:r>
              <w:rPr>
                <w:rFonts w:ascii="Calibri" w:hAnsi="Calibri"/>
                <w:b w:val="0"/>
                <w:i w:val="0"/>
                <w:sz w:val="19"/>
              </w:rPr>
              <w:t>FY26 P/E</w:t>
            </w:r>
          </w:p>
        </w:tc>
        <w:tc>
          <w:tcPr>
            <w:tcW w:type="dxa" w:w="3168"/>
          </w:tcPr>
          <w:p>
            <w:pPr>
              <w:jc w:val="right"/>
            </w:pPr>
            <w:r>
              <w:rPr>
                <w:rFonts w:ascii="Calibri" w:hAnsi="Calibri"/>
                <w:b w:val="0"/>
                <w:i w:val="0"/>
                <w:sz w:val="19"/>
              </w:rPr>
              <w:t>~88x</w:t>
            </w:r>
          </w:p>
        </w:tc>
      </w:tr>
      <w:tr>
        <w:tc>
          <w:tcPr>
            <w:tcW w:type="dxa" w:w="2304"/>
            <w:shd w:val="clear" w:fill="F2F5FB"/>
          </w:tcPr>
          <w:p>
            <w:pPr>
              <w:jc w:val="left"/>
            </w:pPr>
            <w:r>
              <w:rPr>
                <w:rFonts w:ascii="Calibri" w:hAnsi="Calibri"/>
                <w:b w:val="0"/>
                <w:i w:val="0"/>
                <w:sz w:val="19"/>
              </w:rPr>
              <w:t>Order book (FY26)</w:t>
            </w:r>
          </w:p>
        </w:tc>
        <w:tc>
          <w:tcPr>
            <w:tcW w:type="dxa" w:w="3168"/>
            <w:shd w:val="clear" w:fill="F2F5FB"/>
          </w:tcPr>
          <w:p>
            <w:pPr>
              <w:jc w:val="right"/>
            </w:pPr>
            <w:r>
              <w:rPr>
                <w:rFonts w:ascii="Calibri" w:hAnsi="Calibri"/>
                <w:b w:val="0"/>
                <w:i w:val="0"/>
                <w:sz w:val="19"/>
              </w:rPr>
              <w:t>~₹2.40 lakh cr</w:t>
            </w:r>
          </w:p>
        </w:tc>
        <w:tc>
          <w:tcPr>
            <w:tcW w:type="dxa" w:w="2304"/>
            <w:shd w:val="clear" w:fill="F2F5FB"/>
          </w:tcPr>
          <w:p>
            <w:pPr>
              <w:jc w:val="right"/>
            </w:pPr>
            <w:r>
              <w:rPr>
                <w:rFonts w:ascii="Calibri" w:hAnsi="Calibri"/>
                <w:b w:val="0"/>
                <w:i w:val="0"/>
                <w:sz w:val="19"/>
              </w:rPr>
              <w:t>Book-to-bill</w:t>
            </w:r>
          </w:p>
        </w:tc>
        <w:tc>
          <w:tcPr>
            <w:tcW w:type="dxa" w:w="3168"/>
            <w:shd w:val="clear" w:fill="F2F5FB"/>
          </w:tcPr>
          <w:p>
            <w:pPr>
              <w:jc w:val="right"/>
            </w:pPr>
            <w:r>
              <w:rPr>
                <w:rFonts w:ascii="Calibri" w:hAnsi="Calibri"/>
                <w:b w:val="0"/>
                <w:i w:val="0"/>
                <w:sz w:val="19"/>
              </w:rPr>
              <w:t>~7.1x</w:t>
            </w:r>
          </w:p>
        </w:tc>
      </w:tr>
      <w:tr>
        <w:tc>
          <w:tcPr>
            <w:tcW w:type="dxa" w:w="2304"/>
          </w:tcPr>
          <w:p>
            <w:pPr>
              <w:jc w:val="left"/>
            </w:pPr>
            <w:r>
              <w:rPr>
                <w:rFonts w:ascii="Calibri" w:hAnsi="Calibri"/>
                <w:b w:val="0"/>
                <w:i w:val="0"/>
                <w:sz w:val="19"/>
              </w:rPr>
              <w:t>Net cash (FY26)</w:t>
            </w:r>
          </w:p>
        </w:tc>
        <w:tc>
          <w:tcPr>
            <w:tcW w:type="dxa" w:w="3168"/>
          </w:tcPr>
          <w:p>
            <w:pPr>
              <w:jc w:val="right"/>
            </w:pPr>
            <w:r>
              <w:rPr>
                <w:rFonts w:ascii="Calibri" w:hAnsi="Calibri"/>
                <w:b w:val="0"/>
                <w:i w:val="0"/>
                <w:sz w:val="19"/>
              </w:rPr>
              <w:t>₹3,680 cr</w:t>
            </w:r>
          </w:p>
        </w:tc>
        <w:tc>
          <w:tcPr>
            <w:tcW w:type="dxa" w:w="2304"/>
          </w:tcPr>
          <w:p>
            <w:pPr>
              <w:jc w:val="right"/>
            </w:pPr>
            <w:r>
              <w:rPr>
                <w:rFonts w:ascii="Calibri" w:hAnsi="Calibri"/>
                <w:b w:val="0"/>
                <w:i w:val="0"/>
                <w:sz w:val="19"/>
              </w:rPr>
              <w:t>Dividend yield</w:t>
            </w:r>
          </w:p>
        </w:tc>
        <w:tc>
          <w:tcPr>
            <w:tcW w:type="dxa" w:w="3168"/>
          </w:tcPr>
          <w:p>
            <w:pPr>
              <w:jc w:val="right"/>
            </w:pPr>
            <w:r>
              <w:rPr>
                <w:rFonts w:ascii="Calibri" w:hAnsi="Calibri"/>
                <w:b w:val="0"/>
                <w:i w:val="0"/>
                <w:sz w:val="19"/>
              </w:rPr>
              <w:t>~0.3%</w:t>
            </w:r>
          </w:p>
        </w:tc>
      </w:tr>
    </w:tbl>
    <w:p>
      <w:pPr>
        <w:spacing w:after="160" w:before="40"/>
      </w:pPr>
      <w:r>
        <w:rPr>
          <w:rFonts w:ascii="Calibri" w:hAnsi="Calibri"/>
          <w:b w:val="0"/>
          <w:i/>
          <w:color w:val="595959"/>
          <w:sz w:val="16"/>
        </w:rPr>
        <w:t>Source: BHEL FY2026 results, company filings and author’s financial model. Market cap at indicative price of ₹403.</w:t>
      </w:r>
    </w:p>
    <w:p>
      <w:pPr>
        <w:spacing w:after="120" w:before="200"/>
      </w:pPr>
      <w:r>
        <w:rPr>
          <w:rFonts w:ascii="Calibri" w:hAnsi="Calibri"/>
          <w:b w:val="0"/>
          <w:i/>
          <w:color w:val="595959"/>
          <w:sz w:val="17"/>
        </w:rPr>
        <w:t>Analyst: Senior Equity Research Analyst  |  Report date: June 2026  |  Currency: INR (₹ crore unless stated)</w:t>
      </w:r>
    </w:p>
    <w:p>
      <w:pPr>
        <w:spacing w:after="120" w:before="0"/>
      </w:pPr>
      <w:r>
        <w:rPr>
          <w:rFonts w:ascii="Calibri" w:hAnsi="Calibri"/>
          <w:b w:val="0"/>
          <w:i/>
          <w:color w:val="595959"/>
          <w:sz w:val="17"/>
        </w:rPr>
        <w:t>This report has been prepared on a basis consistent with CFA Institute standards of objectivity, independence and thoroughness. Valuation is grounded in a fully integrated three-statement model with audited historicals (FY2020–FY2026) and a seven-year explicit forecast (FY2027–FY2033). Please refer to the important disclosures and disclaimer on the final page.</w:t>
      </w:r>
    </w:p>
    <w:p>
      <w:r>
        <w:br w:type="page"/>
      </w:r>
    </w:p>
    <w:p>
      <w:pPr>
        <w:spacing w:after="160" w:before="40"/>
        <w:pBdr>
          <w:bottom w:val="single" w:sz="12" w:space="4" w:color="1F3864"/>
        </w:pBdr>
      </w:pPr>
      <w:r>
        <w:rPr>
          <w:rFonts w:ascii="Calibri" w:hAnsi="Calibri"/>
          <w:b/>
          <w:i w:val="0"/>
          <w:color w:val="1F3864"/>
          <w:sz w:val="32"/>
        </w:rPr>
        <w:t>1.  Investment Summary</w:t>
      </w:r>
    </w:p>
    <w:p>
      <w:pPr>
        <w:spacing w:after="120" w:before="0"/>
      </w:pPr>
      <w:r>
        <w:rPr>
          <w:rFonts w:ascii="Calibri" w:hAnsi="Calibri"/>
          <w:b w:val="0"/>
          <w:i w:val="0"/>
          <w:sz w:val="21"/>
        </w:rPr>
        <w:t>We initiate coverage of Bharat Heavy Electricals Limited (BHEL) with a SELL rating and a 12-month target price of ₹245, implying ~39% downside from the current price of ₹403. Our recommendation is a statement about valuation, not about the business. BHEL is enjoying its strongest operating upcycle in over a decade — a record ~₹2.4 lakh crore order book, a return to double-digit revenue growth, and a sharp profit recovery. However, at ~88x trailing earnings and ~6x book, the market has, in our view, already discounted a flawless multi-year execution ramp that the company’s own history of slippage makes far from certain.</w:t>
      </w:r>
    </w:p>
    <w:p>
      <w:pPr>
        <w:spacing w:after="80" w:before="200"/>
      </w:pPr>
      <w:r>
        <w:rPr>
          <w:rFonts w:ascii="Calibri" w:hAnsi="Calibri"/>
          <w:b/>
          <w:i w:val="0"/>
          <w:color w:val="2E5BA8"/>
          <w:sz w:val="25"/>
        </w:rPr>
        <w:t>Investment thesis at a glance</w:t>
      </w:r>
    </w:p>
    <w:p>
      <w:pPr>
        <w:pStyle w:val="ListBullet"/>
        <w:spacing w:after="80"/>
      </w:pPr>
      <w:r>
        <w:rPr>
          <w:rFonts w:ascii="Calibri" w:hAnsi="Calibri"/>
          <w:b/>
          <w:i w:val="0"/>
          <w:color w:val="1F3864"/>
          <w:sz w:val="21"/>
        </w:rPr>
        <w:t xml:space="preserve">+ Structural demand tailwind: </w:t>
      </w:r>
      <w:r>
        <w:rPr>
          <w:rFonts w:ascii="Calibri" w:hAnsi="Calibri"/>
          <w:b w:val="0"/>
          <w:i w:val="0"/>
          <w:sz w:val="21"/>
        </w:rPr>
        <w:t xml:space="preserve"> BHEL is the dominant domestic supplier of thermal power generation equipment at the exact moment India is re-committing to coal-based capacity (a planned ~80 GW of new thermal by 2032) to firm up a renewables-heavy grid. Order inflow of ~₹75,000 cr in FY2026 lifted the book-to-bill to ~7.1x.</w:t>
      </w:r>
    </w:p>
    <w:p>
      <w:pPr>
        <w:pStyle w:val="ListBullet"/>
        <w:spacing w:after="80"/>
      </w:pPr>
      <w:r>
        <w:rPr>
          <w:rFonts w:ascii="Calibri" w:hAnsi="Calibri"/>
          <w:b/>
          <w:i w:val="0"/>
          <w:color w:val="1F3864"/>
          <w:sz w:val="21"/>
        </w:rPr>
        <w:t xml:space="preserve">+ Genuine earnings recovery: </w:t>
      </w:r>
      <w:r>
        <w:rPr>
          <w:rFonts w:ascii="Calibri" w:hAnsi="Calibri"/>
          <w:b w:val="0"/>
          <w:i w:val="0"/>
          <w:sz w:val="21"/>
        </w:rPr>
        <w:t xml:space="preserve"> From an EBITDA margin of ~6.9% in FY2026, we model a gradual climb to ~12% by FY2033 as high-margin legacy under-recoveries roll off, fixed-cost absorption improves and execution accelerates. PAT compounds from ₹1,600 cr to ~₹8,000 cr over the forecast horizon.</w:t>
      </w:r>
    </w:p>
    <w:p>
      <w:pPr>
        <w:pStyle w:val="ListBullet"/>
        <w:spacing w:after="80"/>
      </w:pPr>
      <w:r>
        <w:rPr>
          <w:rFonts w:ascii="Calibri" w:hAnsi="Calibri"/>
          <w:b/>
          <w:i w:val="0"/>
          <w:color w:val="1F3864"/>
          <w:sz w:val="21"/>
        </w:rPr>
        <w:t xml:space="preserve">+ Strong balance sheet: </w:t>
      </w:r>
      <w:r>
        <w:rPr>
          <w:rFonts w:ascii="Calibri" w:hAnsi="Calibri"/>
          <w:b w:val="0"/>
          <w:i w:val="0"/>
          <w:sz w:val="21"/>
        </w:rPr>
        <w:t xml:space="preserve"> BHEL is asset-light and net-cash (₹3,680 cr at FY2026), funded substantially by interest-free customer advances (contract liabilities). This is a structurally favourable working-capital model when execution flows.</w:t>
      </w:r>
    </w:p>
    <w:p>
      <w:pPr>
        <w:pStyle w:val="ListBullet"/>
        <w:spacing w:after="80"/>
      </w:pPr>
      <w:r>
        <w:rPr>
          <w:rFonts w:ascii="Calibri" w:hAnsi="Calibri"/>
          <w:b/>
          <w:i w:val="0"/>
          <w:color w:val="1F3864"/>
          <w:sz w:val="21"/>
        </w:rPr>
        <w:t xml:space="preserve">− The catch — valuation: </w:t>
      </w:r>
      <w:r>
        <w:rPr>
          <w:rFonts w:ascii="Calibri" w:hAnsi="Calibri"/>
          <w:b w:val="0"/>
          <w:i w:val="0"/>
          <w:sz w:val="21"/>
        </w:rPr>
        <w:t xml:space="preserve"> At ~88x FY26 earnings and ~45x FY27E earnings, the stock prices in near-perfect execution. Our DCF, using a 13.6% WACC, yields an intrinsic value of just ₹181/share. Even our probability-weighted scenario value is ₹245.</w:t>
      </w:r>
    </w:p>
    <w:p>
      <w:pPr>
        <w:pStyle w:val="ListBullet"/>
        <w:spacing w:after="80"/>
      </w:pPr>
      <w:r>
        <w:rPr>
          <w:rFonts w:ascii="Calibri" w:hAnsi="Calibri"/>
          <w:b/>
          <w:i w:val="0"/>
          <w:color w:val="1F3864"/>
          <w:sz w:val="21"/>
        </w:rPr>
        <w:t xml:space="preserve">− Execution risk is real: </w:t>
      </w:r>
      <w:r>
        <w:rPr>
          <w:rFonts w:ascii="Calibri" w:hAnsi="Calibri"/>
          <w:b w:val="0"/>
          <w:i w:val="0"/>
          <w:sz w:val="21"/>
        </w:rPr>
        <w:t xml:space="preserve"> Indian thermal capacity additions reached only 73% of target in FY2026 and 29% in FY2025. BHEL’s revenue conversion of its order book remains the single biggest swing factor — and the risk is asymmetric at the current price.</w:t>
      </w:r>
    </w:p>
    <w:p>
      <w:pPr>
        <w:spacing w:after="80" w:before="200"/>
      </w:pPr>
      <w:r>
        <w:rPr>
          <w:rFonts w:ascii="Calibri" w:hAnsi="Calibri"/>
          <w:b/>
          <w:i w:val="0"/>
          <w:color w:val="2E5BA8"/>
          <w:sz w:val="25"/>
        </w:rPr>
        <w:t>Key financial summary</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152"/>
            <w:shd w:val="clear" w:fill="1F3864"/>
          </w:tcPr>
          <w:p>
            <w:pPr>
              <w:jc w:val="left"/>
            </w:pPr>
            <w:r>
              <w:rPr>
                <w:rFonts w:ascii="Calibri" w:hAnsi="Calibri"/>
                <w:b/>
                <w:i w:val="0"/>
                <w:color w:val="FFFFFF"/>
                <w:sz w:val="18"/>
              </w:rPr>
              <w:t>Year</w:t>
            </w:r>
          </w:p>
        </w:tc>
        <w:tc>
          <w:tcPr>
            <w:tcW w:type="dxa" w:w="1440"/>
            <w:shd w:val="clear" w:fill="1F3864"/>
          </w:tcPr>
          <w:p>
            <w:pPr>
              <w:jc w:val="center"/>
            </w:pPr>
            <w:r>
              <w:rPr>
                <w:rFonts w:ascii="Calibri" w:hAnsi="Calibri"/>
                <w:b/>
                <w:i w:val="0"/>
                <w:color w:val="FFFFFF"/>
                <w:sz w:val="18"/>
              </w:rPr>
              <w:t>Revenue</w:t>
            </w:r>
          </w:p>
        </w:tc>
        <w:tc>
          <w:tcPr>
            <w:tcW w:type="dxa" w:w="1296"/>
            <w:shd w:val="clear" w:fill="1F3864"/>
          </w:tcPr>
          <w:p>
            <w:pPr>
              <w:jc w:val="center"/>
            </w:pPr>
            <w:r>
              <w:rPr>
                <w:rFonts w:ascii="Calibri" w:hAnsi="Calibri"/>
                <w:b/>
                <w:i w:val="0"/>
                <w:color w:val="FFFFFF"/>
                <w:sz w:val="18"/>
              </w:rPr>
              <w:t>EBITDA</w:t>
            </w:r>
          </w:p>
        </w:tc>
        <w:tc>
          <w:tcPr>
            <w:tcW w:type="dxa" w:w="1224"/>
            <w:shd w:val="clear" w:fill="1F3864"/>
          </w:tcPr>
          <w:p>
            <w:pPr>
              <w:jc w:val="center"/>
            </w:pPr>
            <w:r>
              <w:rPr>
                <w:rFonts w:ascii="Calibri" w:hAnsi="Calibri"/>
                <w:b/>
                <w:i w:val="0"/>
                <w:color w:val="FFFFFF"/>
                <w:sz w:val="18"/>
              </w:rPr>
              <w:t>EBITDA %</w:t>
            </w:r>
          </w:p>
        </w:tc>
        <w:tc>
          <w:tcPr>
            <w:tcW w:type="dxa" w:w="1296"/>
            <w:shd w:val="clear" w:fill="1F3864"/>
          </w:tcPr>
          <w:p>
            <w:pPr>
              <w:jc w:val="center"/>
            </w:pPr>
            <w:r>
              <w:rPr>
                <w:rFonts w:ascii="Calibri" w:hAnsi="Calibri"/>
                <w:b/>
                <w:i w:val="0"/>
                <w:color w:val="FFFFFF"/>
                <w:sz w:val="18"/>
              </w:rPr>
              <w:t>PAT</w:t>
            </w:r>
          </w:p>
        </w:tc>
        <w:tc>
          <w:tcPr>
            <w:tcW w:type="dxa" w:w="1224"/>
            <w:shd w:val="clear" w:fill="1F3864"/>
          </w:tcPr>
          <w:p>
            <w:pPr>
              <w:jc w:val="center"/>
            </w:pPr>
            <w:r>
              <w:rPr>
                <w:rFonts w:ascii="Calibri" w:hAnsi="Calibri"/>
                <w:b/>
                <w:i w:val="0"/>
                <w:color w:val="FFFFFF"/>
                <w:sz w:val="18"/>
              </w:rPr>
              <w:t>EPS (₹)</w:t>
            </w:r>
          </w:p>
        </w:tc>
        <w:tc>
          <w:tcPr>
            <w:tcW w:type="dxa" w:w="1008"/>
            <w:shd w:val="clear" w:fill="1F3864"/>
          </w:tcPr>
          <w:p>
            <w:pPr>
              <w:jc w:val="center"/>
            </w:pPr>
            <w:r>
              <w:rPr>
                <w:rFonts w:ascii="Calibri" w:hAnsi="Calibri"/>
                <w:b/>
                <w:i w:val="0"/>
                <w:color w:val="FFFFFF"/>
                <w:sz w:val="18"/>
              </w:rPr>
              <w:t>ROE %</w:t>
            </w:r>
          </w:p>
        </w:tc>
        <w:tc>
          <w:tcPr>
            <w:tcW w:type="dxa" w:w="1008"/>
            <w:shd w:val="clear" w:fill="1F3864"/>
          </w:tcPr>
          <w:p>
            <w:pPr>
              <w:jc w:val="center"/>
            </w:pPr>
            <w:r>
              <w:rPr>
                <w:rFonts w:ascii="Calibri" w:hAnsi="Calibri"/>
                <w:b/>
                <w:i w:val="0"/>
                <w:color w:val="FFFFFF"/>
                <w:sz w:val="18"/>
              </w:rPr>
              <w:t>D/E (x)</w:t>
            </w:r>
          </w:p>
        </w:tc>
      </w:tr>
      <w:tr>
        <w:tc>
          <w:tcPr>
            <w:tcW w:type="dxa" w:w="1152"/>
            <w:shd w:val="clear" w:fill="F2F5FB"/>
          </w:tcPr>
          <w:p>
            <w:pPr>
              <w:jc w:val="left"/>
            </w:pPr>
            <w:r>
              <w:rPr>
                <w:rFonts w:ascii="Calibri" w:hAnsi="Calibri"/>
                <w:b w:val="0"/>
                <w:i w:val="0"/>
                <w:sz w:val="18"/>
              </w:rPr>
              <w:t>FY22</w:t>
            </w:r>
          </w:p>
        </w:tc>
        <w:tc>
          <w:tcPr>
            <w:tcW w:type="dxa" w:w="1440"/>
            <w:shd w:val="clear" w:fill="F2F5FB"/>
          </w:tcPr>
          <w:p>
            <w:pPr>
              <w:jc w:val="right"/>
            </w:pPr>
            <w:r>
              <w:rPr>
                <w:rFonts w:ascii="Calibri" w:hAnsi="Calibri"/>
                <w:b w:val="0"/>
                <w:i w:val="0"/>
                <w:sz w:val="18"/>
              </w:rPr>
              <w:t>21,211</w:t>
            </w:r>
          </w:p>
        </w:tc>
        <w:tc>
          <w:tcPr>
            <w:tcW w:type="dxa" w:w="1296"/>
            <w:shd w:val="clear" w:fill="F2F5FB"/>
          </w:tcPr>
          <w:p>
            <w:pPr>
              <w:jc w:val="right"/>
            </w:pPr>
            <w:r>
              <w:rPr>
                <w:rFonts w:ascii="Calibri" w:hAnsi="Calibri"/>
                <w:b w:val="0"/>
                <w:i w:val="0"/>
                <w:sz w:val="18"/>
              </w:rPr>
              <w:t>828</w:t>
            </w:r>
          </w:p>
        </w:tc>
        <w:tc>
          <w:tcPr>
            <w:tcW w:type="dxa" w:w="1224"/>
            <w:shd w:val="clear" w:fill="F2F5FB"/>
          </w:tcPr>
          <w:p>
            <w:pPr>
              <w:jc w:val="right"/>
            </w:pPr>
            <w:r>
              <w:rPr>
                <w:rFonts w:ascii="Calibri" w:hAnsi="Calibri"/>
                <w:b w:val="0"/>
                <w:i w:val="0"/>
                <w:sz w:val="18"/>
              </w:rPr>
              <w:t>3.9%</w:t>
            </w:r>
          </w:p>
        </w:tc>
        <w:tc>
          <w:tcPr>
            <w:tcW w:type="dxa" w:w="1296"/>
            <w:shd w:val="clear" w:fill="F2F5FB"/>
          </w:tcPr>
          <w:p>
            <w:pPr>
              <w:jc w:val="right"/>
            </w:pPr>
            <w:r>
              <w:rPr>
                <w:rFonts w:ascii="Calibri" w:hAnsi="Calibri"/>
                <w:b w:val="0"/>
                <w:i w:val="0"/>
                <w:sz w:val="18"/>
              </w:rPr>
              <w:t>446</w:t>
            </w:r>
          </w:p>
        </w:tc>
        <w:tc>
          <w:tcPr>
            <w:tcW w:type="dxa" w:w="1224"/>
            <w:shd w:val="clear" w:fill="F2F5FB"/>
          </w:tcPr>
          <w:p>
            <w:pPr>
              <w:jc w:val="right"/>
            </w:pPr>
            <w:r>
              <w:rPr>
                <w:rFonts w:ascii="Calibri" w:hAnsi="Calibri"/>
                <w:b w:val="0"/>
                <w:i w:val="0"/>
                <w:sz w:val="18"/>
              </w:rPr>
              <w:t>1.3</w:t>
            </w:r>
          </w:p>
        </w:tc>
        <w:tc>
          <w:tcPr>
            <w:tcW w:type="dxa" w:w="1008"/>
            <w:shd w:val="clear" w:fill="F2F5FB"/>
          </w:tcPr>
          <w:p>
            <w:pPr>
              <w:jc w:val="right"/>
            </w:pPr>
            <w:r>
              <w:rPr>
                <w:rFonts w:ascii="Calibri" w:hAnsi="Calibri"/>
                <w:b w:val="0"/>
                <w:i w:val="0"/>
                <w:sz w:val="18"/>
              </w:rPr>
              <w:t>2%</w:t>
            </w:r>
          </w:p>
        </w:tc>
        <w:tc>
          <w:tcPr>
            <w:tcW w:type="dxa" w:w="1008"/>
            <w:shd w:val="clear" w:fill="F2F5FB"/>
          </w:tcPr>
          <w:p>
            <w:pPr>
              <w:jc w:val="right"/>
            </w:pPr>
            <w:r>
              <w:rPr>
                <w:rFonts w:ascii="Calibri" w:hAnsi="Calibri"/>
                <w:b w:val="0"/>
                <w:i w:val="0"/>
                <w:sz w:val="18"/>
              </w:rPr>
              <w:t>0.18</w:t>
            </w:r>
          </w:p>
        </w:tc>
      </w:tr>
      <w:tr>
        <w:tc>
          <w:tcPr>
            <w:tcW w:type="dxa" w:w="1152"/>
          </w:tcPr>
          <w:p>
            <w:pPr>
              <w:jc w:val="left"/>
            </w:pPr>
            <w:r>
              <w:rPr>
                <w:rFonts w:ascii="Calibri" w:hAnsi="Calibri"/>
                <w:b w:val="0"/>
                <w:i w:val="0"/>
                <w:sz w:val="18"/>
              </w:rPr>
              <w:t>FY23</w:t>
            </w:r>
          </w:p>
        </w:tc>
        <w:tc>
          <w:tcPr>
            <w:tcW w:type="dxa" w:w="1440"/>
          </w:tcPr>
          <w:p>
            <w:pPr>
              <w:jc w:val="right"/>
            </w:pPr>
            <w:r>
              <w:rPr>
                <w:rFonts w:ascii="Calibri" w:hAnsi="Calibri"/>
                <w:b w:val="0"/>
                <w:i w:val="0"/>
                <w:sz w:val="18"/>
              </w:rPr>
              <w:t>23,365</w:t>
            </w:r>
          </w:p>
        </w:tc>
        <w:tc>
          <w:tcPr>
            <w:tcW w:type="dxa" w:w="1296"/>
          </w:tcPr>
          <w:p>
            <w:pPr>
              <w:jc w:val="right"/>
            </w:pPr>
            <w:r>
              <w:rPr>
                <w:rFonts w:ascii="Calibri" w:hAnsi="Calibri"/>
                <w:b w:val="0"/>
                <w:i w:val="0"/>
                <w:sz w:val="18"/>
              </w:rPr>
              <w:t>1,044</w:t>
            </w:r>
          </w:p>
        </w:tc>
        <w:tc>
          <w:tcPr>
            <w:tcW w:type="dxa" w:w="1224"/>
          </w:tcPr>
          <w:p>
            <w:pPr>
              <w:jc w:val="right"/>
            </w:pPr>
            <w:r>
              <w:rPr>
                <w:rFonts w:ascii="Calibri" w:hAnsi="Calibri"/>
                <w:b w:val="0"/>
                <w:i w:val="0"/>
                <w:sz w:val="18"/>
              </w:rPr>
              <w:t>4.5%</w:t>
            </w:r>
          </w:p>
        </w:tc>
        <w:tc>
          <w:tcPr>
            <w:tcW w:type="dxa" w:w="1296"/>
          </w:tcPr>
          <w:p>
            <w:pPr>
              <w:jc w:val="right"/>
            </w:pPr>
            <w:r>
              <w:rPr>
                <w:rFonts w:ascii="Calibri" w:hAnsi="Calibri"/>
                <w:b w:val="0"/>
                <w:i w:val="0"/>
                <w:sz w:val="18"/>
              </w:rPr>
              <w:t>654</w:t>
            </w:r>
          </w:p>
        </w:tc>
        <w:tc>
          <w:tcPr>
            <w:tcW w:type="dxa" w:w="1224"/>
          </w:tcPr>
          <w:p>
            <w:pPr>
              <w:jc w:val="right"/>
            </w:pPr>
            <w:r>
              <w:rPr>
                <w:rFonts w:ascii="Calibri" w:hAnsi="Calibri"/>
                <w:b w:val="0"/>
                <w:i w:val="0"/>
                <w:sz w:val="18"/>
              </w:rPr>
              <w:t>1.9</w:t>
            </w:r>
          </w:p>
        </w:tc>
        <w:tc>
          <w:tcPr>
            <w:tcW w:type="dxa" w:w="1008"/>
          </w:tcPr>
          <w:p>
            <w:pPr>
              <w:jc w:val="right"/>
            </w:pPr>
            <w:r>
              <w:rPr>
                <w:rFonts w:ascii="Calibri" w:hAnsi="Calibri"/>
                <w:b w:val="0"/>
                <w:i w:val="0"/>
                <w:sz w:val="18"/>
              </w:rPr>
              <w:t>2%</w:t>
            </w:r>
          </w:p>
        </w:tc>
        <w:tc>
          <w:tcPr>
            <w:tcW w:type="dxa" w:w="1008"/>
          </w:tcPr>
          <w:p>
            <w:pPr>
              <w:jc w:val="right"/>
            </w:pPr>
            <w:r>
              <w:rPr>
                <w:rFonts w:ascii="Calibri" w:hAnsi="Calibri"/>
                <w:b w:val="0"/>
                <w:i w:val="0"/>
                <w:sz w:val="18"/>
              </w:rPr>
              <w:t>0.20</w:t>
            </w:r>
          </w:p>
        </w:tc>
      </w:tr>
      <w:tr>
        <w:tc>
          <w:tcPr>
            <w:tcW w:type="dxa" w:w="1152"/>
            <w:shd w:val="clear" w:fill="F2F5FB"/>
          </w:tcPr>
          <w:p>
            <w:pPr>
              <w:jc w:val="left"/>
            </w:pPr>
            <w:r>
              <w:rPr>
                <w:rFonts w:ascii="Calibri" w:hAnsi="Calibri"/>
                <w:b w:val="0"/>
                <w:i w:val="0"/>
                <w:sz w:val="18"/>
              </w:rPr>
              <w:t>FY24</w:t>
            </w:r>
          </w:p>
        </w:tc>
        <w:tc>
          <w:tcPr>
            <w:tcW w:type="dxa" w:w="1440"/>
            <w:shd w:val="clear" w:fill="F2F5FB"/>
          </w:tcPr>
          <w:p>
            <w:pPr>
              <w:jc w:val="right"/>
            </w:pPr>
            <w:r>
              <w:rPr>
                <w:rFonts w:ascii="Calibri" w:hAnsi="Calibri"/>
                <w:b w:val="0"/>
                <w:i w:val="0"/>
                <w:sz w:val="18"/>
              </w:rPr>
              <w:t>23,893</w:t>
            </w:r>
          </w:p>
        </w:tc>
        <w:tc>
          <w:tcPr>
            <w:tcW w:type="dxa" w:w="1296"/>
            <w:shd w:val="clear" w:fill="F2F5FB"/>
          </w:tcPr>
          <w:p>
            <w:pPr>
              <w:jc w:val="right"/>
            </w:pPr>
            <w:r>
              <w:rPr>
                <w:rFonts w:ascii="Calibri" w:hAnsi="Calibri"/>
                <w:b w:val="0"/>
                <w:i w:val="0"/>
                <w:sz w:val="18"/>
              </w:rPr>
              <w:t>711</w:t>
            </w:r>
          </w:p>
        </w:tc>
        <w:tc>
          <w:tcPr>
            <w:tcW w:type="dxa" w:w="1224"/>
            <w:shd w:val="clear" w:fill="F2F5FB"/>
          </w:tcPr>
          <w:p>
            <w:pPr>
              <w:jc w:val="right"/>
            </w:pPr>
            <w:r>
              <w:rPr>
                <w:rFonts w:ascii="Calibri" w:hAnsi="Calibri"/>
                <w:b w:val="0"/>
                <w:i w:val="0"/>
                <w:sz w:val="18"/>
              </w:rPr>
              <w:t>3.0%</w:t>
            </w:r>
          </w:p>
        </w:tc>
        <w:tc>
          <w:tcPr>
            <w:tcW w:type="dxa" w:w="1296"/>
            <w:shd w:val="clear" w:fill="F2F5FB"/>
          </w:tcPr>
          <w:p>
            <w:pPr>
              <w:jc w:val="right"/>
            </w:pPr>
            <w:r>
              <w:rPr>
                <w:rFonts w:ascii="Calibri" w:hAnsi="Calibri"/>
                <w:b w:val="0"/>
                <w:i w:val="0"/>
                <w:sz w:val="18"/>
              </w:rPr>
              <w:t>281</w:t>
            </w:r>
          </w:p>
        </w:tc>
        <w:tc>
          <w:tcPr>
            <w:tcW w:type="dxa" w:w="1224"/>
            <w:shd w:val="clear" w:fill="F2F5FB"/>
          </w:tcPr>
          <w:p>
            <w:pPr>
              <w:jc w:val="right"/>
            </w:pPr>
            <w:r>
              <w:rPr>
                <w:rFonts w:ascii="Calibri" w:hAnsi="Calibri"/>
                <w:b w:val="0"/>
                <w:i w:val="0"/>
                <w:sz w:val="18"/>
              </w:rPr>
              <w:t>0.8</w:t>
            </w:r>
          </w:p>
        </w:tc>
        <w:tc>
          <w:tcPr>
            <w:tcW w:type="dxa" w:w="1008"/>
            <w:shd w:val="clear" w:fill="F2F5FB"/>
          </w:tcPr>
          <w:p>
            <w:pPr>
              <w:jc w:val="right"/>
            </w:pPr>
            <w:r>
              <w:rPr>
                <w:rFonts w:ascii="Calibri" w:hAnsi="Calibri"/>
                <w:b w:val="0"/>
                <w:i w:val="0"/>
                <w:sz w:val="18"/>
              </w:rPr>
              <w:t>1%</w:t>
            </w:r>
          </w:p>
        </w:tc>
        <w:tc>
          <w:tcPr>
            <w:tcW w:type="dxa" w:w="1008"/>
            <w:shd w:val="clear" w:fill="F2F5FB"/>
          </w:tcPr>
          <w:p>
            <w:pPr>
              <w:jc w:val="right"/>
            </w:pPr>
            <w:r>
              <w:rPr>
                <w:rFonts w:ascii="Calibri" w:hAnsi="Calibri"/>
                <w:b w:val="0"/>
                <w:i w:val="0"/>
                <w:sz w:val="18"/>
              </w:rPr>
              <w:t>0.36</w:t>
            </w:r>
          </w:p>
        </w:tc>
      </w:tr>
      <w:tr>
        <w:tc>
          <w:tcPr>
            <w:tcW w:type="dxa" w:w="1152"/>
          </w:tcPr>
          <w:p>
            <w:pPr>
              <w:jc w:val="left"/>
            </w:pPr>
            <w:r>
              <w:rPr>
                <w:rFonts w:ascii="Calibri" w:hAnsi="Calibri"/>
                <w:b w:val="0"/>
                <w:i w:val="0"/>
                <w:sz w:val="18"/>
              </w:rPr>
              <w:t>FY25</w:t>
            </w:r>
          </w:p>
        </w:tc>
        <w:tc>
          <w:tcPr>
            <w:tcW w:type="dxa" w:w="1440"/>
          </w:tcPr>
          <w:p>
            <w:pPr>
              <w:jc w:val="right"/>
            </w:pPr>
            <w:r>
              <w:rPr>
                <w:rFonts w:ascii="Calibri" w:hAnsi="Calibri"/>
                <w:b w:val="0"/>
                <w:i w:val="0"/>
                <w:sz w:val="18"/>
              </w:rPr>
              <w:t>28,339</w:t>
            </w:r>
          </w:p>
        </w:tc>
        <w:tc>
          <w:tcPr>
            <w:tcW w:type="dxa" w:w="1296"/>
          </w:tcPr>
          <w:p>
            <w:pPr>
              <w:jc w:val="right"/>
            </w:pPr>
            <w:r>
              <w:rPr>
                <w:rFonts w:ascii="Calibri" w:hAnsi="Calibri"/>
                <w:b w:val="0"/>
                <w:i w:val="0"/>
                <w:sz w:val="18"/>
              </w:rPr>
              <w:t>1,399</w:t>
            </w:r>
          </w:p>
        </w:tc>
        <w:tc>
          <w:tcPr>
            <w:tcW w:type="dxa" w:w="1224"/>
          </w:tcPr>
          <w:p>
            <w:pPr>
              <w:jc w:val="right"/>
            </w:pPr>
            <w:r>
              <w:rPr>
                <w:rFonts w:ascii="Calibri" w:hAnsi="Calibri"/>
                <w:b w:val="0"/>
                <w:i w:val="0"/>
                <w:sz w:val="18"/>
              </w:rPr>
              <w:t>4.9%</w:t>
            </w:r>
          </w:p>
        </w:tc>
        <w:tc>
          <w:tcPr>
            <w:tcW w:type="dxa" w:w="1296"/>
          </w:tcPr>
          <w:p>
            <w:pPr>
              <w:jc w:val="right"/>
            </w:pPr>
            <w:r>
              <w:rPr>
                <w:rFonts w:ascii="Calibri" w:hAnsi="Calibri"/>
                <w:b w:val="0"/>
                <w:i w:val="0"/>
                <w:sz w:val="18"/>
              </w:rPr>
              <w:t>533</w:t>
            </w:r>
          </w:p>
        </w:tc>
        <w:tc>
          <w:tcPr>
            <w:tcW w:type="dxa" w:w="1224"/>
          </w:tcPr>
          <w:p>
            <w:pPr>
              <w:jc w:val="right"/>
            </w:pPr>
            <w:r>
              <w:rPr>
                <w:rFonts w:ascii="Calibri" w:hAnsi="Calibri"/>
                <w:b w:val="0"/>
                <w:i w:val="0"/>
                <w:sz w:val="18"/>
              </w:rPr>
              <w:t>1.5</w:t>
            </w:r>
          </w:p>
        </w:tc>
        <w:tc>
          <w:tcPr>
            <w:tcW w:type="dxa" w:w="1008"/>
          </w:tcPr>
          <w:p>
            <w:pPr>
              <w:jc w:val="right"/>
            </w:pPr>
            <w:r>
              <w:rPr>
                <w:rFonts w:ascii="Calibri" w:hAnsi="Calibri"/>
                <w:b w:val="0"/>
                <w:i w:val="0"/>
                <w:sz w:val="18"/>
              </w:rPr>
              <w:t>2%</w:t>
            </w:r>
          </w:p>
        </w:tc>
        <w:tc>
          <w:tcPr>
            <w:tcW w:type="dxa" w:w="1008"/>
          </w:tcPr>
          <w:p>
            <w:pPr>
              <w:jc w:val="right"/>
            </w:pPr>
            <w:r>
              <w:rPr>
                <w:rFonts w:ascii="Calibri" w:hAnsi="Calibri"/>
                <w:b w:val="0"/>
                <w:i w:val="0"/>
                <w:sz w:val="18"/>
              </w:rPr>
              <w:t>0.36</w:t>
            </w:r>
          </w:p>
        </w:tc>
      </w:tr>
      <w:tr>
        <w:tc>
          <w:tcPr>
            <w:tcW w:type="dxa" w:w="1152"/>
            <w:shd w:val="clear" w:fill="F2F5FB"/>
          </w:tcPr>
          <w:p>
            <w:pPr>
              <w:jc w:val="left"/>
            </w:pPr>
            <w:r>
              <w:rPr>
                <w:rFonts w:ascii="Calibri" w:hAnsi="Calibri"/>
                <w:b w:val="0"/>
                <w:i w:val="0"/>
                <w:sz w:val="18"/>
              </w:rPr>
              <w:t>FY26</w:t>
            </w:r>
          </w:p>
        </w:tc>
        <w:tc>
          <w:tcPr>
            <w:tcW w:type="dxa" w:w="1440"/>
            <w:shd w:val="clear" w:fill="F2F5FB"/>
          </w:tcPr>
          <w:p>
            <w:pPr>
              <w:jc w:val="right"/>
            </w:pPr>
            <w:r>
              <w:rPr>
                <w:rFonts w:ascii="Calibri" w:hAnsi="Calibri"/>
                <w:b w:val="0"/>
                <w:i w:val="0"/>
                <w:sz w:val="18"/>
              </w:rPr>
              <w:t>33,782</w:t>
            </w:r>
          </w:p>
        </w:tc>
        <w:tc>
          <w:tcPr>
            <w:tcW w:type="dxa" w:w="1296"/>
            <w:shd w:val="clear" w:fill="F2F5FB"/>
          </w:tcPr>
          <w:p>
            <w:pPr>
              <w:jc w:val="right"/>
            </w:pPr>
            <w:r>
              <w:rPr>
                <w:rFonts w:ascii="Calibri" w:hAnsi="Calibri"/>
                <w:b w:val="0"/>
                <w:i w:val="0"/>
                <w:sz w:val="18"/>
              </w:rPr>
              <w:t>2,342</w:t>
            </w:r>
          </w:p>
        </w:tc>
        <w:tc>
          <w:tcPr>
            <w:tcW w:type="dxa" w:w="1224"/>
            <w:shd w:val="clear" w:fill="F2F5FB"/>
          </w:tcPr>
          <w:p>
            <w:pPr>
              <w:jc w:val="right"/>
            </w:pPr>
            <w:r>
              <w:rPr>
                <w:rFonts w:ascii="Calibri" w:hAnsi="Calibri"/>
                <w:b w:val="0"/>
                <w:i w:val="0"/>
                <w:sz w:val="18"/>
              </w:rPr>
              <w:t>6.9%</w:t>
            </w:r>
          </w:p>
        </w:tc>
        <w:tc>
          <w:tcPr>
            <w:tcW w:type="dxa" w:w="1296"/>
            <w:shd w:val="clear" w:fill="F2F5FB"/>
          </w:tcPr>
          <w:p>
            <w:pPr>
              <w:jc w:val="right"/>
            </w:pPr>
            <w:r>
              <w:rPr>
                <w:rFonts w:ascii="Calibri" w:hAnsi="Calibri"/>
                <w:b w:val="0"/>
                <w:i w:val="0"/>
                <w:sz w:val="18"/>
              </w:rPr>
              <w:t>1,600</w:t>
            </w:r>
          </w:p>
        </w:tc>
        <w:tc>
          <w:tcPr>
            <w:tcW w:type="dxa" w:w="1224"/>
            <w:shd w:val="clear" w:fill="F2F5FB"/>
          </w:tcPr>
          <w:p>
            <w:pPr>
              <w:jc w:val="right"/>
            </w:pPr>
            <w:r>
              <w:rPr>
                <w:rFonts w:ascii="Calibri" w:hAnsi="Calibri"/>
                <w:b w:val="0"/>
                <w:i w:val="0"/>
                <w:sz w:val="18"/>
              </w:rPr>
              <w:t>4.6</w:t>
            </w:r>
          </w:p>
        </w:tc>
        <w:tc>
          <w:tcPr>
            <w:tcW w:type="dxa" w:w="1008"/>
            <w:shd w:val="clear" w:fill="F2F5FB"/>
          </w:tcPr>
          <w:p>
            <w:pPr>
              <w:jc w:val="right"/>
            </w:pPr>
            <w:r>
              <w:rPr>
                <w:rFonts w:ascii="Calibri" w:hAnsi="Calibri"/>
                <w:b w:val="0"/>
                <w:i w:val="0"/>
                <w:sz w:val="18"/>
              </w:rPr>
              <w:t>6%</w:t>
            </w:r>
          </w:p>
        </w:tc>
        <w:tc>
          <w:tcPr>
            <w:tcW w:type="dxa" w:w="1008"/>
            <w:shd w:val="clear" w:fill="F2F5FB"/>
          </w:tcPr>
          <w:p>
            <w:pPr>
              <w:jc w:val="right"/>
            </w:pPr>
            <w:r>
              <w:rPr>
                <w:rFonts w:ascii="Calibri" w:hAnsi="Calibri"/>
                <w:b w:val="0"/>
                <w:i w:val="0"/>
                <w:sz w:val="18"/>
              </w:rPr>
              <w:t>0.31</w:t>
            </w:r>
          </w:p>
        </w:tc>
      </w:tr>
      <w:tr>
        <w:tc>
          <w:tcPr>
            <w:tcW w:type="dxa" w:w="1152"/>
          </w:tcPr>
          <w:p>
            <w:pPr>
              <w:jc w:val="left"/>
            </w:pPr>
            <w:r>
              <w:rPr>
                <w:rFonts w:ascii="Calibri" w:hAnsi="Calibri"/>
                <w:b w:val="0"/>
                <w:i w:val="0"/>
                <w:sz w:val="18"/>
              </w:rPr>
              <w:t>FY27E</w:t>
            </w:r>
          </w:p>
        </w:tc>
        <w:tc>
          <w:tcPr>
            <w:tcW w:type="dxa" w:w="1440"/>
          </w:tcPr>
          <w:p>
            <w:pPr>
              <w:jc w:val="right"/>
            </w:pPr>
            <w:r>
              <w:rPr>
                <w:rFonts w:ascii="Calibri" w:hAnsi="Calibri"/>
                <w:b w:val="0"/>
                <w:i w:val="0"/>
                <w:sz w:val="18"/>
              </w:rPr>
              <w:t>40,392</w:t>
            </w:r>
          </w:p>
        </w:tc>
        <w:tc>
          <w:tcPr>
            <w:tcW w:type="dxa" w:w="1296"/>
          </w:tcPr>
          <w:p>
            <w:pPr>
              <w:jc w:val="right"/>
            </w:pPr>
            <w:r>
              <w:rPr>
                <w:rFonts w:ascii="Calibri" w:hAnsi="Calibri"/>
                <w:b w:val="0"/>
                <w:i w:val="0"/>
                <w:sz w:val="18"/>
              </w:rPr>
              <w:t>3,029</w:t>
            </w:r>
          </w:p>
        </w:tc>
        <w:tc>
          <w:tcPr>
            <w:tcW w:type="dxa" w:w="1224"/>
          </w:tcPr>
          <w:p>
            <w:pPr>
              <w:jc w:val="right"/>
            </w:pPr>
            <w:r>
              <w:rPr>
                <w:rFonts w:ascii="Calibri" w:hAnsi="Calibri"/>
                <w:b w:val="0"/>
                <w:i w:val="0"/>
                <w:sz w:val="18"/>
              </w:rPr>
              <w:t>7.5%</w:t>
            </w:r>
          </w:p>
        </w:tc>
        <w:tc>
          <w:tcPr>
            <w:tcW w:type="dxa" w:w="1296"/>
          </w:tcPr>
          <w:p>
            <w:pPr>
              <w:jc w:val="right"/>
            </w:pPr>
            <w:r>
              <w:rPr>
                <w:rFonts w:ascii="Calibri" w:hAnsi="Calibri"/>
                <w:b w:val="0"/>
                <w:i w:val="0"/>
                <w:sz w:val="18"/>
              </w:rPr>
              <w:t>2,075</w:t>
            </w:r>
          </w:p>
        </w:tc>
        <w:tc>
          <w:tcPr>
            <w:tcW w:type="dxa" w:w="1224"/>
          </w:tcPr>
          <w:p>
            <w:pPr>
              <w:jc w:val="right"/>
            </w:pPr>
            <w:r>
              <w:rPr>
                <w:rFonts w:ascii="Calibri" w:hAnsi="Calibri"/>
                <w:b w:val="0"/>
                <w:i w:val="0"/>
                <w:sz w:val="18"/>
              </w:rPr>
              <w:t>6.0</w:t>
            </w:r>
          </w:p>
        </w:tc>
        <w:tc>
          <w:tcPr>
            <w:tcW w:type="dxa" w:w="1008"/>
          </w:tcPr>
          <w:p>
            <w:pPr>
              <w:jc w:val="right"/>
            </w:pPr>
            <w:r>
              <w:rPr>
                <w:rFonts w:ascii="Calibri" w:hAnsi="Calibri"/>
                <w:b w:val="0"/>
                <w:i w:val="0"/>
                <w:sz w:val="18"/>
              </w:rPr>
              <w:t>8%</w:t>
            </w:r>
          </w:p>
        </w:tc>
        <w:tc>
          <w:tcPr>
            <w:tcW w:type="dxa" w:w="1008"/>
          </w:tcPr>
          <w:p>
            <w:pPr>
              <w:jc w:val="right"/>
            </w:pPr>
            <w:r>
              <w:rPr>
                <w:rFonts w:ascii="Calibri" w:hAnsi="Calibri"/>
                <w:b w:val="0"/>
                <w:i w:val="0"/>
                <w:sz w:val="18"/>
              </w:rPr>
              <w:t>0.26</w:t>
            </w:r>
          </w:p>
        </w:tc>
      </w:tr>
      <w:tr>
        <w:tc>
          <w:tcPr>
            <w:tcW w:type="dxa" w:w="1152"/>
            <w:shd w:val="clear" w:fill="F2F5FB"/>
          </w:tcPr>
          <w:p>
            <w:pPr>
              <w:jc w:val="left"/>
            </w:pPr>
            <w:r>
              <w:rPr>
                <w:rFonts w:ascii="Calibri" w:hAnsi="Calibri"/>
                <w:b w:val="0"/>
                <w:i w:val="0"/>
                <w:sz w:val="18"/>
              </w:rPr>
              <w:t>FY29E</w:t>
            </w:r>
          </w:p>
        </w:tc>
        <w:tc>
          <w:tcPr>
            <w:tcW w:type="dxa" w:w="1440"/>
            <w:shd w:val="clear" w:fill="F2F5FB"/>
          </w:tcPr>
          <w:p>
            <w:pPr>
              <w:jc w:val="right"/>
            </w:pPr>
            <w:r>
              <w:rPr>
                <w:rFonts w:ascii="Calibri" w:hAnsi="Calibri"/>
                <w:b w:val="0"/>
                <w:i w:val="0"/>
                <w:sz w:val="18"/>
              </w:rPr>
              <w:t>55,883</w:t>
            </w:r>
          </w:p>
        </w:tc>
        <w:tc>
          <w:tcPr>
            <w:tcW w:type="dxa" w:w="1296"/>
            <w:shd w:val="clear" w:fill="F2F5FB"/>
          </w:tcPr>
          <w:p>
            <w:pPr>
              <w:jc w:val="right"/>
            </w:pPr>
            <w:r>
              <w:rPr>
                <w:rFonts w:ascii="Calibri" w:hAnsi="Calibri"/>
                <w:b w:val="0"/>
                <w:i w:val="0"/>
                <w:sz w:val="18"/>
              </w:rPr>
              <w:t>5,309</w:t>
            </w:r>
          </w:p>
        </w:tc>
        <w:tc>
          <w:tcPr>
            <w:tcW w:type="dxa" w:w="1224"/>
            <w:shd w:val="clear" w:fill="F2F5FB"/>
          </w:tcPr>
          <w:p>
            <w:pPr>
              <w:jc w:val="right"/>
            </w:pPr>
            <w:r>
              <w:rPr>
                <w:rFonts w:ascii="Calibri" w:hAnsi="Calibri"/>
                <w:b w:val="0"/>
                <w:i w:val="0"/>
                <w:sz w:val="18"/>
              </w:rPr>
              <w:t>9.5%</w:t>
            </w:r>
          </w:p>
        </w:tc>
        <w:tc>
          <w:tcPr>
            <w:tcW w:type="dxa" w:w="1296"/>
            <w:shd w:val="clear" w:fill="F2F5FB"/>
          </w:tcPr>
          <w:p>
            <w:pPr>
              <w:jc w:val="right"/>
            </w:pPr>
            <w:r>
              <w:rPr>
                <w:rFonts w:ascii="Calibri" w:hAnsi="Calibri"/>
                <w:b w:val="0"/>
                <w:i w:val="0"/>
                <w:sz w:val="18"/>
              </w:rPr>
              <w:t>4,073</w:t>
            </w:r>
          </w:p>
        </w:tc>
        <w:tc>
          <w:tcPr>
            <w:tcW w:type="dxa" w:w="1224"/>
            <w:shd w:val="clear" w:fill="F2F5FB"/>
          </w:tcPr>
          <w:p>
            <w:pPr>
              <w:jc w:val="right"/>
            </w:pPr>
            <w:r>
              <w:rPr>
                <w:rFonts w:ascii="Calibri" w:hAnsi="Calibri"/>
                <w:b w:val="0"/>
                <w:i w:val="0"/>
                <w:sz w:val="18"/>
              </w:rPr>
              <w:t>11.7</w:t>
            </w:r>
          </w:p>
        </w:tc>
        <w:tc>
          <w:tcPr>
            <w:tcW w:type="dxa" w:w="1008"/>
            <w:shd w:val="clear" w:fill="F2F5FB"/>
          </w:tcPr>
          <w:p>
            <w:pPr>
              <w:jc w:val="right"/>
            </w:pPr>
            <w:r>
              <w:rPr>
                <w:rFonts w:ascii="Calibri" w:hAnsi="Calibri"/>
                <w:b w:val="0"/>
                <w:i w:val="0"/>
                <w:sz w:val="18"/>
              </w:rPr>
              <w:t>13%</w:t>
            </w:r>
          </w:p>
        </w:tc>
        <w:tc>
          <w:tcPr>
            <w:tcW w:type="dxa" w:w="1008"/>
            <w:shd w:val="clear" w:fill="F2F5FB"/>
          </w:tcPr>
          <w:p>
            <w:pPr>
              <w:jc w:val="right"/>
            </w:pPr>
            <w:r>
              <w:rPr>
                <w:rFonts w:ascii="Calibri" w:hAnsi="Calibri"/>
                <w:b w:val="0"/>
                <w:i w:val="0"/>
                <w:sz w:val="18"/>
              </w:rPr>
              <w:t>0.16</w:t>
            </w:r>
          </w:p>
        </w:tc>
      </w:tr>
      <w:tr>
        <w:tc>
          <w:tcPr>
            <w:tcW w:type="dxa" w:w="1152"/>
          </w:tcPr>
          <w:p>
            <w:pPr>
              <w:jc w:val="left"/>
            </w:pPr>
            <w:r>
              <w:rPr>
                <w:rFonts w:ascii="Calibri" w:hAnsi="Calibri"/>
                <w:b w:val="0"/>
                <w:i w:val="0"/>
                <w:sz w:val="18"/>
              </w:rPr>
              <w:t>FY33E</w:t>
            </w:r>
          </w:p>
        </w:tc>
        <w:tc>
          <w:tcPr>
            <w:tcW w:type="dxa" w:w="1440"/>
          </w:tcPr>
          <w:p>
            <w:pPr>
              <w:jc w:val="right"/>
            </w:pPr>
            <w:r>
              <w:rPr>
                <w:rFonts w:ascii="Calibri" w:hAnsi="Calibri"/>
                <w:b w:val="0"/>
                <w:i w:val="0"/>
                <w:sz w:val="18"/>
              </w:rPr>
              <w:t>82,405</w:t>
            </w:r>
          </w:p>
        </w:tc>
        <w:tc>
          <w:tcPr>
            <w:tcW w:type="dxa" w:w="1296"/>
          </w:tcPr>
          <w:p>
            <w:pPr>
              <w:jc w:val="right"/>
            </w:pPr>
            <w:r>
              <w:rPr>
                <w:rFonts w:ascii="Calibri" w:hAnsi="Calibri"/>
                <w:b w:val="0"/>
                <w:i w:val="0"/>
                <w:sz w:val="18"/>
              </w:rPr>
              <w:t>9,889</w:t>
            </w:r>
          </w:p>
        </w:tc>
        <w:tc>
          <w:tcPr>
            <w:tcW w:type="dxa" w:w="1224"/>
          </w:tcPr>
          <w:p>
            <w:pPr>
              <w:jc w:val="right"/>
            </w:pPr>
            <w:r>
              <w:rPr>
                <w:rFonts w:ascii="Calibri" w:hAnsi="Calibri"/>
                <w:b w:val="0"/>
                <w:i w:val="0"/>
                <w:sz w:val="18"/>
              </w:rPr>
              <w:t>12.0%</w:t>
            </w:r>
          </w:p>
        </w:tc>
        <w:tc>
          <w:tcPr>
            <w:tcW w:type="dxa" w:w="1296"/>
          </w:tcPr>
          <w:p>
            <w:pPr>
              <w:jc w:val="right"/>
            </w:pPr>
            <w:r>
              <w:rPr>
                <w:rFonts w:ascii="Calibri" w:hAnsi="Calibri"/>
                <w:b w:val="0"/>
                <w:i w:val="0"/>
                <w:sz w:val="18"/>
              </w:rPr>
              <w:t>8,004</w:t>
            </w:r>
          </w:p>
        </w:tc>
        <w:tc>
          <w:tcPr>
            <w:tcW w:type="dxa" w:w="1224"/>
          </w:tcPr>
          <w:p>
            <w:pPr>
              <w:jc w:val="right"/>
            </w:pPr>
            <w:r>
              <w:rPr>
                <w:rFonts w:ascii="Calibri" w:hAnsi="Calibri"/>
                <w:b w:val="0"/>
                <w:i w:val="0"/>
                <w:sz w:val="18"/>
              </w:rPr>
              <w:t>23.0</w:t>
            </w:r>
          </w:p>
        </w:tc>
        <w:tc>
          <w:tcPr>
            <w:tcW w:type="dxa" w:w="1008"/>
          </w:tcPr>
          <w:p>
            <w:pPr>
              <w:jc w:val="right"/>
            </w:pPr>
            <w:r>
              <w:rPr>
                <w:rFonts w:ascii="Calibri" w:hAnsi="Calibri"/>
                <w:b w:val="0"/>
                <w:i w:val="0"/>
                <w:sz w:val="18"/>
              </w:rPr>
              <w:t>17%</w:t>
            </w:r>
          </w:p>
        </w:tc>
        <w:tc>
          <w:tcPr>
            <w:tcW w:type="dxa" w:w="1008"/>
          </w:tcPr>
          <w:p>
            <w:pPr>
              <w:jc w:val="right"/>
            </w:pPr>
            <w:r>
              <w:rPr>
                <w:rFonts w:ascii="Calibri" w:hAnsi="Calibri"/>
                <w:b w:val="0"/>
                <w:i w:val="0"/>
                <w:sz w:val="18"/>
              </w:rPr>
              <w:t>0.02</w:t>
            </w:r>
          </w:p>
        </w:tc>
      </w:tr>
    </w:tbl>
    <w:p>
      <w:pPr>
        <w:spacing w:after="160" w:before="40"/>
      </w:pPr>
      <w:r>
        <w:rPr>
          <w:rFonts w:ascii="Calibri" w:hAnsi="Calibri"/>
          <w:b w:val="0"/>
          <w:i/>
          <w:color w:val="595959"/>
          <w:sz w:val="16"/>
        </w:rPr>
        <w:t>A = audited; E = estimate. Source: author’s integrated model built on BHEL audited consolidated financials (FY20–26) and FY27–33 forecast.</w:t>
      </w:r>
    </w:p>
    <w:p>
      <w:pPr>
        <w:spacing w:after="80" w:before="200"/>
      </w:pPr>
      <w:r>
        <w:rPr>
          <w:rFonts w:ascii="Calibri" w:hAnsi="Calibri"/>
          <w:b/>
          <w:i w:val="0"/>
          <w:color w:val="2E5BA8"/>
          <w:sz w:val="25"/>
        </w:rPr>
        <w:t>What would change our view</w:t>
      </w:r>
    </w:p>
    <w:p>
      <w:pPr>
        <w:spacing w:after="80" w:before="0"/>
      </w:pPr>
      <w:r>
        <w:rPr>
          <w:rFonts w:ascii="Calibri" w:hAnsi="Calibri"/>
          <w:b w:val="0"/>
          <w:i w:val="0"/>
          <w:sz w:val="21"/>
        </w:rPr>
        <w:t>We would turn constructive (a) on a meaningful price correction toward our ₹245 fair value; (b) on hard evidence that BHEL can sustainably convert &gt;18% of its opening order book into revenue while holding margins; or (c) on EBITDA margins durably exceeding 12% earlier than modelled. Conversely, renewed execution slippage, commodity-driven margin pressure, or large low-margin order intake would reinforce the downside.</w:t>
      </w:r>
    </w:p>
    <w:p>
      <w:pPr>
        <w:spacing w:after="80" w:before="200"/>
      </w:pPr>
      <w:r>
        <w:rPr>
          <w:rFonts w:ascii="Calibri" w:hAnsi="Calibri"/>
          <w:b/>
          <w:i w:val="0"/>
          <w:color w:val="2E5BA8"/>
          <w:sz w:val="25"/>
        </w:rPr>
        <w:t>The bull case versus the bear case</w:t>
      </w:r>
    </w:p>
    <w:p>
      <w:pPr>
        <w:spacing w:after="80" w:before="0"/>
      </w:pPr>
      <w:r>
        <w:rPr>
          <w:rFonts w:ascii="Calibri" w:hAnsi="Calibri"/>
          <w:b w:val="0"/>
          <w:i w:val="0"/>
          <w:sz w:val="21"/>
        </w:rPr>
        <w:t>The entire BHEL debate can be reduced to one question: how much of the record order book will convert into profitable revenue, and how quickly? The two sides are sharply drawn.</w:t>
      </w:r>
    </w:p>
    <w:p>
      <w:pPr>
        <w:spacing w:after="60" w:before="120"/>
      </w:pPr>
      <w:r>
        <w:rPr>
          <w:rFonts w:ascii="Calibri" w:hAnsi="Calibri"/>
          <w:b/>
          <w:i w:val="0"/>
          <w:color w:val="595959"/>
          <w:sz w:val="22"/>
        </w:rPr>
        <w:t>The bull case (why the stock is at ₹400+)</w:t>
      </w:r>
    </w:p>
    <w:p>
      <w:pPr>
        <w:pStyle w:val="ListBullet"/>
        <w:spacing w:after="80"/>
      </w:pPr>
      <w:r>
        <w:rPr>
          <w:rFonts w:ascii="Calibri" w:hAnsi="Calibri"/>
          <w:b w:val="0"/>
          <w:i w:val="0"/>
          <w:sz w:val="21"/>
        </w:rPr>
        <w:t xml:space="preserve"> A ~₹2.4 lakh crore order book at ~7x book-to-bill gives unprecedented multi-year visibility; brokerages expect BHEL to enter FY2027 with ₹2.5 lakh cr of backlog.</w:t>
      </w:r>
    </w:p>
    <w:p>
      <w:pPr>
        <w:pStyle w:val="ListBullet"/>
        <w:spacing w:after="80"/>
      </w:pPr>
      <w:r>
        <w:rPr>
          <w:rFonts w:ascii="Calibri" w:hAnsi="Calibri"/>
          <w:b w:val="0"/>
          <w:i w:val="0"/>
          <w:sz w:val="21"/>
        </w:rPr>
        <w:t xml:space="preserve"> Operating leverage is enormous — every point of margin on a fixed cost base drops disproportionately to PAT, so a margin path to 12–15% could see EPS multiply several times over.</w:t>
      </w:r>
    </w:p>
    <w:p>
      <w:pPr>
        <w:pStyle w:val="ListBullet"/>
        <w:spacing w:after="80"/>
      </w:pPr>
      <w:r>
        <w:rPr>
          <w:rFonts w:ascii="Calibri" w:hAnsi="Calibri"/>
          <w:b w:val="0"/>
          <w:i w:val="0"/>
          <w:sz w:val="21"/>
        </w:rPr>
        <w:t xml:space="preserve"> BHEL is the near-monopoly domestic BTG supplier into an 80 GW thermal build, an emerging nuclear programme, FGD retrofits and exports — a scarce, strategic asset that the market is happy to own at a premium.</w:t>
      </w:r>
    </w:p>
    <w:p>
      <w:pPr>
        <w:spacing w:after="60" w:before="120"/>
      </w:pPr>
      <w:r>
        <w:rPr>
          <w:rFonts w:ascii="Calibri" w:hAnsi="Calibri"/>
          <w:b/>
          <w:i w:val="0"/>
          <w:color w:val="595959"/>
          <w:sz w:val="22"/>
        </w:rPr>
        <w:t>The bear case (why we rate it SELL)</w:t>
      </w:r>
    </w:p>
    <w:p>
      <w:pPr>
        <w:pStyle w:val="ListBullet"/>
        <w:spacing w:after="80"/>
      </w:pPr>
      <w:r>
        <w:rPr>
          <w:rFonts w:ascii="Calibri" w:hAnsi="Calibri"/>
          <w:b w:val="0"/>
          <w:i w:val="0"/>
          <w:sz w:val="21"/>
        </w:rPr>
        <w:t xml:space="preserve"> The order book is only worth what converts: India’s thermal additions hit just 29% and 73% of target in FY2025 and FY2026 respectively. Backlog has been large before without translating into commensurate profit.</w:t>
      </w:r>
    </w:p>
    <w:p>
      <w:pPr>
        <w:pStyle w:val="ListBullet"/>
        <w:spacing w:after="80"/>
      </w:pPr>
      <w:r>
        <w:rPr>
          <w:rFonts w:ascii="Calibri" w:hAnsi="Calibri"/>
          <w:b w:val="0"/>
          <w:i w:val="0"/>
          <w:sz w:val="21"/>
        </w:rPr>
        <w:t xml:space="preserve"> Returns are still below cost of capital (FY26 ROE ~6%), so the business is not yet creating economic value — yet it is priced at ~88x earnings and ~6x book, multiples that assume the recovery is both certain and durable.</w:t>
      </w:r>
    </w:p>
    <w:p>
      <w:pPr>
        <w:pStyle w:val="ListBullet"/>
        <w:spacing w:after="80"/>
      </w:pPr>
      <w:r>
        <w:rPr>
          <w:rFonts w:ascii="Calibri" w:hAnsi="Calibri"/>
          <w:b w:val="0"/>
          <w:i w:val="0"/>
          <w:sz w:val="21"/>
        </w:rPr>
        <w:t xml:space="preserve"> Our DCF says fair value is ₹181; even a generous probability-weighted scenario yields ₹245. The current price embeds the bull case in full, leaving negative risk-adjusted return.</w:t>
      </w:r>
    </w:p>
    <w:p>
      <w:pPr>
        <w:spacing w:after="80" w:before="40"/>
      </w:pPr>
      <w:r>
        <w:rPr>
          <w:rFonts w:ascii="Calibri" w:hAnsi="Calibri"/>
          <w:b w:val="0"/>
          <w:i w:val="0"/>
          <w:sz w:val="21"/>
        </w:rPr>
        <w:t>Our judgement: the operational turn is genuine, but the market price has run far ahead of the cash flows the turn can plausibly generate. We would rather own the recovery at a price that pays us for the execution risk.</w:t>
      </w:r>
    </w:p>
    <w:p>
      <w:r>
        <w:br w:type="page"/>
      </w:r>
    </w:p>
    <w:p>
      <w:pPr>
        <w:spacing w:after="160" w:before="40"/>
        <w:pBdr>
          <w:bottom w:val="single" w:sz="12" w:space="4" w:color="1F3864"/>
        </w:pBdr>
      </w:pPr>
      <w:r>
        <w:rPr>
          <w:rFonts w:ascii="Calibri" w:hAnsi="Calibri"/>
          <w:b/>
          <w:i w:val="0"/>
          <w:color w:val="1F3864"/>
          <w:sz w:val="32"/>
        </w:rPr>
        <w:t>2.  Company Overview</w:t>
      </w:r>
    </w:p>
    <w:p>
      <w:pPr>
        <w:spacing w:after="120" w:before="0"/>
      </w:pPr>
      <w:r>
        <w:rPr>
          <w:rFonts w:ascii="Calibri" w:hAnsi="Calibri"/>
          <w:b w:val="0"/>
          <w:i w:val="0"/>
          <w:sz w:val="21"/>
        </w:rPr>
        <w:t>Bharat Heavy Electricals Limited, incorporated in 1964, is India’s largest integrated power-plant equipment manufacturer and one of the country’s flagship engineering public-sector undertakings (a “Maharatna” CPSE). The Government of India owns approximately 63% of the equity. Headquartered in New Delhi, BHEL operates a network of manufacturing plants, power-sector regional centres, and service stations across India, supported by a workforce of roughly 25,500 employees.</w:t>
      </w:r>
    </w:p>
    <w:p>
      <w:pPr>
        <w:spacing w:after="120" w:before="0"/>
      </w:pPr>
      <w:r>
        <w:rPr>
          <w:rFonts w:ascii="Calibri" w:hAnsi="Calibri"/>
          <w:b w:val="0"/>
          <w:i w:val="0"/>
          <w:sz w:val="21"/>
        </w:rPr>
        <w:t>BHEL’s core franchise is the design, engineering, manufacture, construction, testing, commissioning and servicing of a wide range of products for the power generation and transmission, industrial, transportation, renewable energy, defence and aerospace sectors. The company has installed the bulk of India’s coal-based generation fleet and retains an installed-base advantage that underpins a recurring spares-and-services revenue stream.</w:t>
      </w:r>
    </w:p>
    <w:p>
      <w:pPr>
        <w:spacing w:after="80" w:before="200"/>
      </w:pPr>
      <w:r>
        <w:rPr>
          <w:rFonts w:ascii="Calibri" w:hAnsi="Calibri"/>
          <w:b/>
          <w:i w:val="0"/>
          <w:color w:val="2E5BA8"/>
          <w:sz w:val="25"/>
        </w:rPr>
        <w:t>Business segments</w:t>
      </w:r>
    </w:p>
    <w:p>
      <w:pPr>
        <w:spacing w:after="80" w:before="0"/>
      </w:pPr>
      <w:r>
        <w:rPr>
          <w:rFonts w:ascii="Calibri" w:hAnsi="Calibri"/>
          <w:b w:val="0"/>
          <w:i w:val="0"/>
          <w:sz w:val="21"/>
        </w:rPr>
        <w:t>BHEL reports along two primary operating segments, supplemented by a diversification push into newer areas:</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fill="1F3864"/>
          </w:tcPr>
          <w:p>
            <w:pPr>
              <w:jc w:val="left"/>
            </w:pPr>
            <w:r>
              <w:rPr>
                <w:rFonts w:ascii="Calibri" w:hAnsi="Calibri"/>
                <w:b/>
                <w:i w:val="0"/>
                <w:color w:val="FFFFFF"/>
                <w:sz w:val="18"/>
              </w:rPr>
              <w:t>Segment</w:t>
            </w:r>
          </w:p>
        </w:tc>
        <w:tc>
          <w:tcPr>
            <w:tcW w:type="dxa" w:w="1728"/>
            <w:shd w:val="clear" w:fill="1F3864"/>
          </w:tcPr>
          <w:p>
            <w:pPr>
              <w:jc w:val="center"/>
            </w:pPr>
            <w:r>
              <w:rPr>
                <w:rFonts w:ascii="Calibri" w:hAnsi="Calibri"/>
                <w:b/>
                <w:i w:val="0"/>
                <w:color w:val="FFFFFF"/>
                <w:sz w:val="18"/>
              </w:rPr>
              <w:t>% of FY26 revenue</w:t>
            </w:r>
          </w:p>
        </w:tc>
        <w:tc>
          <w:tcPr>
            <w:tcW w:type="dxa" w:w="5760"/>
            <w:shd w:val="clear" w:fill="1F3864"/>
          </w:tcPr>
          <w:p>
            <w:pPr>
              <w:jc w:val="center"/>
            </w:pPr>
            <w:r>
              <w:rPr>
                <w:rFonts w:ascii="Calibri" w:hAnsi="Calibri"/>
                <w:b/>
                <w:i w:val="0"/>
                <w:color w:val="FFFFFF"/>
                <w:sz w:val="18"/>
              </w:rPr>
              <w:t>Description</w:t>
            </w:r>
          </w:p>
        </w:tc>
      </w:tr>
      <w:tr>
        <w:tc>
          <w:tcPr>
            <w:tcW w:type="dxa" w:w="1872"/>
            <w:shd w:val="clear" w:fill="F2F5FB"/>
          </w:tcPr>
          <w:p>
            <w:pPr>
              <w:jc w:val="left"/>
            </w:pPr>
            <w:r>
              <w:rPr>
                <w:rFonts w:ascii="Calibri" w:hAnsi="Calibri"/>
                <w:b w:val="0"/>
                <w:i w:val="0"/>
                <w:sz w:val="18"/>
              </w:rPr>
              <w:t>Power</w:t>
            </w:r>
          </w:p>
        </w:tc>
        <w:tc>
          <w:tcPr>
            <w:tcW w:type="dxa" w:w="1728"/>
            <w:shd w:val="clear" w:fill="F2F5FB"/>
          </w:tcPr>
          <w:p>
            <w:pPr>
              <w:jc w:val="right"/>
            </w:pPr>
            <w:r>
              <w:rPr>
                <w:rFonts w:ascii="Calibri" w:hAnsi="Calibri"/>
                <w:b w:val="0"/>
                <w:i w:val="0"/>
                <w:sz w:val="18"/>
              </w:rPr>
              <w:t>~75%</w:t>
            </w:r>
          </w:p>
        </w:tc>
        <w:tc>
          <w:tcPr>
            <w:tcW w:type="dxa" w:w="5760"/>
            <w:shd w:val="clear" w:fill="F2F5FB"/>
          </w:tcPr>
          <w:p>
            <w:pPr>
              <w:jc w:val="right"/>
            </w:pPr>
            <w:r>
              <w:rPr>
                <w:rFonts w:ascii="Calibri" w:hAnsi="Calibri"/>
                <w:b w:val="0"/>
                <w:i w:val="0"/>
                <w:sz w:val="18"/>
              </w:rPr>
              <w:t>Steam turbines, boilers, turbo-generators, supercritical sets, balance-of-plant, emission-control (FGD) equipment, and erection &amp; commissioning for thermal, hydro, gas and nuclear plants.</w:t>
            </w:r>
          </w:p>
        </w:tc>
      </w:tr>
      <w:tr>
        <w:tc>
          <w:tcPr>
            <w:tcW w:type="dxa" w:w="1872"/>
          </w:tcPr>
          <w:p>
            <w:pPr>
              <w:jc w:val="left"/>
            </w:pPr>
            <w:r>
              <w:rPr>
                <w:rFonts w:ascii="Calibri" w:hAnsi="Calibri"/>
                <w:b w:val="0"/>
                <w:i w:val="0"/>
                <w:sz w:val="18"/>
              </w:rPr>
              <w:t>Industry</w:t>
            </w:r>
          </w:p>
        </w:tc>
        <w:tc>
          <w:tcPr>
            <w:tcW w:type="dxa" w:w="1728"/>
          </w:tcPr>
          <w:p>
            <w:pPr>
              <w:jc w:val="right"/>
            </w:pPr>
            <w:r>
              <w:rPr>
                <w:rFonts w:ascii="Calibri" w:hAnsi="Calibri"/>
                <w:b w:val="0"/>
                <w:i w:val="0"/>
                <w:sz w:val="18"/>
              </w:rPr>
              <w:t>~22%</w:t>
            </w:r>
          </w:p>
        </w:tc>
        <w:tc>
          <w:tcPr>
            <w:tcW w:type="dxa" w:w="5760"/>
          </w:tcPr>
          <w:p>
            <w:pPr>
              <w:jc w:val="right"/>
            </w:pPr>
            <w:r>
              <w:rPr>
                <w:rFonts w:ascii="Calibri" w:hAnsi="Calibri"/>
                <w:b w:val="0"/>
                <w:i w:val="0"/>
                <w:sz w:val="18"/>
              </w:rPr>
              <w:t>Industrial systems and products — captive power, transportation (electric locomotives, propulsion), transmission (transformers, switchgear), capital equipment, compressors, valves and electrical machines.</w:t>
            </w:r>
          </w:p>
        </w:tc>
      </w:tr>
      <w:tr>
        <w:tc>
          <w:tcPr>
            <w:tcW w:type="dxa" w:w="1872"/>
            <w:shd w:val="clear" w:fill="F2F5FB"/>
          </w:tcPr>
          <w:p>
            <w:pPr>
              <w:jc w:val="left"/>
            </w:pPr>
            <w:r>
              <w:rPr>
                <w:rFonts w:ascii="Calibri" w:hAnsi="Calibri"/>
                <w:b w:val="0"/>
                <w:i w:val="0"/>
                <w:sz w:val="18"/>
              </w:rPr>
              <w:t>Emerging / Others</w:t>
            </w:r>
          </w:p>
        </w:tc>
        <w:tc>
          <w:tcPr>
            <w:tcW w:type="dxa" w:w="1728"/>
            <w:shd w:val="clear" w:fill="F2F5FB"/>
          </w:tcPr>
          <w:p>
            <w:pPr>
              <w:jc w:val="right"/>
            </w:pPr>
            <w:r>
              <w:rPr>
                <w:rFonts w:ascii="Calibri" w:hAnsi="Calibri"/>
                <w:b w:val="0"/>
                <w:i w:val="0"/>
                <w:sz w:val="18"/>
              </w:rPr>
              <w:t>~3%</w:t>
            </w:r>
          </w:p>
        </w:tc>
        <w:tc>
          <w:tcPr>
            <w:tcW w:type="dxa" w:w="5760"/>
            <w:shd w:val="clear" w:fill="F2F5FB"/>
          </w:tcPr>
          <w:p>
            <w:pPr>
              <w:jc w:val="right"/>
            </w:pPr>
            <w:r>
              <w:rPr>
                <w:rFonts w:ascii="Calibri" w:hAnsi="Calibri"/>
                <w:b w:val="0"/>
                <w:i w:val="0"/>
                <w:sz w:val="18"/>
              </w:rPr>
              <w:t>Defence &amp; aerospace, solar PV and EPC, electric mobility &amp; charging, green hydrogen and coal-gasification (incl. ammonium-nitrate JV), and exports.</w:t>
            </w:r>
          </w:p>
        </w:tc>
      </w:tr>
    </w:tbl>
    <w:p>
      <w:pPr>
        <w:spacing w:after="160" w:before="40"/>
      </w:pPr>
      <w:r>
        <w:rPr>
          <w:rFonts w:ascii="Calibri" w:hAnsi="Calibri"/>
          <w:b w:val="0"/>
          <w:i/>
          <w:color w:val="595959"/>
          <w:sz w:val="16"/>
        </w:rPr>
        <w:t>Segment mix approximate; based on disclosed standalone segment data. Source: company filings; author estimates.</w:t>
      </w:r>
    </w:p>
    <w:p>
      <w:pPr>
        <w:spacing w:after="120" w:before="120"/>
      </w:pPr>
      <w:r>
        <w:rPr>
          <w:rFonts w:ascii="Calibri" w:hAnsi="Calibri"/>
          <w:b w:val="0"/>
          <w:i w:val="0"/>
          <w:sz w:val="21"/>
        </w:rPr>
        <w:t>The business is project-cycle in nature: revenue is recognised over multi-year execution of large EPC and equipment contracts, working capital is dominated by contract assets (unbilled revenue) and contract liabilities (customer advances), and earnings are highly operationally geared to volume and execution pace.</w:t>
      </w:r>
    </w:p>
    <w:p>
      <w:pPr>
        <w:spacing w:after="80" w:before="200"/>
      </w:pPr>
      <w:r>
        <w:rPr>
          <w:rFonts w:ascii="Calibri" w:hAnsi="Calibri"/>
          <w:b/>
          <w:i w:val="0"/>
          <w:color w:val="2E5BA8"/>
          <w:sz w:val="25"/>
        </w:rPr>
        <w:t>Recent performance and momentum</w:t>
      </w:r>
    </w:p>
    <w:p>
      <w:pPr>
        <w:spacing w:after="80" w:before="0"/>
      </w:pPr>
      <w:r>
        <w:rPr>
          <w:rFonts w:ascii="Calibri" w:hAnsi="Calibri"/>
          <w:b w:val="0"/>
          <w:i w:val="0"/>
          <w:sz w:val="21"/>
        </w:rPr>
        <w:t>FY2026 marked a clear inflection. Consolidated revenue grew ~18% to ₹33,782 cr, EBITDA rose to ₹2,342 cr (6.9% margin) and PAT reached ₹1,600 cr. The fourth quarter was particularly strong: Q4FY26 PAT more than doubled year-on-year to ₹1,283 cr on revenue of ₹12,310 cr (+37%), and the stock touched an 18-year high. During the year BHEL commissioned/synchronised ~8.9 GW of capacity and closed with an order book near ₹2.4 lakh crore — the strongest revenue visibility in the company’s modern history.</w:t>
      </w:r>
    </w:p>
    <w:p>
      <w:pPr>
        <w:spacing w:after="160" w:before="40"/>
      </w:pPr>
      <w:r>
        <w:rPr>
          <w:rFonts w:ascii="Calibri" w:hAnsi="Calibri"/>
          <w:b w:val="0"/>
          <w:i/>
          <w:color w:val="595959"/>
          <w:sz w:val="16"/>
        </w:rPr>
        <w:t>Sources: BHEL FY2026 results; businessworld.in; tipranks.com. Content rephrased for licensing compliance.</w:t>
      </w:r>
    </w:p>
    <w:p>
      <w:r>
        <w:br w:type="page"/>
      </w:r>
    </w:p>
    <w:p>
      <w:pPr>
        <w:spacing w:after="160" w:before="40"/>
        <w:pBdr>
          <w:bottom w:val="single" w:sz="12" w:space="4" w:color="1F3864"/>
        </w:pBdr>
      </w:pPr>
      <w:r>
        <w:rPr>
          <w:rFonts w:ascii="Calibri" w:hAnsi="Calibri"/>
          <w:b/>
          <w:i w:val="0"/>
          <w:color w:val="1F3864"/>
          <w:sz w:val="32"/>
        </w:rPr>
        <w:t>3.  Industry &amp; Macro Analysis</w:t>
      </w:r>
    </w:p>
    <w:p>
      <w:pPr>
        <w:spacing w:after="80" w:before="200"/>
      </w:pPr>
      <w:r>
        <w:rPr>
          <w:rFonts w:ascii="Calibri" w:hAnsi="Calibri"/>
          <w:b/>
          <w:i w:val="0"/>
          <w:color w:val="2E5BA8"/>
          <w:sz w:val="25"/>
        </w:rPr>
        <w:t>India’s power demand and the thermal re-commitment</w:t>
      </w:r>
    </w:p>
    <w:p>
      <w:pPr>
        <w:spacing w:after="120" w:before="0"/>
      </w:pPr>
      <w:r>
        <w:rPr>
          <w:rFonts w:ascii="Calibri" w:hAnsi="Calibri"/>
          <w:b w:val="0"/>
          <w:i w:val="0"/>
          <w:sz w:val="21"/>
        </w:rPr>
        <w:t>India’s peak electricity demand has risen sharply, crossing ~256 GW in 2025 and projected by the government toward ~270 GW in 2026. While renewable capacity is being added at 20 GW+ per year, the intermittency of solar and wind has forced policymakers back toward dispatchable, coal-based generation to maintain grid stability. The government plans to add on the order of 80 GW of new thermal capacity by 2032 — a direct, multi-year tailwind for BHEL, which supplies the majority of domestic boiler-turbine-generator (BTG) equipment.</w:t>
      </w:r>
    </w:p>
    <w:p>
      <w:pPr>
        <w:spacing w:after="80" w:before="0"/>
      </w:pPr>
      <w:r>
        <w:rPr>
          <w:rFonts w:ascii="Calibri" w:hAnsi="Calibri"/>
          <w:b w:val="0"/>
          <w:i w:val="0"/>
          <w:sz w:val="21"/>
        </w:rPr>
        <w:t>Crucially for the investment debate, the sector has a chronic execution-slippage problem. India added only ~9.5 GW of thermal capacity in FY2026 (about 73% of the ~12.9 GW target) and just ~4.5 GW in FY2025 (~29% of target), as equipment-supply, land and clearance bottlenecks delayed commissioning. This is the crux of the BHEL thesis: the demand and ordering are real, but the pace at which orders convert into recognised revenue and cash has repeatedly disappointed.</w:t>
      </w:r>
    </w:p>
    <w:p>
      <w:pPr>
        <w:spacing w:after="160" w:before="40"/>
      </w:pPr>
      <w:r>
        <w:rPr>
          <w:rFonts w:ascii="Calibri" w:hAnsi="Calibri"/>
          <w:b w:val="0"/>
          <w:i/>
          <w:color w:val="595959"/>
          <w:sz w:val="16"/>
        </w:rPr>
        <w:t>Sources: Central Electricity Authority via financialexpress.com; livemint.com; ember-energy.org. Content rephrased for compliance.</w:t>
      </w:r>
    </w:p>
    <w:p>
      <w:pPr>
        <w:spacing w:after="80" w:before="200"/>
      </w:pPr>
      <w:r>
        <w:rPr>
          <w:rFonts w:ascii="Calibri" w:hAnsi="Calibri"/>
          <w:b/>
          <w:i w:val="0"/>
          <w:color w:val="2E5BA8"/>
          <w:sz w:val="25"/>
        </w:rPr>
        <w:t>Demand drivers</w:t>
      </w:r>
    </w:p>
    <w:p>
      <w:pPr>
        <w:pStyle w:val="ListBullet"/>
        <w:spacing w:after="80"/>
      </w:pPr>
      <w:r>
        <w:rPr>
          <w:rFonts w:ascii="Calibri" w:hAnsi="Calibri"/>
          <w:b w:val="0"/>
          <w:i w:val="0"/>
          <w:sz w:val="21"/>
        </w:rPr>
        <w:t>Thermal capex super-cycle (~80 GW by 2032) and FGD/emission-control retrofits across the existing fleet.</w:t>
      </w:r>
    </w:p>
    <w:p>
      <w:pPr>
        <w:pStyle w:val="ListBullet"/>
        <w:spacing w:after="80"/>
      </w:pPr>
      <w:r>
        <w:rPr>
          <w:rFonts w:ascii="Calibri" w:hAnsi="Calibri"/>
          <w:b w:val="0"/>
          <w:i w:val="0"/>
          <w:sz w:val="21"/>
        </w:rPr>
        <w:t>Nuclear expansion blueprint and BHEL’s positioning in indigenous reactor equipment.</w:t>
      </w:r>
    </w:p>
    <w:p>
      <w:pPr>
        <w:pStyle w:val="ListBullet"/>
        <w:spacing w:after="80"/>
      </w:pPr>
      <w:r>
        <w:rPr>
          <w:rFonts w:ascii="Calibri" w:hAnsi="Calibri"/>
          <w:b w:val="0"/>
          <w:i w:val="0"/>
          <w:sz w:val="21"/>
        </w:rPr>
        <w:t>Transmission build-out, railway electrification and locomotive/propulsion demand.</w:t>
      </w:r>
    </w:p>
    <w:p>
      <w:pPr>
        <w:pStyle w:val="ListBullet"/>
        <w:spacing w:after="80"/>
      </w:pPr>
      <w:r>
        <w:rPr>
          <w:rFonts w:ascii="Calibri" w:hAnsi="Calibri"/>
          <w:b w:val="0"/>
          <w:i w:val="0"/>
          <w:sz w:val="21"/>
        </w:rPr>
        <w:t>Defence indigenisation, green hydrogen, coal gasification and solar EPC as optionality.</w:t>
      </w:r>
    </w:p>
    <w:p>
      <w:pPr>
        <w:pStyle w:val="ListBullet"/>
        <w:spacing w:after="80"/>
      </w:pPr>
      <w:r>
        <w:rPr>
          <w:rFonts w:ascii="Calibri" w:hAnsi="Calibri"/>
          <w:b w:val="0"/>
          <w:i w:val="0"/>
          <w:sz w:val="21"/>
        </w:rPr>
        <w:t>Recurring aftermarket: spares, renovation &amp; modernisation (R&amp;M) and services on a large installed base.</w:t>
      </w:r>
    </w:p>
    <w:p>
      <w:pPr>
        <w:spacing w:after="80" w:before="200"/>
      </w:pPr>
      <w:r>
        <w:rPr>
          <w:rFonts w:ascii="Calibri" w:hAnsi="Calibri"/>
          <w:b/>
          <w:i w:val="0"/>
          <w:color w:val="2E5BA8"/>
          <w:sz w:val="25"/>
        </w:rPr>
        <w:t>Porter’s Five Forces</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fill="1F3864"/>
          </w:tcPr>
          <w:p>
            <w:pPr>
              <w:jc w:val="left"/>
            </w:pPr>
            <w:r>
              <w:rPr>
                <w:rFonts w:ascii="Calibri" w:hAnsi="Calibri"/>
                <w:b/>
                <w:i w:val="0"/>
                <w:color w:val="FFFFFF"/>
                <w:sz w:val="18"/>
              </w:rPr>
              <w:t>Force</w:t>
            </w:r>
          </w:p>
        </w:tc>
        <w:tc>
          <w:tcPr>
            <w:tcW w:type="dxa" w:w="1440"/>
            <w:shd w:val="clear" w:fill="1F3864"/>
          </w:tcPr>
          <w:p>
            <w:pPr>
              <w:jc w:val="center"/>
            </w:pPr>
            <w:r>
              <w:rPr>
                <w:rFonts w:ascii="Calibri" w:hAnsi="Calibri"/>
                <w:b/>
                <w:i w:val="0"/>
                <w:color w:val="FFFFFF"/>
                <w:sz w:val="18"/>
              </w:rPr>
              <w:t>Intensity</w:t>
            </w:r>
          </w:p>
        </w:tc>
        <w:tc>
          <w:tcPr>
            <w:tcW w:type="dxa" w:w="5616"/>
            <w:shd w:val="clear" w:fill="1F3864"/>
          </w:tcPr>
          <w:p>
            <w:pPr>
              <w:jc w:val="center"/>
            </w:pPr>
            <w:r>
              <w:rPr>
                <w:rFonts w:ascii="Calibri" w:hAnsi="Calibri"/>
                <w:b/>
                <w:i w:val="0"/>
                <w:color w:val="FFFFFF"/>
                <w:sz w:val="18"/>
              </w:rPr>
              <w:t>Assessment</w:t>
            </w:r>
          </w:p>
        </w:tc>
      </w:tr>
      <w:tr>
        <w:tc>
          <w:tcPr>
            <w:tcW w:type="dxa" w:w="2304"/>
            <w:shd w:val="clear" w:fill="F2F5FB"/>
          </w:tcPr>
          <w:p>
            <w:pPr>
              <w:jc w:val="left"/>
            </w:pPr>
            <w:r>
              <w:rPr>
                <w:rFonts w:ascii="Calibri" w:hAnsi="Calibri"/>
                <w:b w:val="0"/>
                <w:i w:val="0"/>
                <w:sz w:val="18"/>
              </w:rPr>
              <w:t>Competitive rivalry</w:t>
            </w:r>
          </w:p>
        </w:tc>
        <w:tc>
          <w:tcPr>
            <w:tcW w:type="dxa" w:w="1440"/>
            <w:shd w:val="clear" w:fill="F2F5FB"/>
          </w:tcPr>
          <w:p>
            <w:pPr>
              <w:jc w:val="right"/>
            </w:pPr>
            <w:r>
              <w:rPr>
                <w:rFonts w:ascii="Calibri" w:hAnsi="Calibri"/>
                <w:b w:val="0"/>
                <w:i w:val="0"/>
                <w:sz w:val="18"/>
              </w:rPr>
              <w:t>High</w:t>
            </w:r>
          </w:p>
        </w:tc>
        <w:tc>
          <w:tcPr>
            <w:tcW w:type="dxa" w:w="5616"/>
            <w:shd w:val="clear" w:fill="F2F5FB"/>
          </w:tcPr>
          <w:p>
            <w:pPr>
              <w:jc w:val="right"/>
            </w:pPr>
            <w:r>
              <w:rPr>
                <w:rFonts w:ascii="Calibri" w:hAnsi="Calibri"/>
                <w:b w:val="0"/>
                <w:i w:val="0"/>
                <w:sz w:val="18"/>
              </w:rPr>
              <w:t>Domestic competition from L&amp;T, and global BTG suppliers; intense price-based bidding on large tenders compresses margins.</w:t>
            </w:r>
          </w:p>
        </w:tc>
      </w:tr>
      <w:tr>
        <w:tc>
          <w:tcPr>
            <w:tcW w:type="dxa" w:w="2304"/>
          </w:tcPr>
          <w:p>
            <w:pPr>
              <w:jc w:val="left"/>
            </w:pPr>
            <w:r>
              <w:rPr>
                <w:rFonts w:ascii="Calibri" w:hAnsi="Calibri"/>
                <w:b w:val="0"/>
                <w:i w:val="0"/>
                <w:sz w:val="18"/>
              </w:rPr>
              <w:t>Threat of new entrants</w:t>
            </w:r>
          </w:p>
        </w:tc>
        <w:tc>
          <w:tcPr>
            <w:tcW w:type="dxa" w:w="1440"/>
          </w:tcPr>
          <w:p>
            <w:pPr>
              <w:jc w:val="right"/>
            </w:pPr>
            <w:r>
              <w:rPr>
                <w:rFonts w:ascii="Calibri" w:hAnsi="Calibri"/>
                <w:b w:val="0"/>
                <w:i w:val="0"/>
                <w:sz w:val="18"/>
              </w:rPr>
              <w:t>Low–Med</w:t>
            </w:r>
          </w:p>
        </w:tc>
        <w:tc>
          <w:tcPr>
            <w:tcW w:type="dxa" w:w="5616"/>
          </w:tcPr>
          <w:p>
            <w:pPr>
              <w:jc w:val="right"/>
            </w:pPr>
            <w:r>
              <w:rPr>
                <w:rFonts w:ascii="Calibri" w:hAnsi="Calibri"/>
                <w:b w:val="0"/>
                <w:i w:val="0"/>
                <w:sz w:val="18"/>
              </w:rPr>
              <w:t>High capital, technology and reference-list barriers in BTG; but Chinese/Korean OEMs and L&amp;T are credible.</w:t>
            </w:r>
          </w:p>
        </w:tc>
      </w:tr>
      <w:tr>
        <w:tc>
          <w:tcPr>
            <w:tcW w:type="dxa" w:w="2304"/>
            <w:shd w:val="clear" w:fill="F2F5FB"/>
          </w:tcPr>
          <w:p>
            <w:pPr>
              <w:jc w:val="left"/>
            </w:pPr>
            <w:r>
              <w:rPr>
                <w:rFonts w:ascii="Calibri" w:hAnsi="Calibri"/>
                <w:b w:val="0"/>
                <w:i w:val="0"/>
                <w:sz w:val="18"/>
              </w:rPr>
              <w:t>Supplier power</w:t>
            </w:r>
          </w:p>
        </w:tc>
        <w:tc>
          <w:tcPr>
            <w:tcW w:type="dxa" w:w="1440"/>
            <w:shd w:val="clear" w:fill="F2F5FB"/>
          </w:tcPr>
          <w:p>
            <w:pPr>
              <w:jc w:val="right"/>
            </w:pPr>
            <w:r>
              <w:rPr>
                <w:rFonts w:ascii="Calibri" w:hAnsi="Calibri"/>
                <w:b w:val="0"/>
                <w:i w:val="0"/>
                <w:sz w:val="18"/>
              </w:rPr>
              <w:t>Medium</w:t>
            </w:r>
          </w:p>
        </w:tc>
        <w:tc>
          <w:tcPr>
            <w:tcW w:type="dxa" w:w="5616"/>
            <w:shd w:val="clear" w:fill="F2F5FB"/>
          </w:tcPr>
          <w:p>
            <w:pPr>
              <w:jc w:val="right"/>
            </w:pPr>
            <w:r>
              <w:rPr>
                <w:rFonts w:ascii="Calibri" w:hAnsi="Calibri"/>
                <w:b w:val="0"/>
                <w:i w:val="0"/>
                <w:sz w:val="18"/>
              </w:rPr>
              <w:t>Exposure to steel and copper prices; sub-contracting and imported components affect cost and timelines.</w:t>
            </w:r>
          </w:p>
        </w:tc>
      </w:tr>
      <w:tr>
        <w:tc>
          <w:tcPr>
            <w:tcW w:type="dxa" w:w="2304"/>
          </w:tcPr>
          <w:p>
            <w:pPr>
              <w:jc w:val="left"/>
            </w:pPr>
            <w:r>
              <w:rPr>
                <w:rFonts w:ascii="Calibri" w:hAnsi="Calibri"/>
                <w:b w:val="0"/>
                <w:i w:val="0"/>
                <w:sz w:val="18"/>
              </w:rPr>
              <w:t>Buyer power</w:t>
            </w:r>
          </w:p>
        </w:tc>
        <w:tc>
          <w:tcPr>
            <w:tcW w:type="dxa" w:w="1440"/>
          </w:tcPr>
          <w:p>
            <w:pPr>
              <w:jc w:val="right"/>
            </w:pPr>
            <w:r>
              <w:rPr>
                <w:rFonts w:ascii="Calibri" w:hAnsi="Calibri"/>
                <w:b w:val="0"/>
                <w:i w:val="0"/>
                <w:sz w:val="18"/>
              </w:rPr>
              <w:t>High</w:t>
            </w:r>
          </w:p>
        </w:tc>
        <w:tc>
          <w:tcPr>
            <w:tcW w:type="dxa" w:w="5616"/>
          </w:tcPr>
          <w:p>
            <w:pPr>
              <w:jc w:val="right"/>
            </w:pPr>
            <w:r>
              <w:rPr>
                <w:rFonts w:ascii="Calibri" w:hAnsi="Calibri"/>
                <w:b w:val="0"/>
                <w:i w:val="0"/>
                <w:sz w:val="18"/>
              </w:rPr>
              <w:t>Concentrated buyers (NTPC, state gencos, large IPPs) procure via L1 competitive bidding, pressuring pricing.</w:t>
            </w:r>
          </w:p>
        </w:tc>
      </w:tr>
      <w:tr>
        <w:tc>
          <w:tcPr>
            <w:tcW w:type="dxa" w:w="2304"/>
            <w:shd w:val="clear" w:fill="F2F5FB"/>
          </w:tcPr>
          <w:p>
            <w:pPr>
              <w:jc w:val="left"/>
            </w:pPr>
            <w:r>
              <w:rPr>
                <w:rFonts w:ascii="Calibri" w:hAnsi="Calibri"/>
                <w:b w:val="0"/>
                <w:i w:val="0"/>
                <w:sz w:val="18"/>
              </w:rPr>
              <w:t>Threat of substitutes</w:t>
            </w:r>
          </w:p>
        </w:tc>
        <w:tc>
          <w:tcPr>
            <w:tcW w:type="dxa" w:w="1440"/>
            <w:shd w:val="clear" w:fill="F2F5FB"/>
          </w:tcPr>
          <w:p>
            <w:pPr>
              <w:jc w:val="right"/>
            </w:pPr>
            <w:r>
              <w:rPr>
                <w:rFonts w:ascii="Calibri" w:hAnsi="Calibri"/>
                <w:b w:val="0"/>
                <w:i w:val="0"/>
                <w:sz w:val="18"/>
              </w:rPr>
              <w:t>Medium</w:t>
            </w:r>
          </w:p>
        </w:tc>
        <w:tc>
          <w:tcPr>
            <w:tcW w:type="dxa" w:w="5616"/>
            <w:shd w:val="clear" w:fill="F2F5FB"/>
          </w:tcPr>
          <w:p>
            <w:pPr>
              <w:jc w:val="right"/>
            </w:pPr>
            <w:r>
              <w:rPr>
                <w:rFonts w:ascii="Calibri" w:hAnsi="Calibri"/>
                <w:b w:val="0"/>
                <w:i w:val="0"/>
                <w:sz w:val="18"/>
              </w:rPr>
              <w:t>Renewables + storage substitute new thermal at the margin, capping the long-run thermal opportunity.</w:t>
            </w:r>
          </w:p>
        </w:tc>
      </w:tr>
    </w:tbl>
    <w:p>
      <w:pPr>
        <w:spacing w:after="160" w:before="40"/>
      </w:pPr>
      <w:r>
        <w:rPr>
          <w:rFonts w:ascii="Calibri" w:hAnsi="Calibri"/>
          <w:b w:val="0"/>
          <w:i/>
          <w:color w:val="595959"/>
          <w:sz w:val="16"/>
        </w:rPr>
        <w:t>Author’s assessment.</w:t>
      </w:r>
    </w:p>
    <w:p>
      <w:pPr>
        <w:spacing w:after="80" w:before="200"/>
      </w:pPr>
      <w:r>
        <w:rPr>
          <w:rFonts w:ascii="Calibri" w:hAnsi="Calibri"/>
          <w:b/>
          <w:i w:val="0"/>
          <w:color w:val="2E5BA8"/>
          <w:sz w:val="25"/>
        </w:rPr>
        <w:t>Competitive positioning</w:t>
      </w:r>
    </w:p>
    <w:p>
      <w:pPr>
        <w:spacing w:after="120" w:before="0"/>
      </w:pPr>
      <w:r>
        <w:rPr>
          <w:rFonts w:ascii="Calibri" w:hAnsi="Calibri"/>
          <w:b w:val="0"/>
          <w:i w:val="0"/>
          <w:sz w:val="21"/>
        </w:rPr>
        <w:t>BHEL’s competitive moat rests on (i) the largest installed base of power equipment in India, generating sticky aftermarket revenue; (ii) full vertical integration across design, manufacturing and EPC; (iii) indigenous technology and a ~4% of sales R&amp;D spend; and (iv) preferred-supplier status for public-sector capacity. Offsetting these are a public-sector cost structure, a history of working-capital build-up on stalled projects, and margin dilution from aggressive bidding during lean order years.</w:t>
      </w:r>
    </w:p>
    <w:p>
      <w:pPr>
        <w:spacing w:after="80" w:before="200"/>
      </w:pPr>
      <w:r>
        <w:rPr>
          <w:rFonts w:ascii="Calibri" w:hAnsi="Calibri"/>
          <w:b/>
          <w:i w:val="0"/>
          <w:color w:val="2E5BA8"/>
          <w:sz w:val="25"/>
        </w:rPr>
        <w:t>The order pipeline — beyond thermal</w:t>
      </w:r>
    </w:p>
    <w:p>
      <w:pPr>
        <w:spacing w:after="80" w:before="0"/>
      </w:pPr>
      <w:r>
        <w:rPr>
          <w:rFonts w:ascii="Calibri" w:hAnsi="Calibri"/>
          <w:b w:val="0"/>
          <w:i w:val="0"/>
          <w:sz w:val="21"/>
        </w:rPr>
        <w:t>While coal-based BTG remains the swing driver, BHEL’s addressable pipeline has broadened, improving the durability of the order story:</w:t>
      </w:r>
    </w:p>
    <w:p>
      <w:pPr>
        <w:pStyle w:val="ListBullet"/>
        <w:spacing w:after="80"/>
      </w:pPr>
      <w:r>
        <w:rPr>
          <w:rFonts w:ascii="Calibri" w:hAnsi="Calibri"/>
          <w:b/>
          <w:i w:val="0"/>
          <w:color w:val="1F3864"/>
          <w:sz w:val="21"/>
        </w:rPr>
        <w:t xml:space="preserve">Thermal BTG: </w:t>
      </w:r>
      <w:r>
        <w:rPr>
          <w:rFonts w:ascii="Calibri" w:hAnsi="Calibri"/>
          <w:b w:val="0"/>
          <w:i w:val="0"/>
          <w:sz w:val="21"/>
        </w:rPr>
        <w:t xml:space="preserve"> The near-term core. FY2026 power orders of ~₹59,000 cr, supercritical and ultra-supercritical sets, and a visible tender pipeline from NTPC and state generators underpin the next leg of inflow.</w:t>
      </w:r>
    </w:p>
    <w:p>
      <w:pPr>
        <w:pStyle w:val="ListBullet"/>
        <w:spacing w:after="80"/>
      </w:pPr>
      <w:r>
        <w:rPr>
          <w:rFonts w:ascii="Calibri" w:hAnsi="Calibri"/>
          <w:b/>
          <w:i w:val="0"/>
          <w:color w:val="1F3864"/>
          <w:sz w:val="21"/>
        </w:rPr>
        <w:t xml:space="preserve">FGD / emission control: </w:t>
      </w:r>
      <w:r>
        <w:rPr>
          <w:rFonts w:ascii="Calibri" w:hAnsi="Calibri"/>
          <w:b w:val="0"/>
          <w:i w:val="0"/>
          <w:sz w:val="21"/>
        </w:rPr>
        <w:t xml:space="preserve"> Mandated retrofits across the existing coal fleet represent a large, relatively higher-margin and recurring opportunity that is less dependent on new-build economics.</w:t>
      </w:r>
    </w:p>
    <w:p>
      <w:pPr>
        <w:pStyle w:val="ListBullet"/>
        <w:spacing w:after="80"/>
      </w:pPr>
      <w:r>
        <w:rPr>
          <w:rFonts w:ascii="Calibri" w:hAnsi="Calibri"/>
          <w:b/>
          <w:i w:val="0"/>
          <w:color w:val="1F3864"/>
          <w:sz w:val="21"/>
        </w:rPr>
        <w:t xml:space="preserve">Nuclear: </w:t>
      </w:r>
      <w:r>
        <w:rPr>
          <w:rFonts w:ascii="Calibri" w:hAnsi="Calibri"/>
          <w:b w:val="0"/>
          <w:i w:val="0"/>
          <w:sz w:val="21"/>
        </w:rPr>
        <w:t xml:space="preserve"> BHEL is positioned in indigenous reactor equipment as India scales its nuclear blueprint — a multi-decade, high-value optionality that the market is beginning to capitalise.</w:t>
      </w:r>
    </w:p>
    <w:p>
      <w:pPr>
        <w:pStyle w:val="ListBullet"/>
        <w:spacing w:after="80"/>
      </w:pPr>
      <w:r>
        <w:rPr>
          <w:rFonts w:ascii="Calibri" w:hAnsi="Calibri"/>
          <w:b/>
          <w:i w:val="0"/>
          <w:color w:val="1F3864"/>
          <w:sz w:val="21"/>
        </w:rPr>
        <w:t xml:space="preserve">Industry, transport &amp; defence: </w:t>
      </w:r>
      <w:r>
        <w:rPr>
          <w:rFonts w:ascii="Calibri" w:hAnsi="Calibri"/>
          <w:b w:val="0"/>
          <w:i w:val="0"/>
          <w:sz w:val="21"/>
        </w:rPr>
        <w:t xml:space="preserve"> Transformers and switchgear (transmission), electric locomotives and propulsion (railways), and defence indigenisation provide diversification away from the thermal cycle.</w:t>
      </w:r>
    </w:p>
    <w:p>
      <w:pPr>
        <w:pStyle w:val="ListBullet"/>
        <w:spacing w:after="80"/>
      </w:pPr>
      <w:r>
        <w:rPr>
          <w:rFonts w:ascii="Calibri" w:hAnsi="Calibri"/>
          <w:b/>
          <w:i w:val="0"/>
          <w:color w:val="1F3864"/>
          <w:sz w:val="21"/>
        </w:rPr>
        <w:t xml:space="preserve">New energy &amp; exports: </w:t>
      </w:r>
      <w:r>
        <w:rPr>
          <w:rFonts w:ascii="Calibri" w:hAnsi="Calibri"/>
          <w:b w:val="0"/>
          <w:i w:val="0"/>
          <w:sz w:val="21"/>
        </w:rPr>
        <w:t xml:space="preserve"> Solar EPC, green hydrogen, coal gasification (including the ammonium-nitrate JV) and exports are early but give BHEL a credible transition narrative.</w:t>
      </w:r>
    </w:p>
    <w:p>
      <w:pPr>
        <w:spacing w:after="80" w:before="200"/>
      </w:pPr>
      <w:r>
        <w:rPr>
          <w:rFonts w:ascii="Calibri" w:hAnsi="Calibri"/>
          <w:b/>
          <w:i w:val="0"/>
          <w:color w:val="2E5BA8"/>
          <w:sz w:val="25"/>
        </w:rPr>
        <w:t>Peer landscape</w:t>
      </w:r>
    </w:p>
    <w:p>
      <w:pPr>
        <w:spacing w:after="80" w:before="0"/>
      </w:pPr>
      <w:r>
        <w:rPr>
          <w:rFonts w:ascii="Calibri" w:hAnsi="Calibri"/>
          <w:b w:val="0"/>
          <w:i w:val="0"/>
          <w:sz w:val="21"/>
        </w:rPr>
        <w:t>BHEL competes domestically with Larsen &amp; Toubro’s power/heavy-engineering business and, in transmission and industrial equipment, with premium multinationals. The peer set is instructive for valuation because the MNCs operate at structurally higher margins and returns, which justifies their richer multiples — and highlights why BHEL should trade at a discount, not parity.</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fill="1F3864"/>
          </w:tcPr>
          <w:p>
            <w:pPr>
              <w:jc w:val="left"/>
            </w:pPr>
            <w:r>
              <w:rPr>
                <w:rFonts w:ascii="Calibri" w:hAnsi="Calibri"/>
                <w:b/>
                <w:i w:val="0"/>
                <w:color w:val="FFFFFF"/>
                <w:sz w:val="18"/>
              </w:rPr>
              <w:t>Company</w:t>
            </w:r>
          </w:p>
        </w:tc>
        <w:tc>
          <w:tcPr>
            <w:tcW w:type="dxa" w:w="3888"/>
            <w:shd w:val="clear" w:fill="1F3864"/>
          </w:tcPr>
          <w:p>
            <w:pPr>
              <w:jc w:val="center"/>
            </w:pPr>
            <w:r>
              <w:rPr>
                <w:rFonts w:ascii="Calibri" w:hAnsi="Calibri"/>
                <w:b/>
                <w:i w:val="0"/>
                <w:color w:val="FFFFFF"/>
                <w:sz w:val="18"/>
              </w:rPr>
              <w:t>Focus</w:t>
            </w:r>
          </w:p>
        </w:tc>
        <w:tc>
          <w:tcPr>
            <w:tcW w:type="dxa" w:w="2016"/>
            <w:shd w:val="clear" w:fill="1F3864"/>
          </w:tcPr>
          <w:p>
            <w:pPr>
              <w:jc w:val="center"/>
            </w:pPr>
            <w:r>
              <w:rPr>
                <w:rFonts w:ascii="Calibri" w:hAnsi="Calibri"/>
                <w:b/>
                <w:i w:val="0"/>
                <w:color w:val="FFFFFF"/>
                <w:sz w:val="18"/>
              </w:rPr>
              <w:t>Margin profile</w:t>
            </w:r>
          </w:p>
        </w:tc>
      </w:tr>
      <w:tr>
        <w:tc>
          <w:tcPr>
            <w:tcW w:type="dxa" w:w="2448"/>
            <w:shd w:val="clear" w:fill="F2F5FB"/>
          </w:tcPr>
          <w:p>
            <w:pPr>
              <w:jc w:val="left"/>
            </w:pPr>
            <w:r>
              <w:rPr>
                <w:rFonts w:ascii="Calibri" w:hAnsi="Calibri"/>
                <w:b w:val="0"/>
                <w:i w:val="0"/>
                <w:sz w:val="18"/>
              </w:rPr>
              <w:t>Siemens India</w:t>
            </w:r>
          </w:p>
        </w:tc>
        <w:tc>
          <w:tcPr>
            <w:tcW w:type="dxa" w:w="3888"/>
            <w:shd w:val="clear" w:fill="F2F5FB"/>
          </w:tcPr>
          <w:p>
            <w:pPr>
              <w:jc w:val="right"/>
            </w:pPr>
            <w:r>
              <w:rPr>
                <w:rFonts w:ascii="Calibri" w:hAnsi="Calibri"/>
                <w:b w:val="0"/>
                <w:i w:val="0"/>
                <w:sz w:val="18"/>
              </w:rPr>
              <w:t>T&amp;D, industrial automation, mobility</w:t>
            </w:r>
          </w:p>
        </w:tc>
        <w:tc>
          <w:tcPr>
            <w:tcW w:type="dxa" w:w="2016"/>
            <w:shd w:val="clear" w:fill="F2F5FB"/>
          </w:tcPr>
          <w:p>
            <w:pPr>
              <w:jc w:val="right"/>
            </w:pPr>
            <w:r>
              <w:rPr>
                <w:rFonts w:ascii="Calibri" w:hAnsi="Calibri"/>
                <w:b w:val="0"/>
                <w:i w:val="0"/>
                <w:sz w:val="18"/>
              </w:rPr>
              <w:t>High (15%+)</w:t>
            </w:r>
          </w:p>
        </w:tc>
      </w:tr>
      <w:tr>
        <w:tc>
          <w:tcPr>
            <w:tcW w:type="dxa" w:w="2448"/>
          </w:tcPr>
          <w:p>
            <w:pPr>
              <w:jc w:val="left"/>
            </w:pPr>
            <w:r>
              <w:rPr>
                <w:rFonts w:ascii="Calibri" w:hAnsi="Calibri"/>
                <w:b w:val="0"/>
                <w:i w:val="0"/>
                <w:sz w:val="18"/>
              </w:rPr>
              <w:t>ABB India</w:t>
            </w:r>
          </w:p>
        </w:tc>
        <w:tc>
          <w:tcPr>
            <w:tcW w:type="dxa" w:w="3888"/>
          </w:tcPr>
          <w:p>
            <w:pPr>
              <w:jc w:val="right"/>
            </w:pPr>
            <w:r>
              <w:rPr>
                <w:rFonts w:ascii="Calibri" w:hAnsi="Calibri"/>
                <w:b w:val="0"/>
                <w:i w:val="0"/>
                <w:sz w:val="18"/>
              </w:rPr>
              <w:t>Electrification, motion, automation</w:t>
            </w:r>
          </w:p>
        </w:tc>
        <w:tc>
          <w:tcPr>
            <w:tcW w:type="dxa" w:w="2016"/>
          </w:tcPr>
          <w:p>
            <w:pPr>
              <w:jc w:val="right"/>
            </w:pPr>
            <w:r>
              <w:rPr>
                <w:rFonts w:ascii="Calibri" w:hAnsi="Calibri"/>
                <w:b w:val="0"/>
                <w:i w:val="0"/>
                <w:sz w:val="18"/>
              </w:rPr>
              <w:t>High (15%+)</w:t>
            </w:r>
          </w:p>
        </w:tc>
      </w:tr>
      <w:tr>
        <w:tc>
          <w:tcPr>
            <w:tcW w:type="dxa" w:w="2448"/>
            <w:shd w:val="clear" w:fill="F2F5FB"/>
          </w:tcPr>
          <w:p>
            <w:pPr>
              <w:jc w:val="left"/>
            </w:pPr>
            <w:r>
              <w:rPr>
                <w:rFonts w:ascii="Calibri" w:hAnsi="Calibri"/>
                <w:b w:val="0"/>
                <w:i w:val="0"/>
                <w:sz w:val="18"/>
              </w:rPr>
              <w:t>GE Vernova T&amp;D India</w:t>
            </w:r>
          </w:p>
        </w:tc>
        <w:tc>
          <w:tcPr>
            <w:tcW w:type="dxa" w:w="3888"/>
            <w:shd w:val="clear" w:fill="F2F5FB"/>
          </w:tcPr>
          <w:p>
            <w:pPr>
              <w:jc w:val="right"/>
            </w:pPr>
            <w:r>
              <w:rPr>
                <w:rFonts w:ascii="Calibri" w:hAnsi="Calibri"/>
                <w:b w:val="0"/>
                <w:i w:val="0"/>
                <w:sz w:val="18"/>
              </w:rPr>
              <w:t>Grid / transmission equipment</w:t>
            </w:r>
          </w:p>
        </w:tc>
        <w:tc>
          <w:tcPr>
            <w:tcW w:type="dxa" w:w="2016"/>
            <w:shd w:val="clear" w:fill="F2F5FB"/>
          </w:tcPr>
          <w:p>
            <w:pPr>
              <w:jc w:val="right"/>
            </w:pPr>
            <w:r>
              <w:rPr>
                <w:rFonts w:ascii="Calibri" w:hAnsi="Calibri"/>
                <w:b w:val="0"/>
                <w:i w:val="0"/>
                <w:sz w:val="18"/>
              </w:rPr>
              <w:t>High</w:t>
            </w:r>
          </w:p>
        </w:tc>
      </w:tr>
      <w:tr>
        <w:tc>
          <w:tcPr>
            <w:tcW w:type="dxa" w:w="2448"/>
          </w:tcPr>
          <w:p>
            <w:pPr>
              <w:jc w:val="left"/>
            </w:pPr>
            <w:r>
              <w:rPr>
                <w:rFonts w:ascii="Calibri" w:hAnsi="Calibri"/>
                <w:b w:val="0"/>
                <w:i w:val="0"/>
                <w:sz w:val="18"/>
              </w:rPr>
              <w:t>CG Power &amp; Industrial</w:t>
            </w:r>
          </w:p>
        </w:tc>
        <w:tc>
          <w:tcPr>
            <w:tcW w:type="dxa" w:w="3888"/>
          </w:tcPr>
          <w:p>
            <w:pPr>
              <w:jc w:val="right"/>
            </w:pPr>
            <w:r>
              <w:rPr>
                <w:rFonts w:ascii="Calibri" w:hAnsi="Calibri"/>
                <w:b w:val="0"/>
                <w:i w:val="0"/>
                <w:sz w:val="18"/>
              </w:rPr>
              <w:t>Power systems, industrial, rail</w:t>
            </w:r>
          </w:p>
        </w:tc>
        <w:tc>
          <w:tcPr>
            <w:tcW w:type="dxa" w:w="2016"/>
          </w:tcPr>
          <w:p>
            <w:pPr>
              <w:jc w:val="right"/>
            </w:pPr>
            <w:r>
              <w:rPr>
                <w:rFonts w:ascii="Calibri" w:hAnsi="Calibri"/>
                <w:b w:val="0"/>
                <w:i w:val="0"/>
                <w:sz w:val="18"/>
              </w:rPr>
              <w:t>Improving</w:t>
            </w:r>
          </w:p>
        </w:tc>
      </w:tr>
      <w:tr>
        <w:tc>
          <w:tcPr>
            <w:tcW w:type="dxa" w:w="2448"/>
            <w:shd w:val="clear" w:fill="F2F5FB"/>
          </w:tcPr>
          <w:p>
            <w:pPr>
              <w:jc w:val="left"/>
            </w:pPr>
            <w:r>
              <w:rPr>
                <w:rFonts w:ascii="Calibri" w:hAnsi="Calibri"/>
                <w:b w:val="0"/>
                <w:i w:val="0"/>
                <w:sz w:val="18"/>
              </w:rPr>
              <w:t>Thermax</w:t>
            </w:r>
          </w:p>
        </w:tc>
        <w:tc>
          <w:tcPr>
            <w:tcW w:type="dxa" w:w="3888"/>
            <w:shd w:val="clear" w:fill="F2F5FB"/>
          </w:tcPr>
          <w:p>
            <w:pPr>
              <w:jc w:val="right"/>
            </w:pPr>
            <w:r>
              <w:rPr>
                <w:rFonts w:ascii="Calibri" w:hAnsi="Calibri"/>
                <w:b w:val="0"/>
                <w:i w:val="0"/>
                <w:sz w:val="18"/>
              </w:rPr>
              <w:t>Energy &amp; environment, boilers</w:t>
            </w:r>
          </w:p>
        </w:tc>
        <w:tc>
          <w:tcPr>
            <w:tcW w:type="dxa" w:w="2016"/>
            <w:shd w:val="clear" w:fill="F2F5FB"/>
          </w:tcPr>
          <w:p>
            <w:pPr>
              <w:jc w:val="right"/>
            </w:pPr>
            <w:r>
              <w:rPr>
                <w:rFonts w:ascii="Calibri" w:hAnsi="Calibri"/>
                <w:b w:val="0"/>
                <w:i w:val="0"/>
                <w:sz w:val="18"/>
              </w:rPr>
              <w:t>Mid</w:t>
            </w:r>
          </w:p>
        </w:tc>
      </w:tr>
      <w:tr>
        <w:tc>
          <w:tcPr>
            <w:tcW w:type="dxa" w:w="2448"/>
          </w:tcPr>
          <w:p>
            <w:pPr>
              <w:jc w:val="left"/>
            </w:pPr>
            <w:r>
              <w:rPr>
                <w:rFonts w:ascii="Calibri" w:hAnsi="Calibri"/>
                <w:b w:val="0"/>
                <w:i w:val="0"/>
                <w:sz w:val="18"/>
              </w:rPr>
              <w:t>Triveni Turbine</w:t>
            </w:r>
          </w:p>
        </w:tc>
        <w:tc>
          <w:tcPr>
            <w:tcW w:type="dxa" w:w="3888"/>
          </w:tcPr>
          <w:p>
            <w:pPr>
              <w:jc w:val="right"/>
            </w:pPr>
            <w:r>
              <w:rPr>
                <w:rFonts w:ascii="Calibri" w:hAnsi="Calibri"/>
                <w:b w:val="0"/>
                <w:i w:val="0"/>
                <w:sz w:val="18"/>
              </w:rPr>
              <w:t>Industrial steam turbines</w:t>
            </w:r>
          </w:p>
        </w:tc>
        <w:tc>
          <w:tcPr>
            <w:tcW w:type="dxa" w:w="2016"/>
          </w:tcPr>
          <w:p>
            <w:pPr>
              <w:jc w:val="right"/>
            </w:pPr>
            <w:r>
              <w:rPr>
                <w:rFonts w:ascii="Calibri" w:hAnsi="Calibri"/>
                <w:b w:val="0"/>
                <w:i w:val="0"/>
                <w:sz w:val="18"/>
              </w:rPr>
              <w:t>High</w:t>
            </w:r>
          </w:p>
        </w:tc>
      </w:tr>
      <w:tr>
        <w:tc>
          <w:tcPr>
            <w:tcW w:type="dxa" w:w="2448"/>
            <w:shd w:val="clear" w:fill="F2F5FB"/>
          </w:tcPr>
          <w:p>
            <w:pPr>
              <w:jc w:val="left"/>
            </w:pPr>
            <w:r>
              <w:rPr>
                <w:rFonts w:ascii="Calibri" w:hAnsi="Calibri"/>
                <w:b w:val="0"/>
                <w:i w:val="0"/>
                <w:sz w:val="18"/>
              </w:rPr>
              <w:t>Larsen &amp; Toubro</w:t>
            </w:r>
          </w:p>
        </w:tc>
        <w:tc>
          <w:tcPr>
            <w:tcW w:type="dxa" w:w="3888"/>
            <w:shd w:val="clear" w:fill="F2F5FB"/>
          </w:tcPr>
          <w:p>
            <w:pPr>
              <w:jc w:val="right"/>
            </w:pPr>
            <w:r>
              <w:rPr>
                <w:rFonts w:ascii="Calibri" w:hAnsi="Calibri"/>
                <w:b w:val="0"/>
                <w:i w:val="0"/>
                <w:sz w:val="18"/>
              </w:rPr>
              <w:t>EPC, power, heavy engineering</w:t>
            </w:r>
          </w:p>
        </w:tc>
        <w:tc>
          <w:tcPr>
            <w:tcW w:type="dxa" w:w="2016"/>
            <w:shd w:val="clear" w:fill="F2F5FB"/>
          </w:tcPr>
          <w:p>
            <w:pPr>
              <w:jc w:val="right"/>
            </w:pPr>
            <w:r>
              <w:rPr>
                <w:rFonts w:ascii="Calibri" w:hAnsi="Calibri"/>
                <w:b w:val="0"/>
                <w:i w:val="0"/>
                <w:sz w:val="18"/>
              </w:rPr>
              <w:t>Mid (blended)</w:t>
            </w:r>
          </w:p>
        </w:tc>
      </w:tr>
      <w:tr>
        <w:tc>
          <w:tcPr>
            <w:tcW w:type="dxa" w:w="2448"/>
          </w:tcPr>
          <w:p>
            <w:pPr>
              <w:jc w:val="left"/>
            </w:pPr>
            <w:r>
              <w:rPr>
                <w:rFonts w:ascii="Calibri" w:hAnsi="Calibri"/>
                <w:b w:val="0"/>
                <w:i w:val="0"/>
                <w:sz w:val="18"/>
              </w:rPr>
              <w:t>BHEL</w:t>
            </w:r>
          </w:p>
        </w:tc>
        <w:tc>
          <w:tcPr>
            <w:tcW w:type="dxa" w:w="3888"/>
          </w:tcPr>
          <w:p>
            <w:pPr>
              <w:jc w:val="right"/>
            </w:pPr>
            <w:r>
              <w:rPr>
                <w:rFonts w:ascii="Calibri" w:hAnsi="Calibri"/>
                <w:b w:val="0"/>
                <w:i w:val="0"/>
                <w:sz w:val="18"/>
              </w:rPr>
              <w:t>Power BTG, industrial, EPC</w:t>
            </w:r>
          </w:p>
        </w:tc>
        <w:tc>
          <w:tcPr>
            <w:tcW w:type="dxa" w:w="2016"/>
          </w:tcPr>
          <w:p>
            <w:pPr>
              <w:jc w:val="right"/>
            </w:pPr>
            <w:r>
              <w:rPr>
                <w:rFonts w:ascii="Calibri" w:hAnsi="Calibri"/>
                <w:b w:val="0"/>
                <w:i w:val="0"/>
                <w:sz w:val="18"/>
              </w:rPr>
              <w:t>Low–recovering (~7%)</w:t>
            </w:r>
          </w:p>
        </w:tc>
      </w:tr>
    </w:tbl>
    <w:p>
      <w:pPr>
        <w:spacing w:after="160" w:before="40"/>
      </w:pPr>
      <w:r>
        <w:rPr>
          <w:rFonts w:ascii="Calibri" w:hAnsi="Calibri"/>
          <w:b w:val="0"/>
          <w:i/>
          <w:color w:val="595959"/>
          <w:sz w:val="16"/>
        </w:rPr>
        <w:t>Author’s assessment of competitive landscape.</w:t>
      </w:r>
    </w:p>
    <w:p>
      <w:r>
        <w:br w:type="page"/>
      </w:r>
    </w:p>
    <w:p>
      <w:pPr>
        <w:spacing w:after="160" w:before="40"/>
        <w:pBdr>
          <w:bottom w:val="single" w:sz="12" w:space="4" w:color="1F3864"/>
        </w:pBdr>
      </w:pPr>
      <w:r>
        <w:rPr>
          <w:rFonts w:ascii="Calibri" w:hAnsi="Calibri"/>
          <w:b/>
          <w:i w:val="0"/>
          <w:color w:val="1F3864"/>
          <w:sz w:val="32"/>
        </w:rPr>
        <w:t>4.  Historical Financial Analysis (FY2020–FY2026)</w:t>
      </w:r>
    </w:p>
    <w:p>
      <w:pPr>
        <w:spacing w:after="120" w:before="0"/>
      </w:pPr>
      <w:r>
        <w:rPr>
          <w:rFonts w:ascii="Calibri" w:hAnsi="Calibri"/>
          <w:b w:val="0"/>
          <w:i w:val="0"/>
          <w:sz w:val="21"/>
        </w:rPr>
        <w:t>BHEL’s recent history divides cleanly into a downturn (FY2020–FY2022), when weak ordering and stalled projects drove revenue to ₹17,309 cr and the company into losses (FY2021 PAT of −₹2,699 cr), and a recovery (FY2023–FY2026) as the thermal cycle turned. Revenue rebounded to ₹33,782 cr in FY2026 with PAT of ₹1,600 cr — the highest in years.</w:t>
      </w:r>
    </w:p>
    <w:p>
      <w:pPr>
        <w:spacing w:after="80" w:before="200"/>
      </w:pPr>
      <w:r>
        <w:rPr>
          <w:rFonts w:ascii="Calibri" w:hAnsi="Calibri"/>
          <w:b/>
          <w:i w:val="0"/>
          <w:color w:val="2E5BA8"/>
          <w:sz w:val="25"/>
        </w:rPr>
        <w:t>Revenue, profitability and returns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296"/>
            <w:shd w:val="clear" w:fill="1F3864"/>
          </w:tcPr>
          <w:p>
            <w:pPr>
              <w:jc w:val="left"/>
            </w:pPr>
            <w:r>
              <w:rPr>
                <w:rFonts w:ascii="Calibri" w:hAnsi="Calibri"/>
                <w:b/>
                <w:i w:val="0"/>
                <w:color w:val="FFFFFF"/>
                <w:sz w:val="18"/>
              </w:rPr>
              <w:t>Year</w:t>
            </w:r>
          </w:p>
        </w:tc>
        <w:tc>
          <w:tcPr>
            <w:tcW w:type="dxa" w:w="1584"/>
            <w:shd w:val="clear" w:fill="1F3864"/>
          </w:tcPr>
          <w:p>
            <w:pPr>
              <w:jc w:val="center"/>
            </w:pPr>
            <w:r>
              <w:rPr>
                <w:rFonts w:ascii="Calibri" w:hAnsi="Calibri"/>
                <w:b/>
                <w:i w:val="0"/>
                <w:color w:val="FFFFFF"/>
                <w:sz w:val="18"/>
              </w:rPr>
              <w:t>Revenue</w:t>
            </w:r>
          </w:p>
        </w:tc>
        <w:tc>
          <w:tcPr>
            <w:tcW w:type="dxa" w:w="1440"/>
            <w:shd w:val="clear" w:fill="1F3864"/>
          </w:tcPr>
          <w:p>
            <w:pPr>
              <w:jc w:val="center"/>
            </w:pPr>
            <w:r>
              <w:rPr>
                <w:rFonts w:ascii="Calibri" w:hAnsi="Calibri"/>
                <w:b/>
                <w:i w:val="0"/>
                <w:color w:val="FFFFFF"/>
                <w:sz w:val="18"/>
              </w:rPr>
              <w:t>EBITDA</w:t>
            </w:r>
          </w:p>
        </w:tc>
        <w:tc>
          <w:tcPr>
            <w:tcW w:type="dxa" w:w="1368"/>
            <w:shd w:val="clear" w:fill="1F3864"/>
          </w:tcPr>
          <w:p>
            <w:pPr>
              <w:jc w:val="center"/>
            </w:pPr>
            <w:r>
              <w:rPr>
                <w:rFonts w:ascii="Calibri" w:hAnsi="Calibri"/>
                <w:b/>
                <w:i w:val="0"/>
                <w:color w:val="FFFFFF"/>
                <w:sz w:val="18"/>
              </w:rPr>
              <w:t>EBITDA %</w:t>
            </w:r>
          </w:p>
        </w:tc>
        <w:tc>
          <w:tcPr>
            <w:tcW w:type="dxa" w:w="1440"/>
            <w:shd w:val="clear" w:fill="1F3864"/>
          </w:tcPr>
          <w:p>
            <w:pPr>
              <w:jc w:val="center"/>
            </w:pPr>
            <w:r>
              <w:rPr>
                <w:rFonts w:ascii="Calibri" w:hAnsi="Calibri"/>
                <w:b/>
                <w:i w:val="0"/>
                <w:color w:val="FFFFFF"/>
                <w:sz w:val="18"/>
              </w:rPr>
              <w:t>PAT</w:t>
            </w:r>
          </w:p>
        </w:tc>
        <w:tc>
          <w:tcPr>
            <w:tcW w:type="dxa" w:w="1152"/>
            <w:shd w:val="clear" w:fill="1F3864"/>
          </w:tcPr>
          <w:p>
            <w:pPr>
              <w:jc w:val="center"/>
            </w:pPr>
            <w:r>
              <w:rPr>
                <w:rFonts w:ascii="Calibri" w:hAnsi="Calibri"/>
                <w:b/>
                <w:i w:val="0"/>
                <w:color w:val="FFFFFF"/>
                <w:sz w:val="18"/>
              </w:rPr>
              <w:t>ROE %</w:t>
            </w:r>
          </w:p>
        </w:tc>
        <w:tc>
          <w:tcPr>
            <w:tcW w:type="dxa" w:w="1152"/>
            <w:shd w:val="clear" w:fill="1F3864"/>
          </w:tcPr>
          <w:p>
            <w:pPr>
              <w:jc w:val="center"/>
            </w:pPr>
            <w:r>
              <w:rPr>
                <w:rFonts w:ascii="Calibri" w:hAnsi="Calibri"/>
                <w:b/>
                <w:i w:val="0"/>
                <w:color w:val="FFFFFF"/>
                <w:sz w:val="18"/>
              </w:rPr>
              <w:t>ROCE %</w:t>
            </w:r>
          </w:p>
        </w:tc>
      </w:tr>
      <w:tr>
        <w:tc>
          <w:tcPr>
            <w:tcW w:type="dxa" w:w="1296"/>
            <w:shd w:val="clear" w:fill="F2F5FB"/>
          </w:tcPr>
          <w:p>
            <w:pPr>
              <w:jc w:val="left"/>
            </w:pPr>
            <w:r>
              <w:rPr>
                <w:rFonts w:ascii="Calibri" w:hAnsi="Calibri"/>
                <w:b w:val="0"/>
                <w:i w:val="0"/>
                <w:sz w:val="18"/>
              </w:rPr>
              <w:t>FY20</w:t>
            </w:r>
          </w:p>
        </w:tc>
        <w:tc>
          <w:tcPr>
            <w:tcW w:type="dxa" w:w="1584"/>
            <w:shd w:val="clear" w:fill="F2F5FB"/>
          </w:tcPr>
          <w:p>
            <w:pPr>
              <w:jc w:val="right"/>
            </w:pPr>
            <w:r>
              <w:rPr>
                <w:rFonts w:ascii="Calibri" w:hAnsi="Calibri"/>
                <w:b w:val="0"/>
                <w:i w:val="0"/>
                <w:sz w:val="18"/>
              </w:rPr>
              <w:t>21,463</w:t>
            </w:r>
          </w:p>
        </w:tc>
        <w:tc>
          <w:tcPr>
            <w:tcW w:type="dxa" w:w="1440"/>
            <w:shd w:val="clear" w:fill="F2F5FB"/>
          </w:tcPr>
          <w:p>
            <w:pPr>
              <w:jc w:val="right"/>
            </w:pPr>
            <w:r>
              <w:rPr>
                <w:rFonts w:ascii="Calibri" w:hAnsi="Calibri"/>
                <w:b w:val="0"/>
                <w:i w:val="0"/>
                <w:sz w:val="18"/>
              </w:rPr>
              <w:t>-133</w:t>
            </w:r>
          </w:p>
        </w:tc>
        <w:tc>
          <w:tcPr>
            <w:tcW w:type="dxa" w:w="1368"/>
            <w:shd w:val="clear" w:fill="F2F5FB"/>
          </w:tcPr>
          <w:p>
            <w:pPr>
              <w:jc w:val="right"/>
            </w:pPr>
            <w:r>
              <w:rPr>
                <w:rFonts w:ascii="Calibri" w:hAnsi="Calibri"/>
                <w:b w:val="0"/>
                <w:i w:val="0"/>
                <w:sz w:val="18"/>
              </w:rPr>
              <w:t>-0.6%</w:t>
            </w:r>
          </w:p>
        </w:tc>
        <w:tc>
          <w:tcPr>
            <w:tcW w:type="dxa" w:w="1440"/>
            <w:shd w:val="clear" w:fill="F2F5FB"/>
          </w:tcPr>
          <w:p>
            <w:pPr>
              <w:jc w:val="right"/>
            </w:pPr>
            <w:r>
              <w:rPr>
                <w:rFonts w:ascii="Calibri" w:hAnsi="Calibri"/>
                <w:b w:val="0"/>
                <w:i w:val="0"/>
                <w:sz w:val="18"/>
              </w:rPr>
              <w:t>-1,468</w:t>
            </w:r>
          </w:p>
        </w:tc>
        <w:tc>
          <w:tcPr>
            <w:tcW w:type="dxa" w:w="1152"/>
            <w:shd w:val="clear" w:fill="F2F5FB"/>
          </w:tcPr>
          <w:p>
            <w:pPr>
              <w:jc w:val="right"/>
            </w:pPr>
            <w:r>
              <w:rPr>
                <w:rFonts w:ascii="Calibri" w:hAnsi="Calibri"/>
                <w:b w:val="0"/>
                <w:i w:val="0"/>
                <w:sz w:val="18"/>
              </w:rPr>
              <w:t>0%</w:t>
            </w:r>
          </w:p>
        </w:tc>
        <w:tc>
          <w:tcPr>
            <w:tcW w:type="dxa" w:w="1152"/>
            <w:shd w:val="clear" w:fill="F2F5FB"/>
          </w:tcPr>
          <w:p>
            <w:pPr>
              <w:jc w:val="right"/>
            </w:pPr>
            <w:r>
              <w:rPr>
                <w:rFonts w:ascii="Calibri" w:hAnsi="Calibri"/>
                <w:b w:val="0"/>
                <w:i w:val="0"/>
                <w:sz w:val="18"/>
              </w:rPr>
              <w:t>-2%</w:t>
            </w:r>
          </w:p>
        </w:tc>
      </w:tr>
      <w:tr>
        <w:tc>
          <w:tcPr>
            <w:tcW w:type="dxa" w:w="1296"/>
          </w:tcPr>
          <w:p>
            <w:pPr>
              <w:jc w:val="left"/>
            </w:pPr>
            <w:r>
              <w:rPr>
                <w:rFonts w:ascii="Calibri" w:hAnsi="Calibri"/>
                <w:b w:val="0"/>
                <w:i w:val="0"/>
                <w:sz w:val="18"/>
              </w:rPr>
              <w:t>FY21</w:t>
            </w:r>
          </w:p>
        </w:tc>
        <w:tc>
          <w:tcPr>
            <w:tcW w:type="dxa" w:w="1584"/>
          </w:tcPr>
          <w:p>
            <w:pPr>
              <w:jc w:val="right"/>
            </w:pPr>
            <w:r>
              <w:rPr>
                <w:rFonts w:ascii="Calibri" w:hAnsi="Calibri"/>
                <w:b w:val="0"/>
                <w:i w:val="0"/>
                <w:sz w:val="18"/>
              </w:rPr>
              <w:t>17,309</w:t>
            </w:r>
          </w:p>
        </w:tc>
        <w:tc>
          <w:tcPr>
            <w:tcW w:type="dxa" w:w="1440"/>
          </w:tcPr>
          <w:p>
            <w:pPr>
              <w:jc w:val="right"/>
            </w:pPr>
            <w:r>
              <w:rPr>
                <w:rFonts w:ascii="Calibri" w:hAnsi="Calibri"/>
                <w:b w:val="0"/>
                <w:i w:val="0"/>
                <w:sz w:val="18"/>
              </w:rPr>
              <w:t>-3,048</w:t>
            </w:r>
          </w:p>
        </w:tc>
        <w:tc>
          <w:tcPr>
            <w:tcW w:type="dxa" w:w="1368"/>
          </w:tcPr>
          <w:p>
            <w:pPr>
              <w:jc w:val="right"/>
            </w:pPr>
            <w:r>
              <w:rPr>
                <w:rFonts w:ascii="Calibri" w:hAnsi="Calibri"/>
                <w:b w:val="0"/>
                <w:i w:val="0"/>
                <w:sz w:val="18"/>
              </w:rPr>
              <w:t>-17.6%</w:t>
            </w:r>
          </w:p>
        </w:tc>
        <w:tc>
          <w:tcPr>
            <w:tcW w:type="dxa" w:w="1440"/>
          </w:tcPr>
          <w:p>
            <w:pPr>
              <w:jc w:val="right"/>
            </w:pPr>
            <w:r>
              <w:rPr>
                <w:rFonts w:ascii="Calibri" w:hAnsi="Calibri"/>
                <w:b w:val="0"/>
                <w:i w:val="0"/>
                <w:sz w:val="18"/>
              </w:rPr>
              <w:t>-2,699</w:t>
            </w:r>
          </w:p>
        </w:tc>
        <w:tc>
          <w:tcPr>
            <w:tcW w:type="dxa" w:w="1152"/>
          </w:tcPr>
          <w:p>
            <w:pPr>
              <w:jc w:val="right"/>
            </w:pPr>
            <w:r>
              <w:rPr>
                <w:rFonts w:ascii="Calibri" w:hAnsi="Calibri"/>
                <w:b w:val="0"/>
                <w:i w:val="0"/>
                <w:sz w:val="18"/>
              </w:rPr>
              <w:t>-10%</w:t>
            </w:r>
          </w:p>
        </w:tc>
        <w:tc>
          <w:tcPr>
            <w:tcW w:type="dxa" w:w="1152"/>
          </w:tcPr>
          <w:p>
            <w:pPr>
              <w:jc w:val="right"/>
            </w:pPr>
            <w:r>
              <w:rPr>
                <w:rFonts w:ascii="Calibri" w:hAnsi="Calibri"/>
                <w:b w:val="0"/>
                <w:i w:val="0"/>
                <w:sz w:val="18"/>
              </w:rPr>
              <w:t>-11%</w:t>
            </w:r>
          </w:p>
        </w:tc>
      </w:tr>
      <w:tr>
        <w:tc>
          <w:tcPr>
            <w:tcW w:type="dxa" w:w="1296"/>
            <w:shd w:val="clear" w:fill="F2F5FB"/>
          </w:tcPr>
          <w:p>
            <w:pPr>
              <w:jc w:val="left"/>
            </w:pPr>
            <w:r>
              <w:rPr>
                <w:rFonts w:ascii="Calibri" w:hAnsi="Calibri"/>
                <w:b w:val="0"/>
                <w:i w:val="0"/>
                <w:sz w:val="18"/>
              </w:rPr>
              <w:t>FY22</w:t>
            </w:r>
          </w:p>
        </w:tc>
        <w:tc>
          <w:tcPr>
            <w:tcW w:type="dxa" w:w="1584"/>
            <w:shd w:val="clear" w:fill="F2F5FB"/>
          </w:tcPr>
          <w:p>
            <w:pPr>
              <w:jc w:val="right"/>
            </w:pPr>
            <w:r>
              <w:rPr>
                <w:rFonts w:ascii="Calibri" w:hAnsi="Calibri"/>
                <w:b w:val="0"/>
                <w:i w:val="0"/>
                <w:sz w:val="18"/>
              </w:rPr>
              <w:t>21,211</w:t>
            </w:r>
          </w:p>
        </w:tc>
        <w:tc>
          <w:tcPr>
            <w:tcW w:type="dxa" w:w="1440"/>
            <w:shd w:val="clear" w:fill="F2F5FB"/>
          </w:tcPr>
          <w:p>
            <w:pPr>
              <w:jc w:val="right"/>
            </w:pPr>
            <w:r>
              <w:rPr>
                <w:rFonts w:ascii="Calibri" w:hAnsi="Calibri"/>
                <w:b w:val="0"/>
                <w:i w:val="0"/>
                <w:sz w:val="18"/>
              </w:rPr>
              <w:t>828</w:t>
            </w:r>
          </w:p>
        </w:tc>
        <w:tc>
          <w:tcPr>
            <w:tcW w:type="dxa" w:w="1368"/>
            <w:shd w:val="clear" w:fill="F2F5FB"/>
          </w:tcPr>
          <w:p>
            <w:pPr>
              <w:jc w:val="right"/>
            </w:pPr>
            <w:r>
              <w:rPr>
                <w:rFonts w:ascii="Calibri" w:hAnsi="Calibri"/>
                <w:b w:val="0"/>
                <w:i w:val="0"/>
                <w:sz w:val="18"/>
              </w:rPr>
              <w:t>3.9%</w:t>
            </w:r>
          </w:p>
        </w:tc>
        <w:tc>
          <w:tcPr>
            <w:tcW w:type="dxa" w:w="1440"/>
            <w:shd w:val="clear" w:fill="F2F5FB"/>
          </w:tcPr>
          <w:p>
            <w:pPr>
              <w:jc w:val="right"/>
            </w:pPr>
            <w:r>
              <w:rPr>
                <w:rFonts w:ascii="Calibri" w:hAnsi="Calibri"/>
                <w:b w:val="0"/>
                <w:i w:val="0"/>
                <w:sz w:val="18"/>
              </w:rPr>
              <w:t>446</w:t>
            </w:r>
          </w:p>
        </w:tc>
        <w:tc>
          <w:tcPr>
            <w:tcW w:type="dxa" w:w="1152"/>
            <w:shd w:val="clear" w:fill="F2F5FB"/>
          </w:tcPr>
          <w:p>
            <w:pPr>
              <w:jc w:val="right"/>
            </w:pPr>
            <w:r>
              <w:rPr>
                <w:rFonts w:ascii="Calibri" w:hAnsi="Calibri"/>
                <w:b w:val="0"/>
                <w:i w:val="0"/>
                <w:sz w:val="18"/>
              </w:rPr>
              <w:t>2%</w:t>
            </w:r>
          </w:p>
        </w:tc>
        <w:tc>
          <w:tcPr>
            <w:tcW w:type="dxa" w:w="1152"/>
            <w:shd w:val="clear" w:fill="F2F5FB"/>
          </w:tcPr>
          <w:p>
            <w:pPr>
              <w:jc w:val="right"/>
            </w:pPr>
            <w:r>
              <w:rPr>
                <w:rFonts w:ascii="Calibri" w:hAnsi="Calibri"/>
                <w:b w:val="0"/>
                <w:i w:val="0"/>
                <w:sz w:val="18"/>
              </w:rPr>
              <w:t>2%</w:t>
            </w:r>
          </w:p>
        </w:tc>
      </w:tr>
      <w:tr>
        <w:tc>
          <w:tcPr>
            <w:tcW w:type="dxa" w:w="1296"/>
          </w:tcPr>
          <w:p>
            <w:pPr>
              <w:jc w:val="left"/>
            </w:pPr>
            <w:r>
              <w:rPr>
                <w:rFonts w:ascii="Calibri" w:hAnsi="Calibri"/>
                <w:b w:val="0"/>
                <w:i w:val="0"/>
                <w:sz w:val="18"/>
              </w:rPr>
              <w:t>FY23</w:t>
            </w:r>
          </w:p>
        </w:tc>
        <w:tc>
          <w:tcPr>
            <w:tcW w:type="dxa" w:w="1584"/>
          </w:tcPr>
          <w:p>
            <w:pPr>
              <w:jc w:val="right"/>
            </w:pPr>
            <w:r>
              <w:rPr>
                <w:rFonts w:ascii="Calibri" w:hAnsi="Calibri"/>
                <w:b w:val="0"/>
                <w:i w:val="0"/>
                <w:sz w:val="18"/>
              </w:rPr>
              <w:t>23,365</w:t>
            </w:r>
          </w:p>
        </w:tc>
        <w:tc>
          <w:tcPr>
            <w:tcW w:type="dxa" w:w="1440"/>
          </w:tcPr>
          <w:p>
            <w:pPr>
              <w:jc w:val="right"/>
            </w:pPr>
            <w:r>
              <w:rPr>
                <w:rFonts w:ascii="Calibri" w:hAnsi="Calibri"/>
                <w:b w:val="0"/>
                <w:i w:val="0"/>
                <w:sz w:val="18"/>
              </w:rPr>
              <w:t>1,044</w:t>
            </w:r>
          </w:p>
        </w:tc>
        <w:tc>
          <w:tcPr>
            <w:tcW w:type="dxa" w:w="1368"/>
          </w:tcPr>
          <w:p>
            <w:pPr>
              <w:jc w:val="right"/>
            </w:pPr>
            <w:r>
              <w:rPr>
                <w:rFonts w:ascii="Calibri" w:hAnsi="Calibri"/>
                <w:b w:val="0"/>
                <w:i w:val="0"/>
                <w:sz w:val="18"/>
              </w:rPr>
              <w:t>4.5%</w:t>
            </w:r>
          </w:p>
        </w:tc>
        <w:tc>
          <w:tcPr>
            <w:tcW w:type="dxa" w:w="1440"/>
          </w:tcPr>
          <w:p>
            <w:pPr>
              <w:jc w:val="right"/>
            </w:pPr>
            <w:r>
              <w:rPr>
                <w:rFonts w:ascii="Calibri" w:hAnsi="Calibri"/>
                <w:b w:val="0"/>
                <w:i w:val="0"/>
                <w:sz w:val="18"/>
              </w:rPr>
              <w:t>654</w:t>
            </w:r>
          </w:p>
        </w:tc>
        <w:tc>
          <w:tcPr>
            <w:tcW w:type="dxa" w:w="1152"/>
          </w:tcPr>
          <w:p>
            <w:pPr>
              <w:jc w:val="right"/>
            </w:pPr>
            <w:r>
              <w:rPr>
                <w:rFonts w:ascii="Calibri" w:hAnsi="Calibri"/>
                <w:b w:val="0"/>
                <w:i w:val="0"/>
                <w:sz w:val="18"/>
              </w:rPr>
              <w:t>2%</w:t>
            </w:r>
          </w:p>
        </w:tc>
        <w:tc>
          <w:tcPr>
            <w:tcW w:type="dxa" w:w="1152"/>
          </w:tcPr>
          <w:p>
            <w:pPr>
              <w:jc w:val="right"/>
            </w:pPr>
            <w:r>
              <w:rPr>
                <w:rFonts w:ascii="Calibri" w:hAnsi="Calibri"/>
                <w:b w:val="0"/>
                <w:i w:val="0"/>
                <w:sz w:val="18"/>
              </w:rPr>
              <w:t>2%</w:t>
            </w:r>
          </w:p>
        </w:tc>
      </w:tr>
      <w:tr>
        <w:tc>
          <w:tcPr>
            <w:tcW w:type="dxa" w:w="1296"/>
            <w:shd w:val="clear" w:fill="F2F5FB"/>
          </w:tcPr>
          <w:p>
            <w:pPr>
              <w:jc w:val="left"/>
            </w:pPr>
            <w:r>
              <w:rPr>
                <w:rFonts w:ascii="Calibri" w:hAnsi="Calibri"/>
                <w:b w:val="0"/>
                <w:i w:val="0"/>
                <w:sz w:val="18"/>
              </w:rPr>
              <w:t>FY24</w:t>
            </w:r>
          </w:p>
        </w:tc>
        <w:tc>
          <w:tcPr>
            <w:tcW w:type="dxa" w:w="1584"/>
            <w:shd w:val="clear" w:fill="F2F5FB"/>
          </w:tcPr>
          <w:p>
            <w:pPr>
              <w:jc w:val="right"/>
            </w:pPr>
            <w:r>
              <w:rPr>
                <w:rFonts w:ascii="Calibri" w:hAnsi="Calibri"/>
                <w:b w:val="0"/>
                <w:i w:val="0"/>
                <w:sz w:val="18"/>
              </w:rPr>
              <w:t>23,893</w:t>
            </w:r>
          </w:p>
        </w:tc>
        <w:tc>
          <w:tcPr>
            <w:tcW w:type="dxa" w:w="1440"/>
            <w:shd w:val="clear" w:fill="F2F5FB"/>
          </w:tcPr>
          <w:p>
            <w:pPr>
              <w:jc w:val="right"/>
            </w:pPr>
            <w:r>
              <w:rPr>
                <w:rFonts w:ascii="Calibri" w:hAnsi="Calibri"/>
                <w:b w:val="0"/>
                <w:i w:val="0"/>
                <w:sz w:val="18"/>
              </w:rPr>
              <w:t>711</w:t>
            </w:r>
          </w:p>
        </w:tc>
        <w:tc>
          <w:tcPr>
            <w:tcW w:type="dxa" w:w="1368"/>
            <w:shd w:val="clear" w:fill="F2F5FB"/>
          </w:tcPr>
          <w:p>
            <w:pPr>
              <w:jc w:val="right"/>
            </w:pPr>
            <w:r>
              <w:rPr>
                <w:rFonts w:ascii="Calibri" w:hAnsi="Calibri"/>
                <w:b w:val="0"/>
                <w:i w:val="0"/>
                <w:sz w:val="18"/>
              </w:rPr>
              <w:t>3.0%</w:t>
            </w:r>
          </w:p>
        </w:tc>
        <w:tc>
          <w:tcPr>
            <w:tcW w:type="dxa" w:w="1440"/>
            <w:shd w:val="clear" w:fill="F2F5FB"/>
          </w:tcPr>
          <w:p>
            <w:pPr>
              <w:jc w:val="right"/>
            </w:pPr>
            <w:r>
              <w:rPr>
                <w:rFonts w:ascii="Calibri" w:hAnsi="Calibri"/>
                <w:b w:val="0"/>
                <w:i w:val="0"/>
                <w:sz w:val="18"/>
              </w:rPr>
              <w:t>281</w:t>
            </w:r>
          </w:p>
        </w:tc>
        <w:tc>
          <w:tcPr>
            <w:tcW w:type="dxa" w:w="1152"/>
            <w:shd w:val="clear" w:fill="F2F5FB"/>
          </w:tcPr>
          <w:p>
            <w:pPr>
              <w:jc w:val="right"/>
            </w:pPr>
            <w:r>
              <w:rPr>
                <w:rFonts w:ascii="Calibri" w:hAnsi="Calibri"/>
                <w:b w:val="0"/>
                <w:i w:val="0"/>
                <w:sz w:val="18"/>
              </w:rPr>
              <w:t>1%</w:t>
            </w:r>
          </w:p>
        </w:tc>
        <w:tc>
          <w:tcPr>
            <w:tcW w:type="dxa" w:w="1152"/>
            <w:shd w:val="clear" w:fill="F2F5FB"/>
          </w:tcPr>
          <w:p>
            <w:pPr>
              <w:jc w:val="right"/>
            </w:pPr>
            <w:r>
              <w:rPr>
                <w:rFonts w:ascii="Calibri" w:hAnsi="Calibri"/>
                <w:b w:val="0"/>
                <w:i w:val="0"/>
                <w:sz w:val="18"/>
              </w:rPr>
              <w:t>1%</w:t>
            </w:r>
          </w:p>
        </w:tc>
      </w:tr>
      <w:tr>
        <w:tc>
          <w:tcPr>
            <w:tcW w:type="dxa" w:w="1296"/>
          </w:tcPr>
          <w:p>
            <w:pPr>
              <w:jc w:val="left"/>
            </w:pPr>
            <w:r>
              <w:rPr>
                <w:rFonts w:ascii="Calibri" w:hAnsi="Calibri"/>
                <w:b w:val="0"/>
                <w:i w:val="0"/>
                <w:sz w:val="18"/>
              </w:rPr>
              <w:t>FY25</w:t>
            </w:r>
          </w:p>
        </w:tc>
        <w:tc>
          <w:tcPr>
            <w:tcW w:type="dxa" w:w="1584"/>
          </w:tcPr>
          <w:p>
            <w:pPr>
              <w:jc w:val="right"/>
            </w:pPr>
            <w:r>
              <w:rPr>
                <w:rFonts w:ascii="Calibri" w:hAnsi="Calibri"/>
                <w:b w:val="0"/>
                <w:i w:val="0"/>
                <w:sz w:val="18"/>
              </w:rPr>
              <w:t>28,339</w:t>
            </w:r>
          </w:p>
        </w:tc>
        <w:tc>
          <w:tcPr>
            <w:tcW w:type="dxa" w:w="1440"/>
          </w:tcPr>
          <w:p>
            <w:pPr>
              <w:jc w:val="right"/>
            </w:pPr>
            <w:r>
              <w:rPr>
                <w:rFonts w:ascii="Calibri" w:hAnsi="Calibri"/>
                <w:b w:val="0"/>
                <w:i w:val="0"/>
                <w:sz w:val="18"/>
              </w:rPr>
              <w:t>1,399</w:t>
            </w:r>
          </w:p>
        </w:tc>
        <w:tc>
          <w:tcPr>
            <w:tcW w:type="dxa" w:w="1368"/>
          </w:tcPr>
          <w:p>
            <w:pPr>
              <w:jc w:val="right"/>
            </w:pPr>
            <w:r>
              <w:rPr>
                <w:rFonts w:ascii="Calibri" w:hAnsi="Calibri"/>
                <w:b w:val="0"/>
                <w:i w:val="0"/>
                <w:sz w:val="18"/>
              </w:rPr>
              <w:t>4.9%</w:t>
            </w:r>
          </w:p>
        </w:tc>
        <w:tc>
          <w:tcPr>
            <w:tcW w:type="dxa" w:w="1440"/>
          </w:tcPr>
          <w:p>
            <w:pPr>
              <w:jc w:val="right"/>
            </w:pPr>
            <w:r>
              <w:rPr>
                <w:rFonts w:ascii="Calibri" w:hAnsi="Calibri"/>
                <w:b w:val="0"/>
                <w:i w:val="0"/>
                <w:sz w:val="18"/>
              </w:rPr>
              <w:t>533</w:t>
            </w:r>
          </w:p>
        </w:tc>
        <w:tc>
          <w:tcPr>
            <w:tcW w:type="dxa" w:w="1152"/>
          </w:tcPr>
          <w:p>
            <w:pPr>
              <w:jc w:val="right"/>
            </w:pPr>
            <w:r>
              <w:rPr>
                <w:rFonts w:ascii="Calibri" w:hAnsi="Calibri"/>
                <w:b w:val="0"/>
                <w:i w:val="0"/>
                <w:sz w:val="18"/>
              </w:rPr>
              <w:t>2%</w:t>
            </w:r>
          </w:p>
        </w:tc>
        <w:tc>
          <w:tcPr>
            <w:tcW w:type="dxa" w:w="1152"/>
          </w:tcPr>
          <w:p>
            <w:pPr>
              <w:jc w:val="right"/>
            </w:pPr>
            <w:r>
              <w:rPr>
                <w:rFonts w:ascii="Calibri" w:hAnsi="Calibri"/>
                <w:b w:val="0"/>
                <w:i w:val="0"/>
                <w:sz w:val="18"/>
              </w:rPr>
              <w:t>3%</w:t>
            </w:r>
          </w:p>
        </w:tc>
      </w:tr>
      <w:tr>
        <w:tc>
          <w:tcPr>
            <w:tcW w:type="dxa" w:w="1296"/>
            <w:shd w:val="clear" w:fill="F2F5FB"/>
          </w:tcPr>
          <w:p>
            <w:pPr>
              <w:jc w:val="left"/>
            </w:pPr>
            <w:r>
              <w:rPr>
                <w:rFonts w:ascii="Calibri" w:hAnsi="Calibri"/>
                <w:b w:val="0"/>
                <w:i w:val="0"/>
                <w:sz w:val="18"/>
              </w:rPr>
              <w:t>FY26</w:t>
            </w:r>
          </w:p>
        </w:tc>
        <w:tc>
          <w:tcPr>
            <w:tcW w:type="dxa" w:w="1584"/>
            <w:shd w:val="clear" w:fill="F2F5FB"/>
          </w:tcPr>
          <w:p>
            <w:pPr>
              <w:jc w:val="right"/>
            </w:pPr>
            <w:r>
              <w:rPr>
                <w:rFonts w:ascii="Calibri" w:hAnsi="Calibri"/>
                <w:b w:val="0"/>
                <w:i w:val="0"/>
                <w:sz w:val="18"/>
              </w:rPr>
              <w:t>33,782</w:t>
            </w:r>
          </w:p>
        </w:tc>
        <w:tc>
          <w:tcPr>
            <w:tcW w:type="dxa" w:w="1440"/>
            <w:shd w:val="clear" w:fill="F2F5FB"/>
          </w:tcPr>
          <w:p>
            <w:pPr>
              <w:jc w:val="right"/>
            </w:pPr>
            <w:r>
              <w:rPr>
                <w:rFonts w:ascii="Calibri" w:hAnsi="Calibri"/>
                <w:b w:val="0"/>
                <w:i w:val="0"/>
                <w:sz w:val="18"/>
              </w:rPr>
              <w:t>2,342</w:t>
            </w:r>
          </w:p>
        </w:tc>
        <w:tc>
          <w:tcPr>
            <w:tcW w:type="dxa" w:w="1368"/>
            <w:shd w:val="clear" w:fill="F2F5FB"/>
          </w:tcPr>
          <w:p>
            <w:pPr>
              <w:jc w:val="right"/>
            </w:pPr>
            <w:r>
              <w:rPr>
                <w:rFonts w:ascii="Calibri" w:hAnsi="Calibri"/>
                <w:b w:val="0"/>
                <w:i w:val="0"/>
                <w:sz w:val="18"/>
              </w:rPr>
              <w:t>6.9%</w:t>
            </w:r>
          </w:p>
        </w:tc>
        <w:tc>
          <w:tcPr>
            <w:tcW w:type="dxa" w:w="1440"/>
            <w:shd w:val="clear" w:fill="F2F5FB"/>
          </w:tcPr>
          <w:p>
            <w:pPr>
              <w:jc w:val="right"/>
            </w:pPr>
            <w:r>
              <w:rPr>
                <w:rFonts w:ascii="Calibri" w:hAnsi="Calibri"/>
                <w:b w:val="0"/>
                <w:i w:val="0"/>
                <w:sz w:val="18"/>
              </w:rPr>
              <w:t>1,600</w:t>
            </w:r>
          </w:p>
        </w:tc>
        <w:tc>
          <w:tcPr>
            <w:tcW w:type="dxa" w:w="1152"/>
            <w:shd w:val="clear" w:fill="F2F5FB"/>
          </w:tcPr>
          <w:p>
            <w:pPr>
              <w:jc w:val="right"/>
            </w:pPr>
            <w:r>
              <w:rPr>
                <w:rFonts w:ascii="Calibri" w:hAnsi="Calibri"/>
                <w:b w:val="0"/>
                <w:i w:val="0"/>
                <w:sz w:val="18"/>
              </w:rPr>
              <w:t>6%</w:t>
            </w:r>
          </w:p>
        </w:tc>
        <w:tc>
          <w:tcPr>
            <w:tcW w:type="dxa" w:w="1152"/>
            <w:shd w:val="clear" w:fill="F2F5FB"/>
          </w:tcPr>
          <w:p>
            <w:pPr>
              <w:jc w:val="right"/>
            </w:pPr>
            <w:r>
              <w:rPr>
                <w:rFonts w:ascii="Calibri" w:hAnsi="Calibri"/>
                <w:b w:val="0"/>
                <w:i w:val="0"/>
                <w:sz w:val="18"/>
              </w:rPr>
              <w:t>6%</w:t>
            </w:r>
          </w:p>
        </w:tc>
      </w:tr>
    </w:tbl>
    <w:p>
      <w:pPr>
        <w:spacing w:after="160" w:before="40"/>
      </w:pPr>
      <w:r>
        <w:rPr>
          <w:rFonts w:ascii="Calibri" w:hAnsi="Calibri"/>
          <w:b w:val="0"/>
          <w:i/>
          <w:color w:val="595959"/>
          <w:sz w:val="16"/>
        </w:rPr>
        <w:t>Audited consolidated financials. Source: BHEL annual reports FY2021/FY2023/FY2025 and FY2026 filing.</w:t>
      </w:r>
    </w:p>
    <w:p>
      <w:pPr>
        <w:spacing w:after="120" w:before="80"/>
      </w:pPr>
      <w:r>
        <w:rPr>
          <w:rFonts w:ascii="Calibri" w:hAnsi="Calibri"/>
          <w:b w:val="0"/>
          <w:i w:val="0"/>
          <w:sz w:val="21"/>
        </w:rPr>
        <w:t>Three features stand out. First, operating leverage is extreme: with a largely fixed cost base, small revenue swings move margins violently — FY2021 saw a negative EBITDA margin, while FY2026 recovered to 6.9%. Second, returns are still sub-cost-of-capital: FY2026 ROE of ~6% and ROCE of ~6% remain well below our ~15% cost of equity, underscoring that the recovery, while real, is early. Third, profitability has been flattered in some years by deferred-tax movements and other income (treasury income on a large cash pile).</w:t>
      </w:r>
    </w:p>
    <w:p>
      <w:pPr>
        <w:spacing w:after="80" w:before="200"/>
      </w:pPr>
      <w:r>
        <w:rPr>
          <w:rFonts w:ascii="Calibri" w:hAnsi="Calibri"/>
          <w:b/>
          <w:i w:val="0"/>
          <w:color w:val="2E5BA8"/>
          <w:sz w:val="25"/>
        </w:rPr>
        <w:t>Balance sheet and working capital</w:t>
      </w:r>
    </w:p>
    <w:p>
      <w:pPr>
        <w:spacing w:after="120" w:before="0"/>
      </w:pPr>
      <w:r>
        <w:rPr>
          <w:rFonts w:ascii="Calibri" w:hAnsi="Calibri"/>
          <w:b w:val="0"/>
          <w:i w:val="0"/>
          <w:sz w:val="21"/>
        </w:rPr>
        <w:t>BHEL is asset-light (net block of ~₹3,094 cr against ₹33,782 cr of revenue) and carried net cash of ₹3,680 cr at FY2026 (gross borrowings ₹8,187 cr, largely short-term working-capital lines and lease liabilities, against ₹11,867 cr of cash and bank balances). The defining balance-sheet feature is the scale of contract balances: large contract assets (unbilled revenue on long-gestation projects) are funded substantially by contract liabilities (customer advances) — an interest-free source of working capital that is highly favourable when execution is flowing but which unwinds painfully when projects stall.</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2448"/>
            <w:shd w:val="clear" w:fill="1F3864"/>
          </w:tcPr>
          <w:p>
            <w:pPr>
              <w:jc w:val="left"/>
            </w:pPr>
            <w:r>
              <w:rPr>
                <w:rFonts w:ascii="Calibri" w:hAnsi="Calibri"/>
                <w:b/>
                <w:i w:val="0"/>
                <w:color w:val="FFFFFF"/>
                <w:sz w:val="17"/>
              </w:rPr>
              <w:t>₹ crore</w:t>
            </w:r>
          </w:p>
        </w:tc>
        <w:tc>
          <w:tcPr>
            <w:tcW w:type="dxa" w:w="1123"/>
            <w:shd w:val="clear" w:fill="1F3864"/>
          </w:tcPr>
          <w:p>
            <w:pPr>
              <w:jc w:val="center"/>
            </w:pPr>
            <w:r>
              <w:rPr>
                <w:rFonts w:ascii="Calibri" w:hAnsi="Calibri"/>
                <w:b/>
                <w:i w:val="0"/>
                <w:color w:val="FFFFFF"/>
                <w:sz w:val="17"/>
              </w:rPr>
              <w:t>FY20</w:t>
            </w:r>
          </w:p>
        </w:tc>
        <w:tc>
          <w:tcPr>
            <w:tcW w:type="dxa" w:w="1123"/>
            <w:shd w:val="clear" w:fill="1F3864"/>
          </w:tcPr>
          <w:p>
            <w:pPr>
              <w:jc w:val="center"/>
            </w:pPr>
            <w:r>
              <w:rPr>
                <w:rFonts w:ascii="Calibri" w:hAnsi="Calibri"/>
                <w:b/>
                <w:i w:val="0"/>
                <w:color w:val="FFFFFF"/>
                <w:sz w:val="17"/>
              </w:rPr>
              <w:t>FY21</w:t>
            </w:r>
          </w:p>
        </w:tc>
        <w:tc>
          <w:tcPr>
            <w:tcW w:type="dxa" w:w="1123"/>
            <w:shd w:val="clear" w:fill="1F3864"/>
          </w:tcPr>
          <w:p>
            <w:pPr>
              <w:jc w:val="center"/>
            </w:pPr>
            <w:r>
              <w:rPr>
                <w:rFonts w:ascii="Calibri" w:hAnsi="Calibri"/>
                <w:b/>
                <w:i w:val="0"/>
                <w:color w:val="FFFFFF"/>
                <w:sz w:val="17"/>
              </w:rPr>
              <w:t>FY22</w:t>
            </w:r>
          </w:p>
        </w:tc>
        <w:tc>
          <w:tcPr>
            <w:tcW w:type="dxa" w:w="1123"/>
            <w:shd w:val="clear" w:fill="1F3864"/>
          </w:tcPr>
          <w:p>
            <w:pPr>
              <w:jc w:val="center"/>
            </w:pPr>
            <w:r>
              <w:rPr>
                <w:rFonts w:ascii="Calibri" w:hAnsi="Calibri"/>
                <w:b/>
                <w:i w:val="0"/>
                <w:color w:val="FFFFFF"/>
                <w:sz w:val="17"/>
              </w:rPr>
              <w:t>FY23</w:t>
            </w:r>
          </w:p>
        </w:tc>
        <w:tc>
          <w:tcPr>
            <w:tcW w:type="dxa" w:w="1123"/>
            <w:shd w:val="clear" w:fill="1F3864"/>
          </w:tcPr>
          <w:p>
            <w:pPr>
              <w:jc w:val="center"/>
            </w:pPr>
            <w:r>
              <w:rPr>
                <w:rFonts w:ascii="Calibri" w:hAnsi="Calibri"/>
                <w:b/>
                <w:i w:val="0"/>
                <w:color w:val="FFFFFF"/>
                <w:sz w:val="17"/>
              </w:rPr>
              <w:t>FY24</w:t>
            </w:r>
          </w:p>
        </w:tc>
        <w:tc>
          <w:tcPr>
            <w:tcW w:type="dxa" w:w="1123"/>
            <w:shd w:val="clear" w:fill="1F3864"/>
          </w:tcPr>
          <w:p>
            <w:pPr>
              <w:jc w:val="center"/>
            </w:pPr>
            <w:r>
              <w:rPr>
                <w:rFonts w:ascii="Calibri" w:hAnsi="Calibri"/>
                <w:b/>
                <w:i w:val="0"/>
                <w:color w:val="FFFFFF"/>
                <w:sz w:val="17"/>
              </w:rPr>
              <w:t>FY25</w:t>
            </w:r>
          </w:p>
        </w:tc>
        <w:tc>
          <w:tcPr>
            <w:tcW w:type="dxa" w:w="1123"/>
            <w:shd w:val="clear" w:fill="1F3864"/>
          </w:tcPr>
          <w:p>
            <w:pPr>
              <w:jc w:val="center"/>
            </w:pPr>
            <w:r>
              <w:rPr>
                <w:rFonts w:ascii="Calibri" w:hAnsi="Calibri"/>
                <w:b/>
                <w:i w:val="0"/>
                <w:color w:val="FFFFFF"/>
                <w:sz w:val="17"/>
              </w:rPr>
              <w:t>FY26</w:t>
            </w:r>
          </w:p>
        </w:tc>
      </w:tr>
      <w:tr>
        <w:tc>
          <w:tcPr>
            <w:tcW w:type="dxa" w:w="2448"/>
            <w:shd w:val="clear" w:fill="F2F5FB"/>
          </w:tcPr>
          <w:p>
            <w:pPr>
              <w:jc w:val="left"/>
            </w:pPr>
            <w:r>
              <w:rPr>
                <w:rFonts w:ascii="Calibri" w:hAnsi="Calibri"/>
                <w:b w:val="0"/>
                <w:i w:val="0"/>
                <w:sz w:val="17"/>
              </w:rPr>
              <w:t>Total assets</w:t>
            </w:r>
          </w:p>
        </w:tc>
        <w:tc>
          <w:tcPr>
            <w:tcW w:type="dxa" w:w="1123"/>
            <w:shd w:val="clear" w:fill="F2F5FB"/>
          </w:tcPr>
          <w:p>
            <w:pPr>
              <w:jc w:val="right"/>
            </w:pPr>
            <w:r>
              <w:rPr>
                <w:rFonts w:ascii="Calibri" w:hAnsi="Calibri"/>
                <w:b w:val="0"/>
                <w:i w:val="0"/>
                <w:sz w:val="17"/>
              </w:rPr>
              <w:t>59,749</w:t>
            </w:r>
          </w:p>
        </w:tc>
        <w:tc>
          <w:tcPr>
            <w:tcW w:type="dxa" w:w="1123"/>
            <w:shd w:val="clear" w:fill="F2F5FB"/>
          </w:tcPr>
          <w:p>
            <w:pPr>
              <w:jc w:val="right"/>
            </w:pPr>
            <w:r>
              <w:rPr>
                <w:rFonts w:ascii="Calibri" w:hAnsi="Calibri"/>
                <w:b w:val="0"/>
                <w:i w:val="0"/>
                <w:sz w:val="17"/>
              </w:rPr>
              <w:t>55,240</w:t>
            </w:r>
          </w:p>
        </w:tc>
        <w:tc>
          <w:tcPr>
            <w:tcW w:type="dxa" w:w="1123"/>
            <w:shd w:val="clear" w:fill="F2F5FB"/>
          </w:tcPr>
          <w:p>
            <w:pPr>
              <w:jc w:val="right"/>
            </w:pPr>
            <w:r>
              <w:rPr>
                <w:rFonts w:ascii="Calibri" w:hAnsi="Calibri"/>
                <w:b w:val="0"/>
                <w:i w:val="0"/>
                <w:sz w:val="17"/>
              </w:rPr>
              <w:t>56,244</w:t>
            </w:r>
          </w:p>
        </w:tc>
        <w:tc>
          <w:tcPr>
            <w:tcW w:type="dxa" w:w="1123"/>
            <w:shd w:val="clear" w:fill="F2F5FB"/>
          </w:tcPr>
          <w:p>
            <w:pPr>
              <w:jc w:val="right"/>
            </w:pPr>
            <w:r>
              <w:rPr>
                <w:rFonts w:ascii="Calibri" w:hAnsi="Calibri"/>
                <w:b w:val="0"/>
                <w:i w:val="0"/>
                <w:sz w:val="17"/>
              </w:rPr>
              <w:t>59,370</w:t>
            </w:r>
          </w:p>
        </w:tc>
        <w:tc>
          <w:tcPr>
            <w:tcW w:type="dxa" w:w="1123"/>
            <w:shd w:val="clear" w:fill="F2F5FB"/>
          </w:tcPr>
          <w:p>
            <w:pPr>
              <w:jc w:val="right"/>
            </w:pPr>
            <w:r>
              <w:rPr>
                <w:rFonts w:ascii="Calibri" w:hAnsi="Calibri"/>
                <w:b w:val="0"/>
                <w:i w:val="0"/>
                <w:sz w:val="17"/>
              </w:rPr>
              <w:t>59,002</w:t>
            </w:r>
          </w:p>
        </w:tc>
        <w:tc>
          <w:tcPr>
            <w:tcW w:type="dxa" w:w="1123"/>
            <w:shd w:val="clear" w:fill="F2F5FB"/>
          </w:tcPr>
          <w:p>
            <w:pPr>
              <w:jc w:val="right"/>
            </w:pPr>
            <w:r>
              <w:rPr>
                <w:rFonts w:ascii="Calibri" w:hAnsi="Calibri"/>
                <w:b w:val="0"/>
                <w:i w:val="0"/>
                <w:sz w:val="17"/>
              </w:rPr>
              <w:t>68,083</w:t>
            </w:r>
          </w:p>
        </w:tc>
        <w:tc>
          <w:tcPr>
            <w:tcW w:type="dxa" w:w="1123"/>
            <w:shd w:val="clear" w:fill="F2F5FB"/>
          </w:tcPr>
          <w:p>
            <w:pPr>
              <w:jc w:val="right"/>
            </w:pPr>
            <w:r>
              <w:rPr>
                <w:rFonts w:ascii="Calibri" w:hAnsi="Calibri"/>
                <w:b w:val="0"/>
                <w:i w:val="0"/>
                <w:sz w:val="17"/>
              </w:rPr>
              <w:t>76,186</w:t>
            </w:r>
          </w:p>
        </w:tc>
      </w:tr>
      <w:tr>
        <w:tc>
          <w:tcPr>
            <w:tcW w:type="dxa" w:w="2448"/>
          </w:tcPr>
          <w:p>
            <w:pPr>
              <w:jc w:val="left"/>
            </w:pPr>
            <w:r>
              <w:rPr>
                <w:rFonts w:ascii="Calibri" w:hAnsi="Calibri"/>
                <w:b w:val="0"/>
                <w:i w:val="0"/>
                <w:sz w:val="17"/>
              </w:rPr>
              <w:t>Shareholders’ funds</w:t>
            </w:r>
          </w:p>
        </w:tc>
        <w:tc>
          <w:tcPr>
            <w:tcW w:type="dxa" w:w="1123"/>
          </w:tcPr>
          <w:p>
            <w:pPr>
              <w:jc w:val="right"/>
            </w:pPr>
            <w:r>
              <w:rPr>
                <w:rFonts w:ascii="Calibri" w:hAnsi="Calibri"/>
                <w:b w:val="0"/>
                <w:i w:val="0"/>
                <w:sz w:val="17"/>
              </w:rPr>
              <w:t>28,652</w:t>
            </w:r>
          </w:p>
        </w:tc>
        <w:tc>
          <w:tcPr>
            <w:tcW w:type="dxa" w:w="1123"/>
          </w:tcPr>
          <w:p>
            <w:pPr>
              <w:jc w:val="right"/>
            </w:pPr>
            <w:r>
              <w:rPr>
                <w:rFonts w:ascii="Calibri" w:hAnsi="Calibri"/>
                <w:b w:val="0"/>
                <w:i w:val="0"/>
                <w:sz w:val="17"/>
              </w:rPr>
              <w:t>25,972</w:t>
            </w:r>
          </w:p>
        </w:tc>
        <w:tc>
          <w:tcPr>
            <w:tcW w:type="dxa" w:w="1123"/>
          </w:tcPr>
          <w:p>
            <w:pPr>
              <w:jc w:val="right"/>
            </w:pPr>
            <w:r>
              <w:rPr>
                <w:rFonts w:ascii="Calibri" w:hAnsi="Calibri"/>
                <w:b w:val="0"/>
                <w:i w:val="0"/>
                <w:sz w:val="17"/>
              </w:rPr>
              <w:t>26,507</w:t>
            </w:r>
          </w:p>
        </w:tc>
        <w:tc>
          <w:tcPr>
            <w:tcW w:type="dxa" w:w="1123"/>
          </w:tcPr>
          <w:p>
            <w:pPr>
              <w:jc w:val="right"/>
            </w:pPr>
            <w:r>
              <w:rPr>
                <w:rFonts w:ascii="Calibri" w:hAnsi="Calibri"/>
                <w:b w:val="0"/>
                <w:i w:val="0"/>
                <w:sz w:val="17"/>
              </w:rPr>
              <w:t>26,828</w:t>
            </w:r>
          </w:p>
        </w:tc>
        <w:tc>
          <w:tcPr>
            <w:tcW w:type="dxa" w:w="1123"/>
          </w:tcPr>
          <w:p>
            <w:pPr>
              <w:jc w:val="right"/>
            </w:pPr>
            <w:r>
              <w:rPr>
                <w:rFonts w:ascii="Calibri" w:hAnsi="Calibri"/>
                <w:b w:val="0"/>
                <w:i w:val="0"/>
                <w:sz w:val="17"/>
              </w:rPr>
              <w:t>24,439</w:t>
            </w:r>
          </w:p>
        </w:tc>
        <w:tc>
          <w:tcPr>
            <w:tcW w:type="dxa" w:w="1123"/>
          </w:tcPr>
          <w:p>
            <w:pPr>
              <w:jc w:val="right"/>
            </w:pPr>
            <w:r>
              <w:rPr>
                <w:rFonts w:ascii="Calibri" w:hAnsi="Calibri"/>
                <w:b w:val="0"/>
                <w:i w:val="0"/>
                <w:sz w:val="17"/>
              </w:rPr>
              <w:t>24,722</w:t>
            </w:r>
          </w:p>
        </w:tc>
        <w:tc>
          <w:tcPr>
            <w:tcW w:type="dxa" w:w="1123"/>
          </w:tcPr>
          <w:p>
            <w:pPr>
              <w:jc w:val="right"/>
            </w:pPr>
            <w:r>
              <w:rPr>
                <w:rFonts w:ascii="Calibri" w:hAnsi="Calibri"/>
                <w:b w:val="0"/>
                <w:i w:val="0"/>
                <w:sz w:val="17"/>
              </w:rPr>
              <w:t>26,147</w:t>
            </w:r>
          </w:p>
        </w:tc>
      </w:tr>
      <w:tr>
        <w:tc>
          <w:tcPr>
            <w:tcW w:type="dxa" w:w="2448"/>
            <w:shd w:val="clear" w:fill="F2F5FB"/>
          </w:tcPr>
          <w:p>
            <w:pPr>
              <w:jc w:val="left"/>
            </w:pPr>
            <w:r>
              <w:rPr>
                <w:rFonts w:ascii="Calibri" w:hAnsi="Calibri"/>
                <w:b w:val="0"/>
                <w:i w:val="0"/>
                <w:sz w:val="17"/>
              </w:rPr>
              <w:t>Gross borrowings &amp; leases</w:t>
            </w:r>
          </w:p>
        </w:tc>
        <w:tc>
          <w:tcPr>
            <w:tcW w:type="dxa" w:w="1123"/>
            <w:shd w:val="clear" w:fill="F2F5FB"/>
          </w:tcPr>
          <w:p>
            <w:pPr>
              <w:jc w:val="right"/>
            </w:pPr>
            <w:r>
              <w:rPr>
                <w:rFonts w:ascii="Calibri" w:hAnsi="Calibri"/>
                <w:b w:val="0"/>
                <w:i w:val="0"/>
                <w:sz w:val="17"/>
              </w:rPr>
              <w:t>5,080</w:t>
            </w:r>
          </w:p>
        </w:tc>
        <w:tc>
          <w:tcPr>
            <w:tcW w:type="dxa" w:w="1123"/>
            <w:shd w:val="clear" w:fill="F2F5FB"/>
          </w:tcPr>
          <w:p>
            <w:pPr>
              <w:jc w:val="right"/>
            </w:pPr>
            <w:r>
              <w:rPr>
                <w:rFonts w:ascii="Calibri" w:hAnsi="Calibri"/>
                <w:b w:val="0"/>
                <w:i w:val="0"/>
                <w:sz w:val="17"/>
              </w:rPr>
              <w:t>4,951</w:t>
            </w:r>
          </w:p>
        </w:tc>
        <w:tc>
          <w:tcPr>
            <w:tcW w:type="dxa" w:w="1123"/>
            <w:shd w:val="clear" w:fill="F2F5FB"/>
          </w:tcPr>
          <w:p>
            <w:pPr>
              <w:jc w:val="right"/>
            </w:pPr>
            <w:r>
              <w:rPr>
                <w:rFonts w:ascii="Calibri" w:hAnsi="Calibri"/>
                <w:b w:val="0"/>
                <w:i w:val="0"/>
                <w:sz w:val="17"/>
              </w:rPr>
              <w:t>4,830</w:t>
            </w:r>
          </w:p>
        </w:tc>
        <w:tc>
          <w:tcPr>
            <w:tcW w:type="dxa" w:w="1123"/>
            <w:shd w:val="clear" w:fill="F2F5FB"/>
          </w:tcPr>
          <w:p>
            <w:pPr>
              <w:jc w:val="right"/>
            </w:pPr>
            <w:r>
              <w:rPr>
                <w:rFonts w:ascii="Calibri" w:hAnsi="Calibri"/>
                <w:b w:val="0"/>
                <w:i w:val="0"/>
                <w:sz w:val="17"/>
              </w:rPr>
              <w:t>5,454</w:t>
            </w:r>
          </w:p>
        </w:tc>
        <w:tc>
          <w:tcPr>
            <w:tcW w:type="dxa" w:w="1123"/>
            <w:shd w:val="clear" w:fill="F2F5FB"/>
          </w:tcPr>
          <w:p>
            <w:pPr>
              <w:jc w:val="right"/>
            </w:pPr>
            <w:r>
              <w:rPr>
                <w:rFonts w:ascii="Calibri" w:hAnsi="Calibri"/>
                <w:b w:val="0"/>
                <w:i w:val="0"/>
                <w:sz w:val="17"/>
              </w:rPr>
              <w:t>8,856</w:t>
            </w:r>
          </w:p>
        </w:tc>
        <w:tc>
          <w:tcPr>
            <w:tcW w:type="dxa" w:w="1123"/>
            <w:shd w:val="clear" w:fill="F2F5FB"/>
          </w:tcPr>
          <w:p>
            <w:pPr>
              <w:jc w:val="right"/>
            </w:pPr>
            <w:r>
              <w:rPr>
                <w:rFonts w:ascii="Calibri" w:hAnsi="Calibri"/>
                <w:b w:val="0"/>
                <w:i w:val="0"/>
                <w:sz w:val="17"/>
              </w:rPr>
              <w:t>9,015</w:t>
            </w:r>
          </w:p>
        </w:tc>
        <w:tc>
          <w:tcPr>
            <w:tcW w:type="dxa" w:w="1123"/>
            <w:shd w:val="clear" w:fill="F2F5FB"/>
          </w:tcPr>
          <w:p>
            <w:pPr>
              <w:jc w:val="right"/>
            </w:pPr>
            <w:r>
              <w:rPr>
                <w:rFonts w:ascii="Calibri" w:hAnsi="Calibri"/>
                <w:b w:val="0"/>
                <w:i w:val="0"/>
                <w:sz w:val="17"/>
              </w:rPr>
              <w:t>8,187</w:t>
            </w:r>
          </w:p>
        </w:tc>
      </w:tr>
      <w:tr>
        <w:tc>
          <w:tcPr>
            <w:tcW w:type="dxa" w:w="2448"/>
          </w:tcPr>
          <w:p>
            <w:pPr>
              <w:jc w:val="left"/>
            </w:pPr>
            <w:r>
              <w:rPr>
                <w:rFonts w:ascii="Calibri" w:hAnsi="Calibri"/>
                <w:b w:val="0"/>
                <w:i w:val="0"/>
                <w:sz w:val="17"/>
              </w:rPr>
              <w:t>Cash &amp; bank</w:t>
            </w:r>
          </w:p>
        </w:tc>
        <w:tc>
          <w:tcPr>
            <w:tcW w:type="dxa" w:w="1123"/>
          </w:tcPr>
          <w:p>
            <w:pPr>
              <w:jc w:val="right"/>
            </w:pPr>
            <w:r>
              <w:rPr>
                <w:rFonts w:ascii="Calibri" w:hAnsi="Calibri"/>
                <w:b w:val="0"/>
                <w:i w:val="0"/>
                <w:sz w:val="17"/>
              </w:rPr>
              <w:t>6,419</w:t>
            </w:r>
          </w:p>
        </w:tc>
        <w:tc>
          <w:tcPr>
            <w:tcW w:type="dxa" w:w="1123"/>
          </w:tcPr>
          <w:p>
            <w:pPr>
              <w:jc w:val="right"/>
            </w:pPr>
            <w:r>
              <w:rPr>
                <w:rFonts w:ascii="Calibri" w:hAnsi="Calibri"/>
                <w:b w:val="0"/>
                <w:i w:val="0"/>
                <w:sz w:val="17"/>
              </w:rPr>
              <w:t>6,701</w:t>
            </w:r>
          </w:p>
        </w:tc>
        <w:tc>
          <w:tcPr>
            <w:tcW w:type="dxa" w:w="1123"/>
          </w:tcPr>
          <w:p>
            <w:pPr>
              <w:jc w:val="right"/>
            </w:pPr>
            <w:r>
              <w:rPr>
                <w:rFonts w:ascii="Calibri" w:hAnsi="Calibri"/>
                <w:b w:val="0"/>
                <w:i w:val="0"/>
                <w:sz w:val="17"/>
              </w:rPr>
              <w:t>7,154</w:t>
            </w:r>
          </w:p>
        </w:tc>
        <w:tc>
          <w:tcPr>
            <w:tcW w:type="dxa" w:w="1123"/>
          </w:tcPr>
          <w:p>
            <w:pPr>
              <w:jc w:val="right"/>
            </w:pPr>
            <w:r>
              <w:rPr>
                <w:rFonts w:ascii="Calibri" w:hAnsi="Calibri"/>
                <w:b w:val="0"/>
                <w:i w:val="0"/>
                <w:sz w:val="17"/>
              </w:rPr>
              <w:t>6,643</w:t>
            </w:r>
          </w:p>
        </w:tc>
        <w:tc>
          <w:tcPr>
            <w:tcW w:type="dxa" w:w="1123"/>
          </w:tcPr>
          <w:p>
            <w:pPr>
              <w:jc w:val="right"/>
            </w:pPr>
            <w:r>
              <w:rPr>
                <w:rFonts w:ascii="Calibri" w:hAnsi="Calibri"/>
                <w:b w:val="0"/>
                <w:i w:val="0"/>
                <w:sz w:val="17"/>
              </w:rPr>
              <w:t>6,157</w:t>
            </w:r>
          </w:p>
        </w:tc>
        <w:tc>
          <w:tcPr>
            <w:tcW w:type="dxa" w:w="1123"/>
          </w:tcPr>
          <w:p>
            <w:pPr>
              <w:jc w:val="right"/>
            </w:pPr>
            <w:r>
              <w:rPr>
                <w:rFonts w:ascii="Calibri" w:hAnsi="Calibri"/>
                <w:b w:val="0"/>
                <w:i w:val="0"/>
                <w:sz w:val="17"/>
              </w:rPr>
              <w:t>7,612</w:t>
            </w:r>
          </w:p>
        </w:tc>
        <w:tc>
          <w:tcPr>
            <w:tcW w:type="dxa" w:w="1123"/>
          </w:tcPr>
          <w:p>
            <w:pPr>
              <w:jc w:val="right"/>
            </w:pPr>
            <w:r>
              <w:rPr>
                <w:rFonts w:ascii="Calibri" w:hAnsi="Calibri"/>
                <w:b w:val="0"/>
                <w:i w:val="0"/>
                <w:sz w:val="17"/>
              </w:rPr>
              <w:t>11,867</w:t>
            </w:r>
          </w:p>
        </w:tc>
      </w:tr>
      <w:tr>
        <w:tc>
          <w:tcPr>
            <w:tcW w:type="dxa" w:w="2448"/>
            <w:shd w:val="clear" w:fill="F2F5FB"/>
          </w:tcPr>
          <w:p>
            <w:pPr>
              <w:jc w:val="left"/>
            </w:pPr>
            <w:r>
              <w:rPr>
                <w:rFonts w:ascii="Calibri" w:hAnsi="Calibri"/>
                <w:b w:val="0"/>
                <w:i w:val="0"/>
                <w:sz w:val="17"/>
              </w:rPr>
              <w:t>Net debt / (net cash)</w:t>
            </w:r>
          </w:p>
        </w:tc>
        <w:tc>
          <w:tcPr>
            <w:tcW w:type="dxa" w:w="1123"/>
            <w:shd w:val="clear" w:fill="F2F5FB"/>
          </w:tcPr>
          <w:p>
            <w:pPr>
              <w:jc w:val="right"/>
            </w:pPr>
            <w:r>
              <w:rPr>
                <w:rFonts w:ascii="Calibri" w:hAnsi="Calibri"/>
                <w:b w:val="0"/>
                <w:i w:val="0"/>
                <w:sz w:val="17"/>
              </w:rPr>
              <w:t>(1,339)</w:t>
            </w:r>
          </w:p>
        </w:tc>
        <w:tc>
          <w:tcPr>
            <w:tcW w:type="dxa" w:w="1123"/>
            <w:shd w:val="clear" w:fill="F2F5FB"/>
          </w:tcPr>
          <w:p>
            <w:pPr>
              <w:jc w:val="right"/>
            </w:pPr>
            <w:r>
              <w:rPr>
                <w:rFonts w:ascii="Calibri" w:hAnsi="Calibri"/>
                <w:b w:val="0"/>
                <w:i w:val="0"/>
                <w:sz w:val="17"/>
              </w:rPr>
              <w:t>(1,750)</w:t>
            </w:r>
          </w:p>
        </w:tc>
        <w:tc>
          <w:tcPr>
            <w:tcW w:type="dxa" w:w="1123"/>
            <w:shd w:val="clear" w:fill="F2F5FB"/>
          </w:tcPr>
          <w:p>
            <w:pPr>
              <w:jc w:val="right"/>
            </w:pPr>
            <w:r>
              <w:rPr>
                <w:rFonts w:ascii="Calibri" w:hAnsi="Calibri"/>
                <w:b w:val="0"/>
                <w:i w:val="0"/>
                <w:sz w:val="17"/>
              </w:rPr>
              <w:t>(2,324)</w:t>
            </w:r>
          </w:p>
        </w:tc>
        <w:tc>
          <w:tcPr>
            <w:tcW w:type="dxa" w:w="1123"/>
            <w:shd w:val="clear" w:fill="F2F5FB"/>
          </w:tcPr>
          <w:p>
            <w:pPr>
              <w:jc w:val="right"/>
            </w:pPr>
            <w:r>
              <w:rPr>
                <w:rFonts w:ascii="Calibri" w:hAnsi="Calibri"/>
                <w:b w:val="0"/>
                <w:i w:val="0"/>
                <w:sz w:val="17"/>
              </w:rPr>
              <w:t>(1,189)</w:t>
            </w:r>
          </w:p>
        </w:tc>
        <w:tc>
          <w:tcPr>
            <w:tcW w:type="dxa" w:w="1123"/>
            <w:shd w:val="clear" w:fill="F2F5FB"/>
          </w:tcPr>
          <w:p>
            <w:pPr>
              <w:jc w:val="right"/>
            </w:pPr>
            <w:r>
              <w:rPr>
                <w:rFonts w:ascii="Calibri" w:hAnsi="Calibri"/>
                <w:b w:val="0"/>
                <w:i w:val="0"/>
                <w:sz w:val="17"/>
              </w:rPr>
              <w:t>2,699</w:t>
            </w:r>
          </w:p>
        </w:tc>
        <w:tc>
          <w:tcPr>
            <w:tcW w:type="dxa" w:w="1123"/>
            <w:shd w:val="clear" w:fill="F2F5FB"/>
          </w:tcPr>
          <w:p>
            <w:pPr>
              <w:jc w:val="right"/>
            </w:pPr>
            <w:r>
              <w:rPr>
                <w:rFonts w:ascii="Calibri" w:hAnsi="Calibri"/>
                <w:b w:val="0"/>
                <w:i w:val="0"/>
                <w:sz w:val="17"/>
              </w:rPr>
              <w:t>1,403</w:t>
            </w:r>
          </w:p>
        </w:tc>
        <w:tc>
          <w:tcPr>
            <w:tcW w:type="dxa" w:w="1123"/>
            <w:shd w:val="clear" w:fill="F2F5FB"/>
          </w:tcPr>
          <w:p>
            <w:pPr>
              <w:jc w:val="right"/>
            </w:pPr>
            <w:r>
              <w:rPr>
                <w:rFonts w:ascii="Calibri" w:hAnsi="Calibri"/>
                <w:b w:val="0"/>
                <w:i w:val="0"/>
                <w:sz w:val="17"/>
              </w:rPr>
              <w:t>(3,680)</w:t>
            </w:r>
          </w:p>
        </w:tc>
      </w:tr>
    </w:tbl>
    <w:p>
      <w:pPr>
        <w:spacing w:after="160" w:before="40"/>
      </w:pPr>
      <w:r>
        <w:rPr>
          <w:rFonts w:ascii="Calibri" w:hAnsi="Calibri"/>
          <w:b w:val="0"/>
          <w:i/>
          <w:color w:val="595959"/>
          <w:sz w:val="16"/>
        </w:rPr>
        <w:t>Audited consolidated. Negative net debt = net cash. Source: author’s model on audited financials.</w:t>
      </w:r>
    </w:p>
    <w:p>
      <w:pPr>
        <w:spacing w:after="80" w:before="200"/>
      </w:pPr>
      <w:r>
        <w:rPr>
          <w:rFonts w:ascii="Calibri" w:hAnsi="Calibri"/>
          <w:b/>
          <w:i w:val="0"/>
          <w:color w:val="2E5BA8"/>
          <w:sz w:val="25"/>
        </w:rPr>
        <w:t>Cash flow quality</w:t>
      </w:r>
    </w:p>
    <w:p>
      <w:pPr>
        <w:spacing w:after="120" w:before="0"/>
      </w:pPr>
      <w:r>
        <w:rPr>
          <w:rFonts w:ascii="Calibri" w:hAnsi="Calibri"/>
          <w:b w:val="0"/>
          <w:i w:val="0"/>
          <w:sz w:val="21"/>
        </w:rPr>
        <w:t>Operating cash flow has been volatile and tightly linked to the working-capital cycle: heavy outflows in the downturn (notably FY2020 and FY2024) gave way to a strong ₹5,837 cr operating inflow in FY2026 as advances flowed in and collections improved. Capital intensity is low (capex of ₹600–950 cr a year), so free cash flow is driven primarily by profit recovery and working-capital discipline rather than by investment.</w:t>
      </w:r>
    </w:p>
    <w:p>
      <w:pPr>
        <w:spacing w:after="80" w:before="200"/>
      </w:pPr>
      <w:r>
        <w:rPr>
          <w:rFonts w:ascii="Calibri" w:hAnsi="Calibri"/>
          <w:b/>
          <w:i w:val="0"/>
          <w:color w:val="2E5BA8"/>
          <w:sz w:val="25"/>
        </w:rPr>
        <w:t>DuPont decomposition</w:t>
      </w:r>
    </w:p>
    <w:p>
      <w:pPr>
        <w:spacing w:after="80" w:before="0"/>
      </w:pPr>
      <w:r>
        <w:rPr>
          <w:rFonts w:ascii="Calibri" w:hAnsi="Calibri"/>
          <w:b w:val="0"/>
          <w:i w:val="0"/>
          <w:sz w:val="21"/>
        </w:rPr>
        <w:t>Decomposing ROE clarifies why returns remain modest despite the recovery. BHEL’s asset turnover is structurally low (~0.44x in FY26) given the contract-asset-heavy balance sheet, and net margin is only just turning up (~4.7% in FY26). Even with mild financial leverage, the product yields a single-digit ROE. The bull case for the equity is precisely that all three levers — margin, turnover and (favourable) leverage — improve together as execution accelerates; our forecast captures this, lifting ROE toward ~17% by FY2033.</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880"/>
            <w:shd w:val="clear" w:fill="1F3864"/>
          </w:tcPr>
          <w:p>
            <w:pPr>
              <w:jc w:val="left"/>
            </w:pPr>
            <w:r>
              <w:rPr>
                <w:rFonts w:ascii="Calibri" w:hAnsi="Calibri"/>
                <w:b/>
                <w:i w:val="0"/>
                <w:color w:val="FFFFFF"/>
                <w:sz w:val="18"/>
              </w:rPr>
              <w:t>DuPont component</w:t>
            </w:r>
          </w:p>
        </w:tc>
        <w:tc>
          <w:tcPr>
            <w:tcW w:type="dxa" w:w="1296"/>
            <w:shd w:val="clear" w:fill="1F3864"/>
          </w:tcPr>
          <w:p>
            <w:pPr>
              <w:jc w:val="center"/>
            </w:pPr>
            <w:r>
              <w:rPr>
                <w:rFonts w:ascii="Calibri" w:hAnsi="Calibri"/>
                <w:b/>
                <w:i w:val="0"/>
                <w:color w:val="FFFFFF"/>
                <w:sz w:val="18"/>
              </w:rPr>
              <w:t>FY20</w:t>
            </w:r>
          </w:p>
        </w:tc>
        <w:tc>
          <w:tcPr>
            <w:tcW w:type="dxa" w:w="1296"/>
            <w:shd w:val="clear" w:fill="1F3864"/>
          </w:tcPr>
          <w:p>
            <w:pPr>
              <w:jc w:val="center"/>
            </w:pPr>
            <w:r>
              <w:rPr>
                <w:rFonts w:ascii="Calibri" w:hAnsi="Calibri"/>
                <w:b/>
                <w:i w:val="0"/>
                <w:color w:val="FFFFFF"/>
                <w:sz w:val="18"/>
              </w:rPr>
              <w:t>FY23</w:t>
            </w:r>
          </w:p>
        </w:tc>
        <w:tc>
          <w:tcPr>
            <w:tcW w:type="dxa" w:w="1296"/>
            <w:shd w:val="clear" w:fill="1F3864"/>
          </w:tcPr>
          <w:p>
            <w:pPr>
              <w:jc w:val="center"/>
            </w:pPr>
            <w:r>
              <w:rPr>
                <w:rFonts w:ascii="Calibri" w:hAnsi="Calibri"/>
                <w:b/>
                <w:i w:val="0"/>
                <w:color w:val="FFFFFF"/>
                <w:sz w:val="18"/>
              </w:rPr>
              <w:t>FY26</w:t>
            </w:r>
          </w:p>
        </w:tc>
        <w:tc>
          <w:tcPr>
            <w:tcW w:type="dxa" w:w="1296"/>
            <w:shd w:val="clear" w:fill="1F3864"/>
          </w:tcPr>
          <w:p>
            <w:pPr>
              <w:jc w:val="center"/>
            </w:pPr>
            <w:r>
              <w:rPr>
                <w:rFonts w:ascii="Calibri" w:hAnsi="Calibri"/>
                <w:b/>
                <w:i w:val="0"/>
                <w:color w:val="FFFFFF"/>
                <w:sz w:val="18"/>
              </w:rPr>
              <w:t>FY27E</w:t>
            </w:r>
          </w:p>
        </w:tc>
        <w:tc>
          <w:tcPr>
            <w:tcW w:type="dxa" w:w="1296"/>
            <w:shd w:val="clear" w:fill="1F3864"/>
          </w:tcPr>
          <w:p>
            <w:pPr>
              <w:jc w:val="center"/>
            </w:pPr>
            <w:r>
              <w:rPr>
                <w:rFonts w:ascii="Calibri" w:hAnsi="Calibri"/>
                <w:b/>
                <w:i w:val="0"/>
                <w:color w:val="FFFFFF"/>
                <w:sz w:val="18"/>
              </w:rPr>
              <w:t>FY33E</w:t>
            </w:r>
          </w:p>
        </w:tc>
      </w:tr>
      <w:tr>
        <w:tc>
          <w:tcPr>
            <w:tcW w:type="dxa" w:w="2880"/>
            <w:shd w:val="clear" w:fill="F2F5FB"/>
          </w:tcPr>
          <w:p>
            <w:pPr>
              <w:jc w:val="left"/>
            </w:pPr>
            <w:r>
              <w:rPr>
                <w:rFonts w:ascii="Calibri" w:hAnsi="Calibri"/>
                <w:b w:val="0"/>
                <w:i w:val="0"/>
                <w:sz w:val="18"/>
              </w:rPr>
              <w:t>Net profit margin</w:t>
            </w:r>
          </w:p>
        </w:tc>
        <w:tc>
          <w:tcPr>
            <w:tcW w:type="dxa" w:w="1296"/>
            <w:shd w:val="clear" w:fill="F2F5FB"/>
          </w:tcPr>
          <w:p>
            <w:pPr>
              <w:jc w:val="right"/>
            </w:pPr>
            <w:r>
              <w:rPr>
                <w:rFonts w:ascii="Calibri" w:hAnsi="Calibri"/>
                <w:b w:val="0"/>
                <w:i w:val="0"/>
                <w:sz w:val="18"/>
              </w:rPr>
              <w:t>-6.8%</w:t>
            </w:r>
          </w:p>
        </w:tc>
        <w:tc>
          <w:tcPr>
            <w:tcW w:type="dxa" w:w="1296"/>
            <w:shd w:val="clear" w:fill="F2F5FB"/>
          </w:tcPr>
          <w:p>
            <w:pPr>
              <w:jc w:val="right"/>
            </w:pPr>
            <w:r>
              <w:rPr>
                <w:rFonts w:ascii="Calibri" w:hAnsi="Calibri"/>
                <w:b w:val="0"/>
                <w:i w:val="0"/>
                <w:sz w:val="18"/>
              </w:rPr>
              <w:t>1.9%</w:t>
            </w:r>
          </w:p>
        </w:tc>
        <w:tc>
          <w:tcPr>
            <w:tcW w:type="dxa" w:w="1296"/>
            <w:shd w:val="clear" w:fill="F2F5FB"/>
          </w:tcPr>
          <w:p>
            <w:pPr>
              <w:jc w:val="right"/>
            </w:pPr>
            <w:r>
              <w:rPr>
                <w:rFonts w:ascii="Calibri" w:hAnsi="Calibri"/>
                <w:b w:val="0"/>
                <w:i w:val="0"/>
                <w:sz w:val="18"/>
              </w:rPr>
              <w:t>4.7%</w:t>
            </w:r>
          </w:p>
        </w:tc>
        <w:tc>
          <w:tcPr>
            <w:tcW w:type="dxa" w:w="1296"/>
            <w:shd w:val="clear" w:fill="F2F5FB"/>
          </w:tcPr>
          <w:p>
            <w:pPr>
              <w:jc w:val="right"/>
            </w:pPr>
            <w:r>
              <w:rPr>
                <w:rFonts w:ascii="Calibri" w:hAnsi="Calibri"/>
                <w:b w:val="0"/>
                <w:i w:val="0"/>
                <w:sz w:val="18"/>
              </w:rPr>
              <w:t>5.1%</w:t>
            </w:r>
          </w:p>
        </w:tc>
        <w:tc>
          <w:tcPr>
            <w:tcW w:type="dxa" w:w="1296"/>
            <w:shd w:val="clear" w:fill="F2F5FB"/>
          </w:tcPr>
          <w:p>
            <w:pPr>
              <w:jc w:val="right"/>
            </w:pPr>
            <w:r>
              <w:rPr>
                <w:rFonts w:ascii="Calibri" w:hAnsi="Calibri"/>
                <w:b w:val="0"/>
                <w:i w:val="0"/>
                <w:sz w:val="18"/>
              </w:rPr>
              <w:t>9.7%</w:t>
            </w:r>
          </w:p>
        </w:tc>
      </w:tr>
      <w:tr>
        <w:tc>
          <w:tcPr>
            <w:tcW w:type="dxa" w:w="2880"/>
          </w:tcPr>
          <w:p>
            <w:pPr>
              <w:jc w:val="left"/>
            </w:pPr>
            <w:r>
              <w:rPr>
                <w:rFonts w:ascii="Calibri" w:hAnsi="Calibri"/>
                <w:b w:val="0"/>
                <w:i w:val="0"/>
                <w:sz w:val="18"/>
              </w:rPr>
              <w:t>Asset turnover (x)</w:t>
            </w:r>
          </w:p>
        </w:tc>
        <w:tc>
          <w:tcPr>
            <w:tcW w:type="dxa" w:w="1296"/>
          </w:tcPr>
          <w:p>
            <w:pPr>
              <w:jc w:val="right"/>
            </w:pPr>
            <w:r>
              <w:rPr>
                <w:rFonts w:ascii="Calibri" w:hAnsi="Calibri"/>
                <w:b w:val="0"/>
                <w:i w:val="0"/>
                <w:sz w:val="18"/>
              </w:rPr>
              <w:t>0.36</w:t>
            </w:r>
          </w:p>
        </w:tc>
        <w:tc>
          <w:tcPr>
            <w:tcW w:type="dxa" w:w="1296"/>
          </w:tcPr>
          <w:p>
            <w:pPr>
              <w:jc w:val="right"/>
            </w:pPr>
            <w:r>
              <w:rPr>
                <w:rFonts w:ascii="Calibri" w:hAnsi="Calibri"/>
                <w:b w:val="0"/>
                <w:i w:val="0"/>
                <w:sz w:val="18"/>
              </w:rPr>
              <w:t>0.39</w:t>
            </w:r>
          </w:p>
        </w:tc>
        <w:tc>
          <w:tcPr>
            <w:tcW w:type="dxa" w:w="1296"/>
          </w:tcPr>
          <w:p>
            <w:pPr>
              <w:jc w:val="right"/>
            </w:pPr>
            <w:r>
              <w:rPr>
                <w:rFonts w:ascii="Calibri" w:hAnsi="Calibri"/>
                <w:b w:val="0"/>
                <w:i w:val="0"/>
                <w:sz w:val="18"/>
              </w:rPr>
              <w:t>0.44</w:t>
            </w:r>
          </w:p>
        </w:tc>
        <w:tc>
          <w:tcPr>
            <w:tcW w:type="dxa" w:w="1296"/>
          </w:tcPr>
          <w:p>
            <w:pPr>
              <w:jc w:val="right"/>
            </w:pPr>
            <w:r>
              <w:rPr>
                <w:rFonts w:ascii="Calibri" w:hAnsi="Calibri"/>
                <w:b w:val="0"/>
                <w:i w:val="0"/>
                <w:sz w:val="18"/>
              </w:rPr>
              <w:t>0.48</w:t>
            </w:r>
          </w:p>
        </w:tc>
        <w:tc>
          <w:tcPr>
            <w:tcW w:type="dxa" w:w="1296"/>
          </w:tcPr>
          <w:p>
            <w:pPr>
              <w:jc w:val="right"/>
            </w:pPr>
            <w:r>
              <w:rPr>
                <w:rFonts w:ascii="Calibri" w:hAnsi="Calibri"/>
                <w:b w:val="0"/>
                <w:i w:val="0"/>
                <w:sz w:val="18"/>
              </w:rPr>
              <w:t>0.61</w:t>
            </w:r>
          </w:p>
        </w:tc>
      </w:tr>
      <w:tr>
        <w:tc>
          <w:tcPr>
            <w:tcW w:type="dxa" w:w="2880"/>
            <w:shd w:val="clear" w:fill="F2F5FB"/>
          </w:tcPr>
          <w:p>
            <w:pPr>
              <w:jc w:val="left"/>
            </w:pPr>
            <w:r>
              <w:rPr>
                <w:rFonts w:ascii="Calibri" w:hAnsi="Calibri"/>
                <w:b w:val="0"/>
                <w:i w:val="0"/>
                <w:sz w:val="18"/>
              </w:rPr>
              <w:t>Equity multiplier (x)</w:t>
            </w:r>
          </w:p>
        </w:tc>
        <w:tc>
          <w:tcPr>
            <w:tcW w:type="dxa" w:w="1296"/>
            <w:shd w:val="clear" w:fill="F2F5FB"/>
          </w:tcPr>
          <w:p>
            <w:pPr>
              <w:jc w:val="right"/>
            </w:pPr>
            <w:r>
              <w:rPr>
                <w:rFonts w:ascii="Calibri" w:hAnsi="Calibri"/>
                <w:b w:val="0"/>
                <w:i w:val="0"/>
                <w:sz w:val="18"/>
              </w:rPr>
              <w:t>~2.1</w:t>
            </w:r>
          </w:p>
        </w:tc>
        <w:tc>
          <w:tcPr>
            <w:tcW w:type="dxa" w:w="1296"/>
            <w:shd w:val="clear" w:fill="F2F5FB"/>
          </w:tcPr>
          <w:p>
            <w:pPr>
              <w:jc w:val="right"/>
            </w:pPr>
            <w:r>
              <w:rPr>
                <w:rFonts w:ascii="Calibri" w:hAnsi="Calibri"/>
                <w:b w:val="0"/>
                <w:i w:val="0"/>
                <w:sz w:val="18"/>
              </w:rPr>
              <w:t>~2.2</w:t>
            </w:r>
          </w:p>
        </w:tc>
        <w:tc>
          <w:tcPr>
            <w:tcW w:type="dxa" w:w="1296"/>
            <w:shd w:val="clear" w:fill="F2F5FB"/>
          </w:tcPr>
          <w:p>
            <w:pPr>
              <w:jc w:val="right"/>
            </w:pPr>
            <w:r>
              <w:rPr>
                <w:rFonts w:ascii="Calibri" w:hAnsi="Calibri"/>
                <w:b w:val="0"/>
                <w:i w:val="0"/>
                <w:sz w:val="18"/>
              </w:rPr>
              <w:t>~2.9</w:t>
            </w:r>
          </w:p>
        </w:tc>
        <w:tc>
          <w:tcPr>
            <w:tcW w:type="dxa" w:w="1296"/>
            <w:shd w:val="clear" w:fill="F2F5FB"/>
          </w:tcPr>
          <w:p>
            <w:pPr>
              <w:jc w:val="right"/>
            </w:pPr>
            <w:r>
              <w:rPr>
                <w:rFonts w:ascii="Calibri" w:hAnsi="Calibri"/>
                <w:b w:val="0"/>
                <w:i w:val="0"/>
                <w:sz w:val="18"/>
              </w:rPr>
              <w:t>~3.0</w:t>
            </w:r>
          </w:p>
        </w:tc>
        <w:tc>
          <w:tcPr>
            <w:tcW w:type="dxa" w:w="1296"/>
            <w:shd w:val="clear" w:fill="F2F5FB"/>
          </w:tcPr>
          <w:p>
            <w:pPr>
              <w:jc w:val="right"/>
            </w:pPr>
            <w:r>
              <w:rPr>
                <w:rFonts w:ascii="Calibri" w:hAnsi="Calibri"/>
                <w:b w:val="0"/>
                <w:i w:val="0"/>
                <w:sz w:val="18"/>
              </w:rPr>
              <w:t>~2.9</w:t>
            </w:r>
          </w:p>
        </w:tc>
      </w:tr>
      <w:tr>
        <w:tc>
          <w:tcPr>
            <w:tcW w:type="dxa" w:w="2880"/>
          </w:tcPr>
          <w:p>
            <w:pPr>
              <w:jc w:val="left"/>
            </w:pPr>
            <w:r>
              <w:rPr>
                <w:rFonts w:ascii="Calibri" w:hAnsi="Calibri"/>
                <w:b w:val="0"/>
                <w:i w:val="0"/>
                <w:sz w:val="18"/>
              </w:rPr>
              <w:t>Return on equity</w:t>
            </w:r>
          </w:p>
        </w:tc>
        <w:tc>
          <w:tcPr>
            <w:tcW w:type="dxa" w:w="1296"/>
          </w:tcPr>
          <w:p>
            <w:pPr>
              <w:jc w:val="right"/>
            </w:pPr>
            <w:r>
              <w:rPr>
                <w:rFonts w:ascii="Calibri" w:hAnsi="Calibri"/>
                <w:b w:val="0"/>
                <w:i w:val="0"/>
                <w:sz w:val="18"/>
              </w:rPr>
              <w:t>~0%</w:t>
            </w:r>
          </w:p>
        </w:tc>
        <w:tc>
          <w:tcPr>
            <w:tcW w:type="dxa" w:w="1296"/>
          </w:tcPr>
          <w:p>
            <w:pPr>
              <w:jc w:val="right"/>
            </w:pPr>
            <w:r>
              <w:rPr>
                <w:rFonts w:ascii="Calibri" w:hAnsi="Calibri"/>
                <w:b w:val="0"/>
                <w:i w:val="0"/>
                <w:sz w:val="18"/>
              </w:rPr>
              <w:t>2%</w:t>
            </w:r>
          </w:p>
        </w:tc>
        <w:tc>
          <w:tcPr>
            <w:tcW w:type="dxa" w:w="1296"/>
          </w:tcPr>
          <w:p>
            <w:pPr>
              <w:jc w:val="right"/>
            </w:pPr>
            <w:r>
              <w:rPr>
                <w:rFonts w:ascii="Calibri" w:hAnsi="Calibri"/>
                <w:b w:val="0"/>
                <w:i w:val="0"/>
                <w:sz w:val="18"/>
              </w:rPr>
              <w:t>6%</w:t>
            </w:r>
          </w:p>
        </w:tc>
        <w:tc>
          <w:tcPr>
            <w:tcW w:type="dxa" w:w="1296"/>
          </w:tcPr>
          <w:p>
            <w:pPr>
              <w:jc w:val="right"/>
            </w:pPr>
            <w:r>
              <w:rPr>
                <w:rFonts w:ascii="Calibri" w:hAnsi="Calibri"/>
                <w:b w:val="0"/>
                <w:i w:val="0"/>
                <w:sz w:val="18"/>
              </w:rPr>
              <w:t>8%</w:t>
            </w:r>
          </w:p>
        </w:tc>
        <w:tc>
          <w:tcPr>
            <w:tcW w:type="dxa" w:w="1296"/>
          </w:tcPr>
          <w:p>
            <w:pPr>
              <w:jc w:val="right"/>
            </w:pPr>
            <w:r>
              <w:rPr>
                <w:rFonts w:ascii="Calibri" w:hAnsi="Calibri"/>
                <w:b w:val="0"/>
                <w:i w:val="0"/>
                <w:sz w:val="18"/>
              </w:rPr>
              <w:t>17%</w:t>
            </w:r>
          </w:p>
        </w:tc>
      </w:tr>
    </w:tbl>
    <w:p>
      <w:pPr>
        <w:spacing w:after="160" w:before="40"/>
      </w:pPr>
      <w:r>
        <w:rPr>
          <w:rFonts w:ascii="Calibri" w:hAnsi="Calibri"/>
          <w:b w:val="0"/>
          <w:i/>
          <w:color w:val="595959"/>
          <w:sz w:val="16"/>
        </w:rPr>
        <w:t>ROE = net margin × asset turnover × equity multiplier. Source: author’s model.</w:t>
      </w:r>
    </w:p>
    <w:p>
      <w:pPr>
        <w:spacing w:after="80" w:before="200"/>
      </w:pPr>
      <w:r>
        <w:rPr>
          <w:rFonts w:ascii="Calibri" w:hAnsi="Calibri"/>
          <w:b/>
          <w:i w:val="0"/>
          <w:color w:val="2E5BA8"/>
          <w:sz w:val="25"/>
        </w:rPr>
        <w:t>Peer benchmarking</w:t>
      </w:r>
    </w:p>
    <w:p>
      <w:pPr>
        <w:spacing w:after="80" w:before="0"/>
      </w:pPr>
      <w:r>
        <w:rPr>
          <w:rFonts w:ascii="Calibri" w:hAnsi="Calibri"/>
          <w:b w:val="0"/>
          <w:i w:val="0"/>
          <w:sz w:val="21"/>
        </w:rPr>
        <w:t>Against premium peers, BHEL screens as lower-margin and lower-return but cheaper on asset-based measures — and far more expensive on earnings, because its earnings base is still depressed relative to its order book.</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fill="1F3864"/>
          </w:tcPr>
          <w:p>
            <w:pPr>
              <w:jc w:val="left"/>
            </w:pPr>
            <w:r>
              <w:rPr>
                <w:rFonts w:ascii="Calibri" w:hAnsi="Calibri"/>
                <w:b/>
                <w:i w:val="0"/>
                <w:color w:val="FFFFFF"/>
                <w:sz w:val="18"/>
              </w:rPr>
              <w:t>Metric</w:t>
            </w:r>
          </w:p>
        </w:tc>
        <w:tc>
          <w:tcPr>
            <w:tcW w:type="dxa" w:w="1296"/>
            <w:shd w:val="clear" w:fill="1F3864"/>
          </w:tcPr>
          <w:p>
            <w:pPr>
              <w:jc w:val="center"/>
            </w:pPr>
            <w:r>
              <w:rPr>
                <w:rFonts w:ascii="Calibri" w:hAnsi="Calibri"/>
                <w:b/>
                <w:i w:val="0"/>
                <w:color w:val="FFFFFF"/>
                <w:sz w:val="18"/>
              </w:rPr>
              <w:t>BHEL</w:t>
            </w:r>
          </w:p>
        </w:tc>
        <w:tc>
          <w:tcPr>
            <w:tcW w:type="dxa" w:w="1872"/>
            <w:shd w:val="clear" w:fill="1F3864"/>
          </w:tcPr>
          <w:p>
            <w:pPr>
              <w:jc w:val="center"/>
            </w:pPr>
            <w:r>
              <w:rPr>
                <w:rFonts w:ascii="Calibri" w:hAnsi="Calibri"/>
                <w:b/>
                <w:i w:val="0"/>
                <w:color w:val="FFFFFF"/>
                <w:sz w:val="18"/>
              </w:rPr>
              <w:t>Peer range</w:t>
            </w:r>
          </w:p>
        </w:tc>
        <w:tc>
          <w:tcPr>
            <w:tcW w:type="dxa" w:w="3168"/>
            <w:shd w:val="clear" w:fill="1F3864"/>
          </w:tcPr>
          <w:p>
            <w:pPr>
              <w:jc w:val="center"/>
            </w:pPr>
            <w:r>
              <w:rPr>
                <w:rFonts w:ascii="Calibri" w:hAnsi="Calibri"/>
                <w:b/>
                <w:i w:val="0"/>
                <w:color w:val="FFFFFF"/>
                <w:sz w:val="18"/>
              </w:rPr>
              <w:t>Comment</w:t>
            </w:r>
          </w:p>
        </w:tc>
      </w:tr>
      <w:tr>
        <w:tc>
          <w:tcPr>
            <w:tcW w:type="dxa" w:w="2016"/>
            <w:shd w:val="clear" w:fill="F2F5FB"/>
          </w:tcPr>
          <w:p>
            <w:pPr>
              <w:jc w:val="left"/>
            </w:pPr>
            <w:r>
              <w:rPr>
                <w:rFonts w:ascii="Calibri" w:hAnsi="Calibri"/>
                <w:b w:val="0"/>
                <w:i w:val="0"/>
                <w:sz w:val="18"/>
              </w:rPr>
              <w:t>EBITDA margin</w:t>
            </w:r>
          </w:p>
        </w:tc>
        <w:tc>
          <w:tcPr>
            <w:tcW w:type="dxa" w:w="1296"/>
            <w:shd w:val="clear" w:fill="F2F5FB"/>
          </w:tcPr>
          <w:p>
            <w:pPr>
              <w:jc w:val="right"/>
            </w:pPr>
            <w:r>
              <w:rPr>
                <w:rFonts w:ascii="Calibri" w:hAnsi="Calibri"/>
                <w:b w:val="0"/>
                <w:i w:val="0"/>
                <w:sz w:val="18"/>
              </w:rPr>
              <w:t>~7%</w:t>
            </w:r>
          </w:p>
        </w:tc>
        <w:tc>
          <w:tcPr>
            <w:tcW w:type="dxa" w:w="1872"/>
            <w:shd w:val="clear" w:fill="F2F5FB"/>
          </w:tcPr>
          <w:p>
            <w:pPr>
              <w:jc w:val="right"/>
            </w:pPr>
            <w:r>
              <w:rPr>
                <w:rFonts w:ascii="Calibri" w:hAnsi="Calibri"/>
                <w:b w:val="0"/>
                <w:i w:val="0"/>
                <w:sz w:val="18"/>
              </w:rPr>
              <w:t>15–25%</w:t>
            </w:r>
          </w:p>
        </w:tc>
        <w:tc>
          <w:tcPr>
            <w:tcW w:type="dxa" w:w="3168"/>
            <w:shd w:val="clear" w:fill="F2F5FB"/>
          </w:tcPr>
          <w:p>
            <w:pPr>
              <w:jc w:val="right"/>
            </w:pPr>
            <w:r>
              <w:rPr>
                <w:rFonts w:ascii="Calibri" w:hAnsi="Calibri"/>
                <w:b w:val="0"/>
                <w:i w:val="0"/>
                <w:sz w:val="18"/>
              </w:rPr>
              <w:t>BHEL well below peers; recovery is the thesis</w:t>
            </w:r>
          </w:p>
        </w:tc>
      </w:tr>
      <w:tr>
        <w:tc>
          <w:tcPr>
            <w:tcW w:type="dxa" w:w="2016"/>
          </w:tcPr>
          <w:p>
            <w:pPr>
              <w:jc w:val="left"/>
            </w:pPr>
            <w:r>
              <w:rPr>
                <w:rFonts w:ascii="Calibri" w:hAnsi="Calibri"/>
                <w:b w:val="0"/>
                <w:i w:val="0"/>
                <w:sz w:val="18"/>
              </w:rPr>
              <w:t>ROE</w:t>
            </w:r>
          </w:p>
        </w:tc>
        <w:tc>
          <w:tcPr>
            <w:tcW w:type="dxa" w:w="1296"/>
          </w:tcPr>
          <w:p>
            <w:pPr>
              <w:jc w:val="right"/>
            </w:pPr>
            <w:r>
              <w:rPr>
                <w:rFonts w:ascii="Calibri" w:hAnsi="Calibri"/>
                <w:b w:val="0"/>
                <w:i w:val="0"/>
                <w:sz w:val="18"/>
              </w:rPr>
              <w:t>~6%</w:t>
            </w:r>
          </w:p>
        </w:tc>
        <w:tc>
          <w:tcPr>
            <w:tcW w:type="dxa" w:w="1872"/>
          </w:tcPr>
          <w:p>
            <w:pPr>
              <w:jc w:val="right"/>
            </w:pPr>
            <w:r>
              <w:rPr>
                <w:rFonts w:ascii="Calibri" w:hAnsi="Calibri"/>
                <w:b w:val="0"/>
                <w:i w:val="0"/>
                <w:sz w:val="18"/>
              </w:rPr>
              <w:t>15–25%</w:t>
            </w:r>
          </w:p>
        </w:tc>
        <w:tc>
          <w:tcPr>
            <w:tcW w:type="dxa" w:w="3168"/>
          </w:tcPr>
          <w:p>
            <w:pPr>
              <w:jc w:val="right"/>
            </w:pPr>
            <w:r>
              <w:rPr>
                <w:rFonts w:ascii="Calibri" w:hAnsi="Calibri"/>
                <w:b w:val="0"/>
                <w:i w:val="0"/>
                <w:sz w:val="18"/>
              </w:rPr>
              <w:t>Sub-cost-of-capital today</w:t>
            </w:r>
          </w:p>
        </w:tc>
      </w:tr>
      <w:tr>
        <w:tc>
          <w:tcPr>
            <w:tcW w:type="dxa" w:w="2016"/>
            <w:shd w:val="clear" w:fill="F2F5FB"/>
          </w:tcPr>
          <w:p>
            <w:pPr>
              <w:jc w:val="left"/>
            </w:pPr>
            <w:r>
              <w:rPr>
                <w:rFonts w:ascii="Calibri" w:hAnsi="Calibri"/>
                <w:b w:val="0"/>
                <w:i w:val="0"/>
                <w:sz w:val="18"/>
              </w:rPr>
              <w:t>P/E (trailing)</w:t>
            </w:r>
          </w:p>
        </w:tc>
        <w:tc>
          <w:tcPr>
            <w:tcW w:type="dxa" w:w="1296"/>
            <w:shd w:val="clear" w:fill="F2F5FB"/>
          </w:tcPr>
          <w:p>
            <w:pPr>
              <w:jc w:val="right"/>
            </w:pPr>
            <w:r>
              <w:rPr>
                <w:rFonts w:ascii="Calibri" w:hAnsi="Calibri"/>
                <w:b w:val="0"/>
                <w:i w:val="0"/>
                <w:sz w:val="18"/>
              </w:rPr>
              <w:t>~88x</w:t>
            </w:r>
          </w:p>
        </w:tc>
        <w:tc>
          <w:tcPr>
            <w:tcW w:type="dxa" w:w="1872"/>
            <w:shd w:val="clear" w:fill="F2F5FB"/>
          </w:tcPr>
          <w:p>
            <w:pPr>
              <w:jc w:val="right"/>
            </w:pPr>
            <w:r>
              <w:rPr>
                <w:rFonts w:ascii="Calibri" w:hAnsi="Calibri"/>
                <w:b w:val="0"/>
                <w:i w:val="0"/>
                <w:sz w:val="18"/>
              </w:rPr>
              <w:t>35–68x</w:t>
            </w:r>
          </w:p>
        </w:tc>
        <w:tc>
          <w:tcPr>
            <w:tcW w:type="dxa" w:w="3168"/>
            <w:shd w:val="clear" w:fill="F2F5FB"/>
          </w:tcPr>
          <w:p>
            <w:pPr>
              <w:jc w:val="right"/>
            </w:pPr>
            <w:r>
              <w:rPr>
                <w:rFonts w:ascii="Calibri" w:hAnsi="Calibri"/>
                <w:b w:val="0"/>
                <w:i w:val="0"/>
                <w:sz w:val="18"/>
              </w:rPr>
              <w:t>Optically high on depressed earnings</w:t>
            </w:r>
          </w:p>
        </w:tc>
      </w:tr>
      <w:tr>
        <w:tc>
          <w:tcPr>
            <w:tcW w:type="dxa" w:w="2016"/>
          </w:tcPr>
          <w:p>
            <w:pPr>
              <w:jc w:val="left"/>
            </w:pPr>
            <w:r>
              <w:rPr>
                <w:rFonts w:ascii="Calibri" w:hAnsi="Calibri"/>
                <w:b w:val="0"/>
                <w:i w:val="0"/>
                <w:sz w:val="18"/>
              </w:rPr>
              <w:t>P/B</w:t>
            </w:r>
          </w:p>
        </w:tc>
        <w:tc>
          <w:tcPr>
            <w:tcW w:type="dxa" w:w="1296"/>
          </w:tcPr>
          <w:p>
            <w:pPr>
              <w:jc w:val="right"/>
            </w:pPr>
            <w:r>
              <w:rPr>
                <w:rFonts w:ascii="Calibri" w:hAnsi="Calibri"/>
                <w:b w:val="0"/>
                <w:i w:val="0"/>
                <w:sz w:val="18"/>
              </w:rPr>
              <w:t>~6x</w:t>
            </w:r>
          </w:p>
        </w:tc>
        <w:tc>
          <w:tcPr>
            <w:tcW w:type="dxa" w:w="1872"/>
          </w:tcPr>
          <w:p>
            <w:pPr>
              <w:jc w:val="right"/>
            </w:pPr>
            <w:r>
              <w:rPr>
                <w:rFonts w:ascii="Calibri" w:hAnsi="Calibri"/>
                <w:b w:val="0"/>
                <w:i w:val="0"/>
                <w:sz w:val="18"/>
              </w:rPr>
              <w:t>5–20x</w:t>
            </w:r>
          </w:p>
        </w:tc>
        <w:tc>
          <w:tcPr>
            <w:tcW w:type="dxa" w:w="3168"/>
          </w:tcPr>
          <w:p>
            <w:pPr>
              <w:jc w:val="right"/>
            </w:pPr>
            <w:r>
              <w:rPr>
                <w:rFonts w:ascii="Calibri" w:hAnsi="Calibri"/>
                <w:b w:val="0"/>
                <w:i w:val="0"/>
                <w:sz w:val="18"/>
              </w:rPr>
              <w:t>Mid-range despite lower returns</w:t>
            </w:r>
          </w:p>
        </w:tc>
      </w:tr>
      <w:tr>
        <w:tc>
          <w:tcPr>
            <w:tcW w:type="dxa" w:w="2016"/>
            <w:shd w:val="clear" w:fill="F2F5FB"/>
          </w:tcPr>
          <w:p>
            <w:pPr>
              <w:jc w:val="left"/>
            </w:pPr>
            <w:r>
              <w:rPr>
                <w:rFonts w:ascii="Calibri" w:hAnsi="Calibri"/>
                <w:b w:val="0"/>
                <w:i w:val="0"/>
                <w:sz w:val="18"/>
              </w:rPr>
              <w:t>EV/EBITDA</w:t>
            </w:r>
          </w:p>
        </w:tc>
        <w:tc>
          <w:tcPr>
            <w:tcW w:type="dxa" w:w="1296"/>
            <w:shd w:val="clear" w:fill="F2F5FB"/>
          </w:tcPr>
          <w:p>
            <w:pPr>
              <w:jc w:val="right"/>
            </w:pPr>
            <w:r>
              <w:rPr>
                <w:rFonts w:ascii="Calibri" w:hAnsi="Calibri"/>
                <w:b w:val="0"/>
                <w:i w:val="0"/>
                <w:sz w:val="18"/>
              </w:rPr>
              <w:t>~45x</w:t>
            </w:r>
          </w:p>
        </w:tc>
        <w:tc>
          <w:tcPr>
            <w:tcW w:type="dxa" w:w="1872"/>
            <w:shd w:val="clear" w:fill="F2F5FB"/>
          </w:tcPr>
          <w:p>
            <w:pPr>
              <w:jc w:val="right"/>
            </w:pPr>
            <w:r>
              <w:rPr>
                <w:rFonts w:ascii="Calibri" w:hAnsi="Calibri"/>
                <w:b w:val="0"/>
                <w:i w:val="0"/>
                <w:sz w:val="18"/>
              </w:rPr>
              <w:t>22–50x</w:t>
            </w:r>
          </w:p>
        </w:tc>
        <w:tc>
          <w:tcPr>
            <w:tcW w:type="dxa" w:w="3168"/>
            <w:shd w:val="clear" w:fill="F2F5FB"/>
          </w:tcPr>
          <w:p>
            <w:pPr>
              <w:jc w:val="right"/>
            </w:pPr>
            <w:r>
              <w:rPr>
                <w:rFonts w:ascii="Calibri" w:hAnsi="Calibri"/>
                <w:b w:val="0"/>
                <w:i w:val="0"/>
                <w:sz w:val="18"/>
              </w:rPr>
              <w:t>In line despite weaker quality</w:t>
            </w:r>
          </w:p>
        </w:tc>
      </w:tr>
    </w:tbl>
    <w:p>
      <w:pPr>
        <w:spacing w:after="160" w:before="40"/>
      </w:pPr>
      <w:r>
        <w:rPr>
          <w:rFonts w:ascii="Calibri" w:hAnsi="Calibri"/>
          <w:b w:val="0"/>
          <w:i/>
          <w:color w:val="595959"/>
          <w:sz w:val="16"/>
        </w:rPr>
        <w:t>Indicative; peer multiples to be refreshed with live data. Source: author’s model and peer set.</w:t>
      </w:r>
    </w:p>
    <w:p>
      <w:r>
        <w:br w:type="page"/>
      </w:r>
    </w:p>
    <w:p>
      <w:pPr>
        <w:spacing w:after="160" w:before="40"/>
        <w:pBdr>
          <w:bottom w:val="single" w:sz="12" w:space="4" w:color="1F3864"/>
        </w:pBdr>
      </w:pPr>
      <w:r>
        <w:rPr>
          <w:rFonts w:ascii="Calibri" w:hAnsi="Calibri"/>
          <w:b/>
          <w:i w:val="0"/>
          <w:color w:val="1F3864"/>
          <w:sz w:val="32"/>
        </w:rPr>
        <w:t>5.  Forecast Assumptions &amp; Projections (FY2027–FY2033)</w:t>
      </w:r>
    </w:p>
    <w:p>
      <w:pPr>
        <w:spacing w:after="120" w:before="0"/>
      </w:pPr>
      <w:r>
        <w:rPr>
          <w:rFonts w:ascii="Calibri" w:hAnsi="Calibri"/>
          <w:b w:val="0"/>
          <w:i w:val="0"/>
          <w:sz w:val="21"/>
        </w:rPr>
        <w:t>Our forecast is order-book-driven rather than a simple growth extrapolation. Revenue is built from the opening order book and an execution (conversion) rate; the closing order book rolls forward as opening + new inflow − revenue executed. Costs, working capital, capex, depreciation, debt and equity are each projected on explicit drivers and fully linked across the three statements.</w:t>
      </w:r>
    </w:p>
    <w:p>
      <w:pPr>
        <w:spacing w:after="80" w:before="200"/>
      </w:pPr>
      <w:r>
        <w:rPr>
          <w:rFonts w:ascii="Calibri" w:hAnsi="Calibri"/>
          <w:b/>
          <w:i w:val="0"/>
          <w:color w:val="2E5BA8"/>
          <w:sz w:val="25"/>
        </w:rPr>
        <w:t>Key forecast assumptions (Base case)</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2736"/>
            <w:shd w:val="clear" w:fill="1F3864"/>
          </w:tcPr>
          <w:p>
            <w:pPr>
              <w:jc w:val="left"/>
            </w:pPr>
            <w:r>
              <w:rPr>
                <w:rFonts w:ascii="Calibri" w:hAnsi="Calibri"/>
                <w:b/>
                <w:i w:val="0"/>
                <w:color w:val="FFFFFF"/>
                <w:sz w:val="17"/>
              </w:rPr>
              <w:t>Driver</w:t>
            </w:r>
          </w:p>
        </w:tc>
        <w:tc>
          <w:tcPr>
            <w:tcW w:type="dxa" w:w="1066"/>
            <w:shd w:val="clear" w:fill="1F3864"/>
          </w:tcPr>
          <w:p>
            <w:pPr>
              <w:jc w:val="center"/>
            </w:pPr>
            <w:r>
              <w:rPr>
                <w:rFonts w:ascii="Calibri" w:hAnsi="Calibri"/>
                <w:b/>
                <w:i w:val="0"/>
                <w:color w:val="FFFFFF"/>
                <w:sz w:val="17"/>
              </w:rPr>
              <w:t>FY27E</w:t>
            </w:r>
          </w:p>
        </w:tc>
        <w:tc>
          <w:tcPr>
            <w:tcW w:type="dxa" w:w="1066"/>
            <w:shd w:val="clear" w:fill="1F3864"/>
          </w:tcPr>
          <w:p>
            <w:pPr>
              <w:jc w:val="center"/>
            </w:pPr>
            <w:r>
              <w:rPr>
                <w:rFonts w:ascii="Calibri" w:hAnsi="Calibri"/>
                <w:b/>
                <w:i w:val="0"/>
                <w:color w:val="FFFFFF"/>
                <w:sz w:val="17"/>
              </w:rPr>
              <w:t>FY28E</w:t>
            </w:r>
          </w:p>
        </w:tc>
        <w:tc>
          <w:tcPr>
            <w:tcW w:type="dxa" w:w="1066"/>
            <w:shd w:val="clear" w:fill="1F3864"/>
          </w:tcPr>
          <w:p>
            <w:pPr>
              <w:jc w:val="center"/>
            </w:pPr>
            <w:r>
              <w:rPr>
                <w:rFonts w:ascii="Calibri" w:hAnsi="Calibri"/>
                <w:b/>
                <w:i w:val="0"/>
                <w:color w:val="FFFFFF"/>
                <w:sz w:val="17"/>
              </w:rPr>
              <w:t>FY29E</w:t>
            </w:r>
          </w:p>
        </w:tc>
        <w:tc>
          <w:tcPr>
            <w:tcW w:type="dxa" w:w="1066"/>
            <w:shd w:val="clear" w:fill="1F3864"/>
          </w:tcPr>
          <w:p>
            <w:pPr>
              <w:jc w:val="center"/>
            </w:pPr>
            <w:r>
              <w:rPr>
                <w:rFonts w:ascii="Calibri" w:hAnsi="Calibri"/>
                <w:b/>
                <w:i w:val="0"/>
                <w:color w:val="FFFFFF"/>
                <w:sz w:val="17"/>
              </w:rPr>
              <w:t>FY30E</w:t>
            </w:r>
          </w:p>
        </w:tc>
        <w:tc>
          <w:tcPr>
            <w:tcW w:type="dxa" w:w="1066"/>
            <w:shd w:val="clear" w:fill="1F3864"/>
          </w:tcPr>
          <w:p>
            <w:pPr>
              <w:jc w:val="center"/>
            </w:pPr>
            <w:r>
              <w:rPr>
                <w:rFonts w:ascii="Calibri" w:hAnsi="Calibri"/>
                <w:b/>
                <w:i w:val="0"/>
                <w:color w:val="FFFFFF"/>
                <w:sz w:val="17"/>
              </w:rPr>
              <w:t>FY31E</w:t>
            </w:r>
          </w:p>
        </w:tc>
        <w:tc>
          <w:tcPr>
            <w:tcW w:type="dxa" w:w="1066"/>
            <w:shd w:val="clear" w:fill="1F3864"/>
          </w:tcPr>
          <w:p>
            <w:pPr>
              <w:jc w:val="center"/>
            </w:pPr>
            <w:r>
              <w:rPr>
                <w:rFonts w:ascii="Calibri" w:hAnsi="Calibri"/>
                <w:b/>
                <w:i w:val="0"/>
                <w:color w:val="FFFFFF"/>
                <w:sz w:val="17"/>
              </w:rPr>
              <w:t>FY32E</w:t>
            </w:r>
          </w:p>
        </w:tc>
        <w:tc>
          <w:tcPr>
            <w:tcW w:type="dxa" w:w="1066"/>
            <w:shd w:val="clear" w:fill="1F3864"/>
          </w:tcPr>
          <w:p>
            <w:pPr>
              <w:jc w:val="center"/>
            </w:pPr>
            <w:r>
              <w:rPr>
                <w:rFonts w:ascii="Calibri" w:hAnsi="Calibri"/>
                <w:b/>
                <w:i w:val="0"/>
                <w:color w:val="FFFFFF"/>
                <w:sz w:val="17"/>
              </w:rPr>
              <w:t>FY33E</w:t>
            </w:r>
          </w:p>
        </w:tc>
      </w:tr>
      <w:tr>
        <w:tc>
          <w:tcPr>
            <w:tcW w:type="dxa" w:w="2736"/>
            <w:shd w:val="clear" w:fill="F2F5FB"/>
          </w:tcPr>
          <w:p>
            <w:pPr>
              <w:jc w:val="left"/>
            </w:pPr>
            <w:r>
              <w:rPr>
                <w:rFonts w:ascii="Calibri" w:hAnsi="Calibri"/>
                <w:b w:val="0"/>
                <w:i w:val="0"/>
                <w:sz w:val="17"/>
              </w:rPr>
              <w:t>New order inflow (₹ cr)</w:t>
            </w:r>
          </w:p>
        </w:tc>
        <w:tc>
          <w:tcPr>
            <w:tcW w:type="dxa" w:w="1066"/>
            <w:shd w:val="clear" w:fill="F2F5FB"/>
          </w:tcPr>
          <w:p>
            <w:pPr>
              <w:jc w:val="right"/>
            </w:pPr>
            <w:r>
              <w:rPr>
                <w:rFonts w:ascii="Calibri" w:hAnsi="Calibri"/>
                <w:b w:val="0"/>
                <w:i w:val="0"/>
                <w:sz w:val="17"/>
              </w:rPr>
              <w:t>78,000</w:t>
            </w:r>
          </w:p>
        </w:tc>
        <w:tc>
          <w:tcPr>
            <w:tcW w:type="dxa" w:w="1066"/>
            <w:shd w:val="clear" w:fill="F2F5FB"/>
          </w:tcPr>
          <w:p>
            <w:pPr>
              <w:jc w:val="right"/>
            </w:pPr>
            <w:r>
              <w:rPr>
                <w:rFonts w:ascii="Calibri" w:hAnsi="Calibri"/>
                <w:b w:val="0"/>
                <w:i w:val="0"/>
                <w:sz w:val="17"/>
              </w:rPr>
              <w:t>82,000</w:t>
            </w:r>
          </w:p>
        </w:tc>
        <w:tc>
          <w:tcPr>
            <w:tcW w:type="dxa" w:w="1066"/>
            <w:shd w:val="clear" w:fill="F2F5FB"/>
          </w:tcPr>
          <w:p>
            <w:pPr>
              <w:jc w:val="right"/>
            </w:pPr>
            <w:r>
              <w:rPr>
                <w:rFonts w:ascii="Calibri" w:hAnsi="Calibri"/>
                <w:b w:val="0"/>
                <w:i w:val="0"/>
                <w:sz w:val="17"/>
              </w:rPr>
              <w:t>86,000</w:t>
            </w:r>
          </w:p>
        </w:tc>
        <w:tc>
          <w:tcPr>
            <w:tcW w:type="dxa" w:w="1066"/>
            <w:shd w:val="clear" w:fill="F2F5FB"/>
          </w:tcPr>
          <w:p>
            <w:pPr>
              <w:jc w:val="right"/>
            </w:pPr>
            <w:r>
              <w:rPr>
                <w:rFonts w:ascii="Calibri" w:hAnsi="Calibri"/>
                <w:b w:val="0"/>
                <w:i w:val="0"/>
                <w:sz w:val="17"/>
              </w:rPr>
              <w:t>90,000</w:t>
            </w:r>
          </w:p>
        </w:tc>
        <w:tc>
          <w:tcPr>
            <w:tcW w:type="dxa" w:w="1066"/>
            <w:shd w:val="clear" w:fill="F2F5FB"/>
          </w:tcPr>
          <w:p>
            <w:pPr>
              <w:jc w:val="right"/>
            </w:pPr>
            <w:r>
              <w:rPr>
                <w:rFonts w:ascii="Calibri" w:hAnsi="Calibri"/>
                <w:b w:val="0"/>
                <w:i w:val="0"/>
                <w:sz w:val="17"/>
              </w:rPr>
              <w:t>92,000</w:t>
            </w:r>
          </w:p>
        </w:tc>
        <w:tc>
          <w:tcPr>
            <w:tcW w:type="dxa" w:w="1066"/>
            <w:shd w:val="clear" w:fill="F2F5FB"/>
          </w:tcPr>
          <w:p>
            <w:pPr>
              <w:jc w:val="right"/>
            </w:pPr>
            <w:r>
              <w:rPr>
                <w:rFonts w:ascii="Calibri" w:hAnsi="Calibri"/>
                <w:b w:val="0"/>
                <w:i w:val="0"/>
                <w:sz w:val="17"/>
              </w:rPr>
              <w:t>94,000</w:t>
            </w:r>
          </w:p>
        </w:tc>
        <w:tc>
          <w:tcPr>
            <w:tcW w:type="dxa" w:w="1066"/>
            <w:shd w:val="clear" w:fill="F2F5FB"/>
          </w:tcPr>
          <w:p>
            <w:pPr>
              <w:jc w:val="right"/>
            </w:pPr>
            <w:r>
              <w:rPr>
                <w:rFonts w:ascii="Calibri" w:hAnsi="Calibri"/>
                <w:b w:val="0"/>
                <w:i w:val="0"/>
                <w:sz w:val="17"/>
              </w:rPr>
              <w:t>96,000</w:t>
            </w:r>
          </w:p>
        </w:tc>
      </w:tr>
      <w:tr>
        <w:tc>
          <w:tcPr>
            <w:tcW w:type="dxa" w:w="2736"/>
          </w:tcPr>
          <w:p>
            <w:pPr>
              <w:jc w:val="left"/>
            </w:pPr>
            <w:r>
              <w:rPr>
                <w:rFonts w:ascii="Calibri" w:hAnsi="Calibri"/>
                <w:b w:val="0"/>
                <w:i w:val="0"/>
                <w:sz w:val="17"/>
              </w:rPr>
              <w:t>Execution rate (rev / opening OB)</w:t>
            </w:r>
          </w:p>
        </w:tc>
        <w:tc>
          <w:tcPr>
            <w:tcW w:type="dxa" w:w="1066"/>
          </w:tcPr>
          <w:p>
            <w:pPr>
              <w:jc w:val="right"/>
            </w:pPr>
            <w:r>
              <w:rPr>
                <w:rFonts w:ascii="Calibri" w:hAnsi="Calibri"/>
                <w:b w:val="0"/>
                <w:i w:val="0"/>
                <w:sz w:val="17"/>
              </w:rPr>
              <w:t>16.5%</w:t>
            </w:r>
          </w:p>
        </w:tc>
        <w:tc>
          <w:tcPr>
            <w:tcW w:type="dxa" w:w="1066"/>
          </w:tcPr>
          <w:p>
            <w:pPr>
              <w:jc w:val="right"/>
            </w:pPr>
            <w:r>
              <w:rPr>
                <w:rFonts w:ascii="Calibri" w:hAnsi="Calibri"/>
                <w:b w:val="0"/>
                <w:i w:val="0"/>
                <w:sz w:val="17"/>
              </w:rPr>
              <w:t>17.0%</w:t>
            </w:r>
          </w:p>
        </w:tc>
        <w:tc>
          <w:tcPr>
            <w:tcW w:type="dxa" w:w="1066"/>
          </w:tcPr>
          <w:p>
            <w:pPr>
              <w:jc w:val="right"/>
            </w:pPr>
            <w:r>
              <w:rPr>
                <w:rFonts w:ascii="Calibri" w:hAnsi="Calibri"/>
                <w:b w:val="0"/>
                <w:i w:val="0"/>
                <w:sz w:val="17"/>
              </w:rPr>
              <w:t>17.5%</w:t>
            </w:r>
          </w:p>
        </w:tc>
        <w:tc>
          <w:tcPr>
            <w:tcW w:type="dxa" w:w="1066"/>
          </w:tcPr>
          <w:p>
            <w:pPr>
              <w:jc w:val="right"/>
            </w:pPr>
            <w:r>
              <w:rPr>
                <w:rFonts w:ascii="Calibri" w:hAnsi="Calibri"/>
                <w:b w:val="0"/>
                <w:i w:val="0"/>
                <w:sz w:val="17"/>
              </w:rPr>
              <w:t>18.0%</w:t>
            </w:r>
          </w:p>
        </w:tc>
        <w:tc>
          <w:tcPr>
            <w:tcW w:type="dxa" w:w="1066"/>
          </w:tcPr>
          <w:p>
            <w:pPr>
              <w:jc w:val="right"/>
            </w:pPr>
            <w:r>
              <w:rPr>
                <w:rFonts w:ascii="Calibri" w:hAnsi="Calibri"/>
                <w:b w:val="0"/>
                <w:i w:val="0"/>
                <w:sz w:val="17"/>
              </w:rPr>
              <w:t>18.5%</w:t>
            </w:r>
          </w:p>
        </w:tc>
        <w:tc>
          <w:tcPr>
            <w:tcW w:type="dxa" w:w="1066"/>
          </w:tcPr>
          <w:p>
            <w:pPr>
              <w:jc w:val="right"/>
            </w:pPr>
            <w:r>
              <w:rPr>
                <w:rFonts w:ascii="Calibri" w:hAnsi="Calibri"/>
                <w:b w:val="0"/>
                <w:i w:val="0"/>
                <w:sz w:val="17"/>
              </w:rPr>
              <w:t>19.0%</w:t>
            </w:r>
          </w:p>
        </w:tc>
        <w:tc>
          <w:tcPr>
            <w:tcW w:type="dxa" w:w="1066"/>
          </w:tcPr>
          <w:p>
            <w:pPr>
              <w:jc w:val="right"/>
            </w:pPr>
            <w:r>
              <w:rPr>
                <w:rFonts w:ascii="Calibri" w:hAnsi="Calibri"/>
                <w:b w:val="0"/>
                <w:i w:val="0"/>
                <w:sz w:val="17"/>
              </w:rPr>
              <w:t>19.5%</w:t>
            </w:r>
          </w:p>
        </w:tc>
      </w:tr>
      <w:tr>
        <w:tc>
          <w:tcPr>
            <w:tcW w:type="dxa" w:w="2736"/>
            <w:shd w:val="clear" w:fill="F2F5FB"/>
          </w:tcPr>
          <w:p>
            <w:pPr>
              <w:jc w:val="left"/>
            </w:pPr>
            <w:r>
              <w:rPr>
                <w:rFonts w:ascii="Calibri" w:hAnsi="Calibri"/>
                <w:b w:val="0"/>
                <w:i w:val="0"/>
                <w:sz w:val="17"/>
              </w:rPr>
              <w:t>Revenue growth</w:t>
            </w:r>
          </w:p>
        </w:tc>
        <w:tc>
          <w:tcPr>
            <w:tcW w:type="dxa" w:w="1066"/>
            <w:shd w:val="clear" w:fill="F2F5FB"/>
          </w:tcPr>
          <w:p>
            <w:pPr>
              <w:jc w:val="right"/>
            </w:pPr>
            <w:r>
              <w:rPr>
                <w:rFonts w:ascii="Calibri" w:hAnsi="Calibri"/>
                <w:b w:val="0"/>
                <w:i w:val="0"/>
                <w:sz w:val="17"/>
              </w:rPr>
              <w:t>19.6%</w:t>
            </w:r>
          </w:p>
        </w:tc>
        <w:tc>
          <w:tcPr>
            <w:tcW w:type="dxa" w:w="1066"/>
            <w:shd w:val="clear" w:fill="F2F5FB"/>
          </w:tcPr>
          <w:p>
            <w:pPr>
              <w:jc w:val="right"/>
            </w:pPr>
            <w:r>
              <w:rPr>
                <w:rFonts w:ascii="Calibri" w:hAnsi="Calibri"/>
                <w:b w:val="0"/>
                <w:i w:val="0"/>
                <w:sz w:val="17"/>
              </w:rPr>
              <w:t>19.5%</w:t>
            </w:r>
          </w:p>
        </w:tc>
        <w:tc>
          <w:tcPr>
            <w:tcW w:type="dxa" w:w="1066"/>
            <w:shd w:val="clear" w:fill="F2F5FB"/>
          </w:tcPr>
          <w:p>
            <w:pPr>
              <w:jc w:val="right"/>
            </w:pPr>
            <w:r>
              <w:rPr>
                <w:rFonts w:ascii="Calibri" w:hAnsi="Calibri"/>
                <w:b w:val="0"/>
                <w:i w:val="0"/>
                <w:sz w:val="17"/>
              </w:rPr>
              <w:t>15.8%</w:t>
            </w:r>
          </w:p>
        </w:tc>
        <w:tc>
          <w:tcPr>
            <w:tcW w:type="dxa" w:w="1066"/>
            <w:shd w:val="clear" w:fill="F2F5FB"/>
          </w:tcPr>
          <w:p>
            <w:pPr>
              <w:jc w:val="right"/>
            </w:pPr>
            <w:r>
              <w:rPr>
                <w:rFonts w:ascii="Calibri" w:hAnsi="Calibri"/>
                <w:b w:val="0"/>
                <w:i w:val="0"/>
                <w:sz w:val="17"/>
              </w:rPr>
              <w:t>13.1%</w:t>
            </w:r>
          </w:p>
        </w:tc>
        <w:tc>
          <w:tcPr>
            <w:tcW w:type="dxa" w:w="1066"/>
            <w:shd w:val="clear" w:fill="F2F5FB"/>
          </w:tcPr>
          <w:p>
            <w:pPr>
              <w:jc w:val="right"/>
            </w:pPr>
            <w:r>
              <w:rPr>
                <w:rFonts w:ascii="Calibri" w:hAnsi="Calibri"/>
                <w:b w:val="0"/>
                <w:i w:val="0"/>
                <w:sz w:val="17"/>
              </w:rPr>
              <w:t>11.1%</w:t>
            </w:r>
          </w:p>
        </w:tc>
        <w:tc>
          <w:tcPr>
            <w:tcW w:type="dxa" w:w="1066"/>
            <w:shd w:val="clear" w:fill="F2F5FB"/>
          </w:tcPr>
          <w:p>
            <w:pPr>
              <w:jc w:val="right"/>
            </w:pPr>
            <w:r>
              <w:rPr>
                <w:rFonts w:ascii="Calibri" w:hAnsi="Calibri"/>
                <w:b w:val="0"/>
                <w:i w:val="0"/>
                <w:sz w:val="17"/>
              </w:rPr>
              <w:t>9.1%</w:t>
            </w:r>
          </w:p>
        </w:tc>
        <w:tc>
          <w:tcPr>
            <w:tcW w:type="dxa" w:w="1066"/>
            <w:shd w:val="clear" w:fill="F2F5FB"/>
          </w:tcPr>
          <w:p>
            <w:pPr>
              <w:jc w:val="right"/>
            </w:pPr>
            <w:r>
              <w:rPr>
                <w:rFonts w:ascii="Calibri" w:hAnsi="Calibri"/>
                <w:b w:val="0"/>
                <w:i w:val="0"/>
                <w:sz w:val="17"/>
              </w:rPr>
              <w:t>7.5%</w:t>
            </w:r>
          </w:p>
        </w:tc>
      </w:tr>
      <w:tr>
        <w:tc>
          <w:tcPr>
            <w:tcW w:type="dxa" w:w="2736"/>
          </w:tcPr>
          <w:p>
            <w:pPr>
              <w:jc w:val="left"/>
            </w:pPr>
            <w:r>
              <w:rPr>
                <w:rFonts w:ascii="Calibri" w:hAnsi="Calibri"/>
                <w:b w:val="0"/>
                <w:i w:val="0"/>
                <w:sz w:val="17"/>
              </w:rPr>
              <w:t>EBITDA margin</w:t>
            </w:r>
          </w:p>
        </w:tc>
        <w:tc>
          <w:tcPr>
            <w:tcW w:type="dxa" w:w="1066"/>
          </w:tcPr>
          <w:p>
            <w:pPr>
              <w:jc w:val="right"/>
            </w:pPr>
            <w:r>
              <w:rPr>
                <w:rFonts w:ascii="Calibri" w:hAnsi="Calibri"/>
                <w:b w:val="0"/>
                <w:i w:val="0"/>
                <w:sz w:val="17"/>
              </w:rPr>
              <w:t>7.5%</w:t>
            </w:r>
          </w:p>
        </w:tc>
        <w:tc>
          <w:tcPr>
            <w:tcW w:type="dxa" w:w="1066"/>
          </w:tcPr>
          <w:p>
            <w:pPr>
              <w:jc w:val="right"/>
            </w:pPr>
            <w:r>
              <w:rPr>
                <w:rFonts w:ascii="Calibri" w:hAnsi="Calibri"/>
                <w:b w:val="0"/>
                <w:i w:val="0"/>
                <w:sz w:val="17"/>
              </w:rPr>
              <w:t>8.5%</w:t>
            </w:r>
          </w:p>
        </w:tc>
        <w:tc>
          <w:tcPr>
            <w:tcW w:type="dxa" w:w="1066"/>
          </w:tcPr>
          <w:p>
            <w:pPr>
              <w:jc w:val="right"/>
            </w:pPr>
            <w:r>
              <w:rPr>
                <w:rFonts w:ascii="Calibri" w:hAnsi="Calibri"/>
                <w:b w:val="0"/>
                <w:i w:val="0"/>
                <w:sz w:val="17"/>
              </w:rPr>
              <w:t>9.5%</w:t>
            </w:r>
          </w:p>
        </w:tc>
        <w:tc>
          <w:tcPr>
            <w:tcW w:type="dxa" w:w="1066"/>
          </w:tcPr>
          <w:p>
            <w:pPr>
              <w:jc w:val="right"/>
            </w:pPr>
            <w:r>
              <w:rPr>
                <w:rFonts w:ascii="Calibri" w:hAnsi="Calibri"/>
                <w:b w:val="0"/>
                <w:i w:val="0"/>
                <w:sz w:val="17"/>
              </w:rPr>
              <w:t>10.5%</w:t>
            </w:r>
          </w:p>
        </w:tc>
        <w:tc>
          <w:tcPr>
            <w:tcW w:type="dxa" w:w="1066"/>
          </w:tcPr>
          <w:p>
            <w:pPr>
              <w:jc w:val="right"/>
            </w:pPr>
            <w:r>
              <w:rPr>
                <w:rFonts w:ascii="Calibri" w:hAnsi="Calibri"/>
                <w:b w:val="0"/>
                <w:i w:val="0"/>
                <w:sz w:val="17"/>
              </w:rPr>
              <w:t>11.0%</w:t>
            </w:r>
          </w:p>
        </w:tc>
        <w:tc>
          <w:tcPr>
            <w:tcW w:type="dxa" w:w="1066"/>
          </w:tcPr>
          <w:p>
            <w:pPr>
              <w:jc w:val="right"/>
            </w:pPr>
            <w:r>
              <w:rPr>
                <w:rFonts w:ascii="Calibri" w:hAnsi="Calibri"/>
                <w:b w:val="0"/>
                <w:i w:val="0"/>
                <w:sz w:val="17"/>
              </w:rPr>
              <w:t>11.5%</w:t>
            </w:r>
          </w:p>
        </w:tc>
        <w:tc>
          <w:tcPr>
            <w:tcW w:type="dxa" w:w="1066"/>
          </w:tcPr>
          <w:p>
            <w:pPr>
              <w:jc w:val="right"/>
            </w:pPr>
            <w:r>
              <w:rPr>
                <w:rFonts w:ascii="Calibri" w:hAnsi="Calibri"/>
                <w:b w:val="0"/>
                <w:i w:val="0"/>
                <w:sz w:val="17"/>
              </w:rPr>
              <w:t>12.0%</w:t>
            </w:r>
          </w:p>
        </w:tc>
      </w:tr>
      <w:tr>
        <w:tc>
          <w:tcPr>
            <w:tcW w:type="dxa" w:w="2736"/>
            <w:shd w:val="clear" w:fill="F2F5FB"/>
          </w:tcPr>
          <w:p>
            <w:pPr>
              <w:jc w:val="left"/>
            </w:pPr>
            <w:r>
              <w:rPr>
                <w:rFonts w:ascii="Calibri" w:hAnsi="Calibri"/>
                <w:b w:val="0"/>
                <w:i w:val="0"/>
                <w:sz w:val="17"/>
              </w:rPr>
              <w:t>Effective tax rate</w:t>
            </w:r>
          </w:p>
        </w:tc>
        <w:tc>
          <w:tcPr>
            <w:tcW w:type="dxa" w:w="1066"/>
            <w:shd w:val="clear" w:fill="F2F5FB"/>
          </w:tcPr>
          <w:p>
            <w:pPr>
              <w:jc w:val="right"/>
            </w:pPr>
            <w:r>
              <w:rPr>
                <w:rFonts w:ascii="Calibri" w:hAnsi="Calibri"/>
                <w:b w:val="0"/>
                <w:i w:val="0"/>
                <w:sz w:val="17"/>
              </w:rPr>
              <w:t>25%</w:t>
            </w:r>
          </w:p>
        </w:tc>
        <w:tc>
          <w:tcPr>
            <w:tcW w:type="dxa" w:w="1066"/>
            <w:shd w:val="clear" w:fill="F2F5FB"/>
          </w:tcPr>
          <w:p>
            <w:pPr>
              <w:jc w:val="right"/>
            </w:pPr>
            <w:r>
              <w:rPr>
                <w:rFonts w:ascii="Calibri" w:hAnsi="Calibri"/>
                <w:b w:val="0"/>
                <w:i w:val="0"/>
                <w:sz w:val="17"/>
              </w:rPr>
              <w:t>25%</w:t>
            </w:r>
          </w:p>
        </w:tc>
        <w:tc>
          <w:tcPr>
            <w:tcW w:type="dxa" w:w="1066"/>
            <w:shd w:val="clear" w:fill="F2F5FB"/>
          </w:tcPr>
          <w:p>
            <w:pPr>
              <w:jc w:val="right"/>
            </w:pPr>
            <w:r>
              <w:rPr>
                <w:rFonts w:ascii="Calibri" w:hAnsi="Calibri"/>
                <w:b w:val="0"/>
                <w:i w:val="0"/>
                <w:sz w:val="17"/>
              </w:rPr>
              <w:t>25%</w:t>
            </w:r>
          </w:p>
        </w:tc>
        <w:tc>
          <w:tcPr>
            <w:tcW w:type="dxa" w:w="1066"/>
            <w:shd w:val="clear" w:fill="F2F5FB"/>
          </w:tcPr>
          <w:p>
            <w:pPr>
              <w:jc w:val="right"/>
            </w:pPr>
            <w:r>
              <w:rPr>
                <w:rFonts w:ascii="Calibri" w:hAnsi="Calibri"/>
                <w:b w:val="0"/>
                <w:i w:val="0"/>
                <w:sz w:val="17"/>
              </w:rPr>
              <w:t>25%</w:t>
            </w:r>
          </w:p>
        </w:tc>
        <w:tc>
          <w:tcPr>
            <w:tcW w:type="dxa" w:w="1066"/>
            <w:shd w:val="clear" w:fill="F2F5FB"/>
          </w:tcPr>
          <w:p>
            <w:pPr>
              <w:jc w:val="right"/>
            </w:pPr>
            <w:r>
              <w:rPr>
                <w:rFonts w:ascii="Calibri" w:hAnsi="Calibri"/>
                <w:b w:val="0"/>
                <w:i w:val="0"/>
                <w:sz w:val="17"/>
              </w:rPr>
              <w:t>25%</w:t>
            </w:r>
          </w:p>
        </w:tc>
        <w:tc>
          <w:tcPr>
            <w:tcW w:type="dxa" w:w="1066"/>
            <w:shd w:val="clear" w:fill="F2F5FB"/>
          </w:tcPr>
          <w:p>
            <w:pPr>
              <w:jc w:val="right"/>
            </w:pPr>
            <w:r>
              <w:rPr>
                <w:rFonts w:ascii="Calibri" w:hAnsi="Calibri"/>
                <w:b w:val="0"/>
                <w:i w:val="0"/>
                <w:sz w:val="17"/>
              </w:rPr>
              <w:t>25%</w:t>
            </w:r>
          </w:p>
        </w:tc>
        <w:tc>
          <w:tcPr>
            <w:tcW w:type="dxa" w:w="1066"/>
            <w:shd w:val="clear" w:fill="F2F5FB"/>
          </w:tcPr>
          <w:p>
            <w:pPr>
              <w:jc w:val="right"/>
            </w:pPr>
            <w:r>
              <w:rPr>
                <w:rFonts w:ascii="Calibri" w:hAnsi="Calibri"/>
                <w:b w:val="0"/>
                <w:i w:val="0"/>
                <w:sz w:val="17"/>
              </w:rPr>
              <w:t>25%</w:t>
            </w:r>
          </w:p>
        </w:tc>
      </w:tr>
      <w:tr>
        <w:tc>
          <w:tcPr>
            <w:tcW w:type="dxa" w:w="2736"/>
          </w:tcPr>
          <w:p>
            <w:pPr>
              <w:jc w:val="left"/>
            </w:pPr>
            <w:r>
              <w:rPr>
                <w:rFonts w:ascii="Calibri" w:hAnsi="Calibri"/>
                <w:b w:val="0"/>
                <w:i w:val="0"/>
                <w:sz w:val="17"/>
              </w:rPr>
              <w:t>Capex (₹ cr)</w:t>
            </w:r>
          </w:p>
        </w:tc>
        <w:tc>
          <w:tcPr>
            <w:tcW w:type="dxa" w:w="1066"/>
          </w:tcPr>
          <w:p>
            <w:pPr>
              <w:jc w:val="right"/>
            </w:pPr>
            <w:r>
              <w:rPr>
                <w:rFonts w:ascii="Calibri" w:hAnsi="Calibri"/>
                <w:b w:val="0"/>
                <w:i w:val="0"/>
                <w:sz w:val="17"/>
              </w:rPr>
              <w:t>600</w:t>
            </w:r>
          </w:p>
        </w:tc>
        <w:tc>
          <w:tcPr>
            <w:tcW w:type="dxa" w:w="1066"/>
          </w:tcPr>
          <w:p>
            <w:pPr>
              <w:jc w:val="right"/>
            </w:pPr>
            <w:r>
              <w:rPr>
                <w:rFonts w:ascii="Calibri" w:hAnsi="Calibri"/>
                <w:b w:val="0"/>
                <w:i w:val="0"/>
                <w:sz w:val="17"/>
              </w:rPr>
              <w:t>700</w:t>
            </w:r>
          </w:p>
        </w:tc>
        <w:tc>
          <w:tcPr>
            <w:tcW w:type="dxa" w:w="1066"/>
          </w:tcPr>
          <w:p>
            <w:pPr>
              <w:jc w:val="right"/>
            </w:pPr>
            <w:r>
              <w:rPr>
                <w:rFonts w:ascii="Calibri" w:hAnsi="Calibri"/>
                <w:b w:val="0"/>
                <w:i w:val="0"/>
                <w:sz w:val="17"/>
              </w:rPr>
              <w:t>750</w:t>
            </w:r>
          </w:p>
        </w:tc>
        <w:tc>
          <w:tcPr>
            <w:tcW w:type="dxa" w:w="1066"/>
          </w:tcPr>
          <w:p>
            <w:pPr>
              <w:jc w:val="right"/>
            </w:pPr>
            <w:r>
              <w:rPr>
                <w:rFonts w:ascii="Calibri" w:hAnsi="Calibri"/>
                <w:b w:val="0"/>
                <w:i w:val="0"/>
                <w:sz w:val="17"/>
              </w:rPr>
              <w:t>800</w:t>
            </w:r>
          </w:p>
        </w:tc>
        <w:tc>
          <w:tcPr>
            <w:tcW w:type="dxa" w:w="1066"/>
          </w:tcPr>
          <w:p>
            <w:pPr>
              <w:jc w:val="right"/>
            </w:pPr>
            <w:r>
              <w:rPr>
                <w:rFonts w:ascii="Calibri" w:hAnsi="Calibri"/>
                <w:b w:val="0"/>
                <w:i w:val="0"/>
                <w:sz w:val="17"/>
              </w:rPr>
              <w:t>850</w:t>
            </w:r>
          </w:p>
        </w:tc>
        <w:tc>
          <w:tcPr>
            <w:tcW w:type="dxa" w:w="1066"/>
          </w:tcPr>
          <w:p>
            <w:pPr>
              <w:jc w:val="right"/>
            </w:pPr>
            <w:r>
              <w:rPr>
                <w:rFonts w:ascii="Calibri" w:hAnsi="Calibri"/>
                <w:b w:val="0"/>
                <w:i w:val="0"/>
                <w:sz w:val="17"/>
              </w:rPr>
              <w:t>900</w:t>
            </w:r>
          </w:p>
        </w:tc>
        <w:tc>
          <w:tcPr>
            <w:tcW w:type="dxa" w:w="1066"/>
          </w:tcPr>
          <w:p>
            <w:pPr>
              <w:jc w:val="right"/>
            </w:pPr>
            <w:r>
              <w:rPr>
                <w:rFonts w:ascii="Calibri" w:hAnsi="Calibri"/>
                <w:b w:val="0"/>
                <w:i w:val="0"/>
                <w:sz w:val="17"/>
              </w:rPr>
              <w:t>950</w:t>
            </w:r>
          </w:p>
        </w:tc>
      </w:tr>
      <w:tr>
        <w:tc>
          <w:tcPr>
            <w:tcW w:type="dxa" w:w="2736"/>
            <w:shd w:val="clear" w:fill="F2F5FB"/>
          </w:tcPr>
          <w:p>
            <w:pPr>
              <w:jc w:val="left"/>
            </w:pPr>
            <w:r>
              <w:rPr>
                <w:rFonts w:ascii="Calibri" w:hAnsi="Calibri"/>
                <w:b w:val="0"/>
                <w:i w:val="0"/>
                <w:sz w:val="17"/>
              </w:rPr>
              <w:t>Dividend payout</w:t>
            </w:r>
          </w:p>
        </w:tc>
        <w:tc>
          <w:tcPr>
            <w:tcW w:type="dxa" w:w="1066"/>
            <w:shd w:val="clear" w:fill="F2F5FB"/>
          </w:tcPr>
          <w:p>
            <w:pPr>
              <w:jc w:val="right"/>
            </w:pPr>
            <w:r>
              <w:rPr>
                <w:rFonts w:ascii="Calibri" w:hAnsi="Calibri"/>
                <w:b w:val="0"/>
                <w:i w:val="0"/>
                <w:sz w:val="17"/>
              </w:rPr>
              <w:t>30%</w:t>
            </w:r>
          </w:p>
        </w:tc>
        <w:tc>
          <w:tcPr>
            <w:tcW w:type="dxa" w:w="1066"/>
            <w:shd w:val="clear" w:fill="F2F5FB"/>
          </w:tcPr>
          <w:p>
            <w:pPr>
              <w:jc w:val="right"/>
            </w:pPr>
            <w:r>
              <w:rPr>
                <w:rFonts w:ascii="Calibri" w:hAnsi="Calibri"/>
                <w:b w:val="0"/>
                <w:i w:val="0"/>
                <w:sz w:val="17"/>
              </w:rPr>
              <w:t>30%</w:t>
            </w:r>
          </w:p>
        </w:tc>
        <w:tc>
          <w:tcPr>
            <w:tcW w:type="dxa" w:w="1066"/>
            <w:shd w:val="clear" w:fill="F2F5FB"/>
          </w:tcPr>
          <w:p>
            <w:pPr>
              <w:jc w:val="right"/>
            </w:pPr>
            <w:r>
              <w:rPr>
                <w:rFonts w:ascii="Calibri" w:hAnsi="Calibri"/>
                <w:b w:val="0"/>
                <w:i w:val="0"/>
                <w:sz w:val="17"/>
              </w:rPr>
              <w:t>30%</w:t>
            </w:r>
          </w:p>
        </w:tc>
        <w:tc>
          <w:tcPr>
            <w:tcW w:type="dxa" w:w="1066"/>
            <w:shd w:val="clear" w:fill="F2F5FB"/>
          </w:tcPr>
          <w:p>
            <w:pPr>
              <w:jc w:val="right"/>
            </w:pPr>
            <w:r>
              <w:rPr>
                <w:rFonts w:ascii="Calibri" w:hAnsi="Calibri"/>
                <w:b w:val="0"/>
                <w:i w:val="0"/>
                <w:sz w:val="17"/>
              </w:rPr>
              <w:t>30%</w:t>
            </w:r>
          </w:p>
        </w:tc>
        <w:tc>
          <w:tcPr>
            <w:tcW w:type="dxa" w:w="1066"/>
            <w:shd w:val="clear" w:fill="F2F5FB"/>
          </w:tcPr>
          <w:p>
            <w:pPr>
              <w:jc w:val="right"/>
            </w:pPr>
            <w:r>
              <w:rPr>
                <w:rFonts w:ascii="Calibri" w:hAnsi="Calibri"/>
                <w:b w:val="0"/>
                <w:i w:val="0"/>
                <w:sz w:val="17"/>
              </w:rPr>
              <w:t>30%</w:t>
            </w:r>
          </w:p>
        </w:tc>
        <w:tc>
          <w:tcPr>
            <w:tcW w:type="dxa" w:w="1066"/>
            <w:shd w:val="clear" w:fill="F2F5FB"/>
          </w:tcPr>
          <w:p>
            <w:pPr>
              <w:jc w:val="right"/>
            </w:pPr>
            <w:r>
              <w:rPr>
                <w:rFonts w:ascii="Calibri" w:hAnsi="Calibri"/>
                <w:b w:val="0"/>
                <w:i w:val="0"/>
                <w:sz w:val="17"/>
              </w:rPr>
              <w:t>30%</w:t>
            </w:r>
          </w:p>
        </w:tc>
        <w:tc>
          <w:tcPr>
            <w:tcW w:type="dxa" w:w="1066"/>
            <w:shd w:val="clear" w:fill="F2F5FB"/>
          </w:tcPr>
          <w:p>
            <w:pPr>
              <w:jc w:val="right"/>
            </w:pPr>
            <w:r>
              <w:rPr>
                <w:rFonts w:ascii="Calibri" w:hAnsi="Calibri"/>
                <w:b w:val="0"/>
                <w:i w:val="0"/>
                <w:sz w:val="17"/>
              </w:rPr>
              <w:t>30%</w:t>
            </w:r>
          </w:p>
        </w:tc>
      </w:tr>
    </w:tbl>
    <w:p>
      <w:pPr>
        <w:spacing w:after="160" w:before="40"/>
      </w:pPr>
      <w:r>
        <w:rPr>
          <w:rFonts w:ascii="Calibri" w:hAnsi="Calibri"/>
          <w:b w:val="0"/>
          <w:i/>
          <w:color w:val="595959"/>
          <w:sz w:val="16"/>
        </w:rPr>
        <w:t>Base-case drivers. The model also contains Bull and Bear scenarios selectable via a switch. Source: author’s model.</w:t>
      </w:r>
    </w:p>
    <w:p>
      <w:pPr>
        <w:spacing w:after="80" w:before="200"/>
      </w:pPr>
      <w:r>
        <w:rPr>
          <w:rFonts w:ascii="Calibri" w:hAnsi="Calibri"/>
          <w:b/>
          <w:i w:val="0"/>
          <w:color w:val="2E5BA8"/>
          <w:sz w:val="25"/>
        </w:rPr>
        <w:t>Rationale</w:t>
      </w:r>
    </w:p>
    <w:p>
      <w:pPr>
        <w:pStyle w:val="ListBullet"/>
        <w:spacing w:after="80"/>
      </w:pPr>
      <w:r>
        <w:rPr>
          <w:rFonts w:ascii="Calibri" w:hAnsi="Calibri"/>
          <w:b/>
          <w:i w:val="0"/>
          <w:color w:val="1F3864"/>
          <w:sz w:val="21"/>
        </w:rPr>
        <w:t xml:space="preserve">Order inflow: </w:t>
      </w:r>
      <w:r>
        <w:rPr>
          <w:rFonts w:ascii="Calibri" w:hAnsi="Calibri"/>
          <w:b w:val="0"/>
          <w:i w:val="0"/>
          <w:sz w:val="21"/>
        </w:rPr>
        <w:t xml:space="preserve"> We assume inflow moderates from the elevated FY26 level but stays robust (₹78,000–96,000 cr), consistent with the 80 GW thermal plan, FGD retrofits and nuclear/industrial orders. Even so, the order book keeps growing, reaching ~₹4.3 lakh cr by FY2033.</w:t>
      </w:r>
    </w:p>
    <w:p>
      <w:pPr>
        <w:pStyle w:val="ListBullet"/>
        <w:spacing w:after="80"/>
      </w:pPr>
      <w:r>
        <w:rPr>
          <w:rFonts w:ascii="Calibri" w:hAnsi="Calibri"/>
          <w:b/>
          <w:i w:val="0"/>
          <w:color w:val="1F3864"/>
          <w:sz w:val="21"/>
        </w:rPr>
        <w:t xml:space="preserve">Execution rate: </w:t>
      </w:r>
      <w:r>
        <w:rPr>
          <w:rFonts w:ascii="Calibri" w:hAnsi="Calibri"/>
          <w:b w:val="0"/>
          <w:i w:val="0"/>
          <w:sz w:val="21"/>
        </w:rPr>
        <w:t xml:space="preserve"> The single most important assumption. We model the conversion rate rising gradually from ~16.5% to ~19.5%, reflecting better project delivery (8.9 GW commissioned in FY26) — but deliberately below a flawless ramp, given the sector’s slippage record.</w:t>
      </w:r>
    </w:p>
    <w:p>
      <w:pPr>
        <w:pStyle w:val="ListBullet"/>
        <w:spacing w:after="80"/>
      </w:pPr>
      <w:r>
        <w:rPr>
          <w:rFonts w:ascii="Calibri" w:hAnsi="Calibri"/>
          <w:b/>
          <w:i w:val="0"/>
          <w:color w:val="1F3864"/>
          <w:sz w:val="21"/>
        </w:rPr>
        <w:t xml:space="preserve">Margins: </w:t>
      </w:r>
      <w:r>
        <w:rPr>
          <w:rFonts w:ascii="Calibri" w:hAnsi="Calibri"/>
          <w:b w:val="0"/>
          <w:i w:val="0"/>
          <w:sz w:val="21"/>
        </w:rPr>
        <w:t xml:space="preserve"> We model a disciplined climb from 7.5% to 12.0% as legacy low-margin orders roll off, fixed costs are absorbed over higher volume, and mix improves. We do not assume a return to the &gt;15% margins of BHEL’s last super-cycle.</w:t>
      </w:r>
    </w:p>
    <w:p>
      <w:pPr>
        <w:pStyle w:val="ListBullet"/>
        <w:spacing w:after="80"/>
      </w:pPr>
      <w:r>
        <w:rPr>
          <w:rFonts w:ascii="Calibri" w:hAnsi="Calibri"/>
          <w:b/>
          <w:i w:val="0"/>
          <w:color w:val="1F3864"/>
          <w:sz w:val="21"/>
        </w:rPr>
        <w:t xml:space="preserve">Working capital: </w:t>
      </w:r>
      <w:r>
        <w:rPr>
          <w:rFonts w:ascii="Calibri" w:hAnsi="Calibri"/>
          <w:b w:val="0"/>
          <w:i w:val="0"/>
          <w:sz w:val="21"/>
        </w:rPr>
        <w:t xml:space="preserve"> Receivable days ~73, inventory ~155 days and payable ~123 days are held near FY26 levels; contract assets and liabilities are modelled as a declining percentage of revenue as the cycle matures.</w:t>
      </w:r>
    </w:p>
    <w:p>
      <w:pPr>
        <w:spacing w:after="80" w:before="200"/>
      </w:pPr>
      <w:r>
        <w:rPr>
          <w:rFonts w:ascii="Calibri" w:hAnsi="Calibri"/>
          <w:b/>
          <w:i w:val="0"/>
          <w:color w:val="2E5BA8"/>
          <w:sz w:val="25"/>
        </w:rPr>
        <w:t>Projected P&amp;L summary</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68"/>
            <w:shd w:val="clear" w:fill="1F3864"/>
          </w:tcPr>
          <w:p>
            <w:pPr>
              <w:jc w:val="left"/>
            </w:pPr>
            <w:r>
              <w:rPr>
                <w:rFonts w:ascii="Calibri" w:hAnsi="Calibri"/>
                <w:b/>
                <w:i w:val="0"/>
                <w:color w:val="FFFFFF"/>
                <w:sz w:val="18"/>
              </w:rPr>
              <w:t>Year</w:t>
            </w:r>
          </w:p>
        </w:tc>
        <w:tc>
          <w:tcPr>
            <w:tcW w:type="dxa" w:w="1512"/>
            <w:shd w:val="clear" w:fill="1F3864"/>
          </w:tcPr>
          <w:p>
            <w:pPr>
              <w:jc w:val="center"/>
            </w:pPr>
            <w:r>
              <w:rPr>
                <w:rFonts w:ascii="Calibri" w:hAnsi="Calibri"/>
                <w:b/>
                <w:i w:val="0"/>
                <w:color w:val="FFFFFF"/>
                <w:sz w:val="18"/>
              </w:rPr>
              <w:t>Revenue</w:t>
            </w:r>
          </w:p>
        </w:tc>
        <w:tc>
          <w:tcPr>
            <w:tcW w:type="dxa" w:w="1440"/>
            <w:shd w:val="clear" w:fill="1F3864"/>
          </w:tcPr>
          <w:p>
            <w:pPr>
              <w:jc w:val="center"/>
            </w:pPr>
            <w:r>
              <w:rPr>
                <w:rFonts w:ascii="Calibri" w:hAnsi="Calibri"/>
                <w:b/>
                <w:i w:val="0"/>
                <w:color w:val="FFFFFF"/>
                <w:sz w:val="18"/>
              </w:rPr>
              <w:t>EBITDA</w:t>
            </w:r>
          </w:p>
        </w:tc>
        <w:tc>
          <w:tcPr>
            <w:tcW w:type="dxa" w:w="1368"/>
            <w:shd w:val="clear" w:fill="1F3864"/>
          </w:tcPr>
          <w:p>
            <w:pPr>
              <w:jc w:val="center"/>
            </w:pPr>
            <w:r>
              <w:rPr>
                <w:rFonts w:ascii="Calibri" w:hAnsi="Calibri"/>
                <w:b/>
                <w:i w:val="0"/>
                <w:color w:val="FFFFFF"/>
                <w:sz w:val="18"/>
              </w:rPr>
              <w:t>EBITDA %</w:t>
            </w:r>
          </w:p>
        </w:tc>
        <w:tc>
          <w:tcPr>
            <w:tcW w:type="dxa" w:w="1440"/>
            <w:shd w:val="clear" w:fill="1F3864"/>
          </w:tcPr>
          <w:p>
            <w:pPr>
              <w:jc w:val="center"/>
            </w:pPr>
            <w:r>
              <w:rPr>
                <w:rFonts w:ascii="Calibri" w:hAnsi="Calibri"/>
                <w:b/>
                <w:i w:val="0"/>
                <w:color w:val="FFFFFF"/>
                <w:sz w:val="18"/>
              </w:rPr>
              <w:t>PAT</w:t>
            </w:r>
          </w:p>
        </w:tc>
        <w:tc>
          <w:tcPr>
            <w:tcW w:type="dxa" w:w="1296"/>
            <w:shd w:val="clear" w:fill="1F3864"/>
          </w:tcPr>
          <w:p>
            <w:pPr>
              <w:jc w:val="center"/>
            </w:pPr>
            <w:r>
              <w:rPr>
                <w:rFonts w:ascii="Calibri" w:hAnsi="Calibri"/>
                <w:b/>
                <w:i w:val="0"/>
                <w:color w:val="FFFFFF"/>
                <w:sz w:val="18"/>
              </w:rPr>
              <w:t>EPS (₹)</w:t>
            </w:r>
          </w:p>
        </w:tc>
        <w:tc>
          <w:tcPr>
            <w:tcW w:type="dxa" w:w="1152"/>
            <w:shd w:val="clear" w:fill="1F3864"/>
          </w:tcPr>
          <w:p>
            <w:pPr>
              <w:jc w:val="center"/>
            </w:pPr>
            <w:r>
              <w:rPr>
                <w:rFonts w:ascii="Calibri" w:hAnsi="Calibri"/>
                <w:b/>
                <w:i w:val="0"/>
                <w:color w:val="FFFFFF"/>
                <w:sz w:val="18"/>
              </w:rPr>
              <w:t>ROE %</w:t>
            </w:r>
          </w:p>
        </w:tc>
      </w:tr>
      <w:tr>
        <w:tc>
          <w:tcPr>
            <w:tcW w:type="dxa" w:w="1368"/>
            <w:shd w:val="clear" w:fill="F2F5FB"/>
          </w:tcPr>
          <w:p>
            <w:pPr>
              <w:jc w:val="left"/>
            </w:pPr>
            <w:r>
              <w:rPr>
                <w:rFonts w:ascii="Calibri" w:hAnsi="Calibri"/>
                <w:b w:val="0"/>
                <w:i w:val="0"/>
                <w:sz w:val="18"/>
              </w:rPr>
              <w:t>FY27E</w:t>
            </w:r>
          </w:p>
        </w:tc>
        <w:tc>
          <w:tcPr>
            <w:tcW w:type="dxa" w:w="1512"/>
            <w:shd w:val="clear" w:fill="F2F5FB"/>
          </w:tcPr>
          <w:p>
            <w:pPr>
              <w:jc w:val="right"/>
            </w:pPr>
            <w:r>
              <w:rPr>
                <w:rFonts w:ascii="Calibri" w:hAnsi="Calibri"/>
                <w:b w:val="0"/>
                <w:i w:val="0"/>
                <w:sz w:val="18"/>
              </w:rPr>
              <w:t>40,392</w:t>
            </w:r>
          </w:p>
        </w:tc>
        <w:tc>
          <w:tcPr>
            <w:tcW w:type="dxa" w:w="1440"/>
            <w:shd w:val="clear" w:fill="F2F5FB"/>
          </w:tcPr>
          <w:p>
            <w:pPr>
              <w:jc w:val="right"/>
            </w:pPr>
            <w:r>
              <w:rPr>
                <w:rFonts w:ascii="Calibri" w:hAnsi="Calibri"/>
                <w:b w:val="0"/>
                <w:i w:val="0"/>
                <w:sz w:val="18"/>
              </w:rPr>
              <w:t>3,029</w:t>
            </w:r>
          </w:p>
        </w:tc>
        <w:tc>
          <w:tcPr>
            <w:tcW w:type="dxa" w:w="1368"/>
            <w:shd w:val="clear" w:fill="F2F5FB"/>
          </w:tcPr>
          <w:p>
            <w:pPr>
              <w:jc w:val="right"/>
            </w:pPr>
            <w:r>
              <w:rPr>
                <w:rFonts w:ascii="Calibri" w:hAnsi="Calibri"/>
                <w:b w:val="0"/>
                <w:i w:val="0"/>
                <w:sz w:val="18"/>
              </w:rPr>
              <w:t>7.5%</w:t>
            </w:r>
          </w:p>
        </w:tc>
        <w:tc>
          <w:tcPr>
            <w:tcW w:type="dxa" w:w="1440"/>
            <w:shd w:val="clear" w:fill="F2F5FB"/>
          </w:tcPr>
          <w:p>
            <w:pPr>
              <w:jc w:val="right"/>
            </w:pPr>
            <w:r>
              <w:rPr>
                <w:rFonts w:ascii="Calibri" w:hAnsi="Calibri"/>
                <w:b w:val="0"/>
                <w:i w:val="0"/>
                <w:sz w:val="18"/>
              </w:rPr>
              <w:t>2,075</w:t>
            </w:r>
          </w:p>
        </w:tc>
        <w:tc>
          <w:tcPr>
            <w:tcW w:type="dxa" w:w="1296"/>
            <w:shd w:val="clear" w:fill="F2F5FB"/>
          </w:tcPr>
          <w:p>
            <w:pPr>
              <w:jc w:val="right"/>
            </w:pPr>
            <w:r>
              <w:rPr>
                <w:rFonts w:ascii="Calibri" w:hAnsi="Calibri"/>
                <w:b w:val="0"/>
                <w:i w:val="0"/>
                <w:sz w:val="18"/>
              </w:rPr>
              <w:t>6.0</w:t>
            </w:r>
          </w:p>
        </w:tc>
        <w:tc>
          <w:tcPr>
            <w:tcW w:type="dxa" w:w="1152"/>
            <w:shd w:val="clear" w:fill="F2F5FB"/>
          </w:tcPr>
          <w:p>
            <w:pPr>
              <w:jc w:val="right"/>
            </w:pPr>
            <w:r>
              <w:rPr>
                <w:rFonts w:ascii="Calibri" w:hAnsi="Calibri"/>
                <w:b w:val="0"/>
                <w:i w:val="0"/>
                <w:sz w:val="18"/>
              </w:rPr>
              <w:t>8%</w:t>
            </w:r>
          </w:p>
        </w:tc>
      </w:tr>
      <w:tr>
        <w:tc>
          <w:tcPr>
            <w:tcW w:type="dxa" w:w="1368"/>
          </w:tcPr>
          <w:p>
            <w:pPr>
              <w:jc w:val="left"/>
            </w:pPr>
            <w:r>
              <w:rPr>
                <w:rFonts w:ascii="Calibri" w:hAnsi="Calibri"/>
                <w:b w:val="0"/>
                <w:i w:val="0"/>
                <w:sz w:val="18"/>
              </w:rPr>
              <w:t>FY28E</w:t>
            </w:r>
          </w:p>
        </w:tc>
        <w:tc>
          <w:tcPr>
            <w:tcW w:type="dxa" w:w="1512"/>
          </w:tcPr>
          <w:p>
            <w:pPr>
              <w:jc w:val="right"/>
            </w:pPr>
            <w:r>
              <w:rPr>
                <w:rFonts w:ascii="Calibri" w:hAnsi="Calibri"/>
                <w:b w:val="0"/>
                <w:i w:val="0"/>
                <w:sz w:val="18"/>
              </w:rPr>
              <w:t>48,275</w:t>
            </w:r>
          </w:p>
        </w:tc>
        <w:tc>
          <w:tcPr>
            <w:tcW w:type="dxa" w:w="1440"/>
          </w:tcPr>
          <w:p>
            <w:pPr>
              <w:jc w:val="right"/>
            </w:pPr>
            <w:r>
              <w:rPr>
                <w:rFonts w:ascii="Calibri" w:hAnsi="Calibri"/>
                <w:b w:val="0"/>
                <w:i w:val="0"/>
                <w:sz w:val="18"/>
              </w:rPr>
              <w:t>4,103</w:t>
            </w:r>
          </w:p>
        </w:tc>
        <w:tc>
          <w:tcPr>
            <w:tcW w:type="dxa" w:w="1368"/>
          </w:tcPr>
          <w:p>
            <w:pPr>
              <w:jc w:val="right"/>
            </w:pPr>
            <w:r>
              <w:rPr>
                <w:rFonts w:ascii="Calibri" w:hAnsi="Calibri"/>
                <w:b w:val="0"/>
                <w:i w:val="0"/>
                <w:sz w:val="18"/>
              </w:rPr>
              <w:t>8.5%</w:t>
            </w:r>
          </w:p>
        </w:tc>
        <w:tc>
          <w:tcPr>
            <w:tcW w:type="dxa" w:w="1440"/>
          </w:tcPr>
          <w:p>
            <w:pPr>
              <w:jc w:val="right"/>
            </w:pPr>
            <w:r>
              <w:rPr>
                <w:rFonts w:ascii="Calibri" w:hAnsi="Calibri"/>
                <w:b w:val="0"/>
                <w:i w:val="0"/>
                <w:sz w:val="18"/>
              </w:rPr>
              <w:t>3,029</w:t>
            </w:r>
          </w:p>
        </w:tc>
        <w:tc>
          <w:tcPr>
            <w:tcW w:type="dxa" w:w="1296"/>
          </w:tcPr>
          <w:p>
            <w:pPr>
              <w:jc w:val="right"/>
            </w:pPr>
            <w:r>
              <w:rPr>
                <w:rFonts w:ascii="Calibri" w:hAnsi="Calibri"/>
                <w:b w:val="0"/>
                <w:i w:val="0"/>
                <w:sz w:val="18"/>
              </w:rPr>
              <w:t>8.7</w:t>
            </w:r>
          </w:p>
        </w:tc>
        <w:tc>
          <w:tcPr>
            <w:tcW w:type="dxa" w:w="1152"/>
          </w:tcPr>
          <w:p>
            <w:pPr>
              <w:jc w:val="right"/>
            </w:pPr>
            <w:r>
              <w:rPr>
                <w:rFonts w:ascii="Calibri" w:hAnsi="Calibri"/>
                <w:b w:val="0"/>
                <w:i w:val="0"/>
                <w:sz w:val="18"/>
              </w:rPr>
              <w:t>11%</w:t>
            </w:r>
          </w:p>
        </w:tc>
      </w:tr>
      <w:tr>
        <w:tc>
          <w:tcPr>
            <w:tcW w:type="dxa" w:w="1368"/>
            <w:shd w:val="clear" w:fill="F2F5FB"/>
          </w:tcPr>
          <w:p>
            <w:pPr>
              <w:jc w:val="left"/>
            </w:pPr>
            <w:r>
              <w:rPr>
                <w:rFonts w:ascii="Calibri" w:hAnsi="Calibri"/>
                <w:b w:val="0"/>
                <w:i w:val="0"/>
                <w:sz w:val="18"/>
              </w:rPr>
              <w:t>FY29E</w:t>
            </w:r>
          </w:p>
        </w:tc>
        <w:tc>
          <w:tcPr>
            <w:tcW w:type="dxa" w:w="1512"/>
            <w:shd w:val="clear" w:fill="F2F5FB"/>
          </w:tcPr>
          <w:p>
            <w:pPr>
              <w:jc w:val="right"/>
            </w:pPr>
            <w:r>
              <w:rPr>
                <w:rFonts w:ascii="Calibri" w:hAnsi="Calibri"/>
                <w:b w:val="0"/>
                <w:i w:val="0"/>
                <w:sz w:val="18"/>
              </w:rPr>
              <w:t>55,883</w:t>
            </w:r>
          </w:p>
        </w:tc>
        <w:tc>
          <w:tcPr>
            <w:tcW w:type="dxa" w:w="1440"/>
            <w:shd w:val="clear" w:fill="F2F5FB"/>
          </w:tcPr>
          <w:p>
            <w:pPr>
              <w:jc w:val="right"/>
            </w:pPr>
            <w:r>
              <w:rPr>
                <w:rFonts w:ascii="Calibri" w:hAnsi="Calibri"/>
                <w:b w:val="0"/>
                <w:i w:val="0"/>
                <w:sz w:val="18"/>
              </w:rPr>
              <w:t>5,309</w:t>
            </w:r>
          </w:p>
        </w:tc>
        <w:tc>
          <w:tcPr>
            <w:tcW w:type="dxa" w:w="1368"/>
            <w:shd w:val="clear" w:fill="F2F5FB"/>
          </w:tcPr>
          <w:p>
            <w:pPr>
              <w:jc w:val="right"/>
            </w:pPr>
            <w:r>
              <w:rPr>
                <w:rFonts w:ascii="Calibri" w:hAnsi="Calibri"/>
                <w:b w:val="0"/>
                <w:i w:val="0"/>
                <w:sz w:val="18"/>
              </w:rPr>
              <w:t>9.5%</w:t>
            </w:r>
          </w:p>
        </w:tc>
        <w:tc>
          <w:tcPr>
            <w:tcW w:type="dxa" w:w="1440"/>
            <w:shd w:val="clear" w:fill="F2F5FB"/>
          </w:tcPr>
          <w:p>
            <w:pPr>
              <w:jc w:val="right"/>
            </w:pPr>
            <w:r>
              <w:rPr>
                <w:rFonts w:ascii="Calibri" w:hAnsi="Calibri"/>
                <w:b w:val="0"/>
                <w:i w:val="0"/>
                <w:sz w:val="18"/>
              </w:rPr>
              <w:t>4,073</w:t>
            </w:r>
          </w:p>
        </w:tc>
        <w:tc>
          <w:tcPr>
            <w:tcW w:type="dxa" w:w="1296"/>
            <w:shd w:val="clear" w:fill="F2F5FB"/>
          </w:tcPr>
          <w:p>
            <w:pPr>
              <w:jc w:val="right"/>
            </w:pPr>
            <w:r>
              <w:rPr>
                <w:rFonts w:ascii="Calibri" w:hAnsi="Calibri"/>
                <w:b w:val="0"/>
                <w:i w:val="0"/>
                <w:sz w:val="18"/>
              </w:rPr>
              <w:t>11.7</w:t>
            </w:r>
          </w:p>
        </w:tc>
        <w:tc>
          <w:tcPr>
            <w:tcW w:type="dxa" w:w="1152"/>
            <w:shd w:val="clear" w:fill="F2F5FB"/>
          </w:tcPr>
          <w:p>
            <w:pPr>
              <w:jc w:val="right"/>
            </w:pPr>
            <w:r>
              <w:rPr>
                <w:rFonts w:ascii="Calibri" w:hAnsi="Calibri"/>
                <w:b w:val="0"/>
                <w:i w:val="0"/>
                <w:sz w:val="18"/>
              </w:rPr>
              <w:t>13%</w:t>
            </w:r>
          </w:p>
        </w:tc>
      </w:tr>
      <w:tr>
        <w:tc>
          <w:tcPr>
            <w:tcW w:type="dxa" w:w="1368"/>
          </w:tcPr>
          <w:p>
            <w:pPr>
              <w:jc w:val="left"/>
            </w:pPr>
            <w:r>
              <w:rPr>
                <w:rFonts w:ascii="Calibri" w:hAnsi="Calibri"/>
                <w:b w:val="0"/>
                <w:i w:val="0"/>
                <w:sz w:val="18"/>
              </w:rPr>
              <w:t>FY30E</w:t>
            </w:r>
          </w:p>
        </w:tc>
        <w:tc>
          <w:tcPr>
            <w:tcW w:type="dxa" w:w="1512"/>
          </w:tcPr>
          <w:p>
            <w:pPr>
              <w:jc w:val="right"/>
            </w:pPr>
            <w:r>
              <w:rPr>
                <w:rFonts w:ascii="Calibri" w:hAnsi="Calibri"/>
                <w:b w:val="0"/>
                <w:i w:val="0"/>
                <w:sz w:val="18"/>
              </w:rPr>
              <w:t>63,211</w:t>
            </w:r>
          </w:p>
        </w:tc>
        <w:tc>
          <w:tcPr>
            <w:tcW w:type="dxa" w:w="1440"/>
          </w:tcPr>
          <w:p>
            <w:pPr>
              <w:jc w:val="right"/>
            </w:pPr>
            <w:r>
              <w:rPr>
                <w:rFonts w:ascii="Calibri" w:hAnsi="Calibri"/>
                <w:b w:val="0"/>
                <w:i w:val="0"/>
                <w:sz w:val="18"/>
              </w:rPr>
              <w:t>6,637</w:t>
            </w:r>
          </w:p>
        </w:tc>
        <w:tc>
          <w:tcPr>
            <w:tcW w:type="dxa" w:w="1368"/>
          </w:tcPr>
          <w:p>
            <w:pPr>
              <w:jc w:val="right"/>
            </w:pPr>
            <w:r>
              <w:rPr>
                <w:rFonts w:ascii="Calibri" w:hAnsi="Calibri"/>
                <w:b w:val="0"/>
                <w:i w:val="0"/>
                <w:sz w:val="18"/>
              </w:rPr>
              <w:t>10.5%</w:t>
            </w:r>
          </w:p>
        </w:tc>
        <w:tc>
          <w:tcPr>
            <w:tcW w:type="dxa" w:w="1440"/>
          </w:tcPr>
          <w:p>
            <w:pPr>
              <w:jc w:val="right"/>
            </w:pPr>
            <w:r>
              <w:rPr>
                <w:rFonts w:ascii="Calibri" w:hAnsi="Calibri"/>
                <w:b w:val="0"/>
                <w:i w:val="0"/>
                <w:sz w:val="18"/>
              </w:rPr>
              <w:t>5,204</w:t>
            </w:r>
          </w:p>
        </w:tc>
        <w:tc>
          <w:tcPr>
            <w:tcW w:type="dxa" w:w="1296"/>
          </w:tcPr>
          <w:p>
            <w:pPr>
              <w:jc w:val="right"/>
            </w:pPr>
            <w:r>
              <w:rPr>
                <w:rFonts w:ascii="Calibri" w:hAnsi="Calibri"/>
                <w:b w:val="0"/>
                <w:i w:val="0"/>
                <w:sz w:val="18"/>
              </w:rPr>
              <w:t>15.0</w:t>
            </w:r>
          </w:p>
        </w:tc>
        <w:tc>
          <w:tcPr>
            <w:tcW w:type="dxa" w:w="1152"/>
          </w:tcPr>
          <w:p>
            <w:pPr>
              <w:jc w:val="right"/>
            </w:pPr>
            <w:r>
              <w:rPr>
                <w:rFonts w:ascii="Calibri" w:hAnsi="Calibri"/>
                <w:b w:val="0"/>
                <w:i w:val="0"/>
                <w:sz w:val="18"/>
              </w:rPr>
              <w:t>15%</w:t>
            </w:r>
          </w:p>
        </w:tc>
      </w:tr>
      <w:tr>
        <w:tc>
          <w:tcPr>
            <w:tcW w:type="dxa" w:w="1368"/>
            <w:shd w:val="clear" w:fill="F2F5FB"/>
          </w:tcPr>
          <w:p>
            <w:pPr>
              <w:jc w:val="left"/>
            </w:pPr>
            <w:r>
              <w:rPr>
                <w:rFonts w:ascii="Calibri" w:hAnsi="Calibri"/>
                <w:b w:val="0"/>
                <w:i w:val="0"/>
                <w:sz w:val="18"/>
              </w:rPr>
              <w:t>FY31E</w:t>
            </w:r>
          </w:p>
        </w:tc>
        <w:tc>
          <w:tcPr>
            <w:tcW w:type="dxa" w:w="1512"/>
            <w:shd w:val="clear" w:fill="F2F5FB"/>
          </w:tcPr>
          <w:p>
            <w:pPr>
              <w:jc w:val="right"/>
            </w:pPr>
            <w:r>
              <w:rPr>
                <w:rFonts w:ascii="Calibri" w:hAnsi="Calibri"/>
                <w:b w:val="0"/>
                <w:i w:val="0"/>
                <w:sz w:val="18"/>
              </w:rPr>
              <w:t>70,256</w:t>
            </w:r>
          </w:p>
        </w:tc>
        <w:tc>
          <w:tcPr>
            <w:tcW w:type="dxa" w:w="1440"/>
            <w:shd w:val="clear" w:fill="F2F5FB"/>
          </w:tcPr>
          <w:p>
            <w:pPr>
              <w:jc w:val="right"/>
            </w:pPr>
            <w:r>
              <w:rPr>
                <w:rFonts w:ascii="Calibri" w:hAnsi="Calibri"/>
                <w:b w:val="0"/>
                <w:i w:val="0"/>
                <w:sz w:val="18"/>
              </w:rPr>
              <w:t>7,728</w:t>
            </w:r>
          </w:p>
        </w:tc>
        <w:tc>
          <w:tcPr>
            <w:tcW w:type="dxa" w:w="1368"/>
            <w:shd w:val="clear" w:fill="F2F5FB"/>
          </w:tcPr>
          <w:p>
            <w:pPr>
              <w:jc w:val="right"/>
            </w:pPr>
            <w:r>
              <w:rPr>
                <w:rFonts w:ascii="Calibri" w:hAnsi="Calibri"/>
                <w:b w:val="0"/>
                <w:i w:val="0"/>
                <w:sz w:val="18"/>
              </w:rPr>
              <w:t>11.0%</w:t>
            </w:r>
          </w:p>
        </w:tc>
        <w:tc>
          <w:tcPr>
            <w:tcW w:type="dxa" w:w="1440"/>
            <w:shd w:val="clear" w:fill="F2F5FB"/>
          </w:tcPr>
          <w:p>
            <w:pPr>
              <w:jc w:val="right"/>
            </w:pPr>
            <w:r>
              <w:rPr>
                <w:rFonts w:ascii="Calibri" w:hAnsi="Calibri"/>
                <w:b w:val="0"/>
                <w:i w:val="0"/>
                <w:sz w:val="18"/>
              </w:rPr>
              <w:t>6,152</w:t>
            </w:r>
          </w:p>
        </w:tc>
        <w:tc>
          <w:tcPr>
            <w:tcW w:type="dxa" w:w="1296"/>
            <w:shd w:val="clear" w:fill="F2F5FB"/>
          </w:tcPr>
          <w:p>
            <w:pPr>
              <w:jc w:val="right"/>
            </w:pPr>
            <w:r>
              <w:rPr>
                <w:rFonts w:ascii="Calibri" w:hAnsi="Calibri"/>
                <w:b w:val="0"/>
                <w:i w:val="0"/>
                <w:sz w:val="18"/>
              </w:rPr>
              <w:t>17.7</w:t>
            </w:r>
          </w:p>
        </w:tc>
        <w:tc>
          <w:tcPr>
            <w:tcW w:type="dxa" w:w="1152"/>
            <w:shd w:val="clear" w:fill="F2F5FB"/>
          </w:tcPr>
          <w:p>
            <w:pPr>
              <w:jc w:val="right"/>
            </w:pPr>
            <w:r>
              <w:rPr>
                <w:rFonts w:ascii="Calibri" w:hAnsi="Calibri"/>
                <w:b w:val="0"/>
                <w:i w:val="0"/>
                <w:sz w:val="18"/>
              </w:rPr>
              <w:t>16%</w:t>
            </w:r>
          </w:p>
        </w:tc>
      </w:tr>
      <w:tr>
        <w:tc>
          <w:tcPr>
            <w:tcW w:type="dxa" w:w="1368"/>
          </w:tcPr>
          <w:p>
            <w:pPr>
              <w:jc w:val="left"/>
            </w:pPr>
            <w:r>
              <w:rPr>
                <w:rFonts w:ascii="Calibri" w:hAnsi="Calibri"/>
                <w:b w:val="0"/>
                <w:i w:val="0"/>
                <w:sz w:val="18"/>
              </w:rPr>
              <w:t>FY32E</w:t>
            </w:r>
          </w:p>
        </w:tc>
        <w:tc>
          <w:tcPr>
            <w:tcW w:type="dxa" w:w="1512"/>
          </w:tcPr>
          <w:p>
            <w:pPr>
              <w:jc w:val="right"/>
            </w:pPr>
            <w:r>
              <w:rPr>
                <w:rFonts w:ascii="Calibri" w:hAnsi="Calibri"/>
                <w:b w:val="0"/>
                <w:i w:val="0"/>
                <w:sz w:val="18"/>
              </w:rPr>
              <w:t>76,635</w:t>
            </w:r>
          </w:p>
        </w:tc>
        <w:tc>
          <w:tcPr>
            <w:tcW w:type="dxa" w:w="1440"/>
          </w:tcPr>
          <w:p>
            <w:pPr>
              <w:jc w:val="right"/>
            </w:pPr>
            <w:r>
              <w:rPr>
                <w:rFonts w:ascii="Calibri" w:hAnsi="Calibri"/>
                <w:b w:val="0"/>
                <w:i w:val="0"/>
                <w:sz w:val="18"/>
              </w:rPr>
              <w:t>8,813</w:t>
            </w:r>
          </w:p>
        </w:tc>
        <w:tc>
          <w:tcPr>
            <w:tcW w:type="dxa" w:w="1368"/>
          </w:tcPr>
          <w:p>
            <w:pPr>
              <w:jc w:val="right"/>
            </w:pPr>
            <w:r>
              <w:rPr>
                <w:rFonts w:ascii="Calibri" w:hAnsi="Calibri"/>
                <w:b w:val="0"/>
                <w:i w:val="0"/>
                <w:sz w:val="18"/>
              </w:rPr>
              <w:t>11.5%</w:t>
            </w:r>
          </w:p>
        </w:tc>
        <w:tc>
          <w:tcPr>
            <w:tcW w:type="dxa" w:w="1440"/>
          </w:tcPr>
          <w:p>
            <w:pPr>
              <w:jc w:val="right"/>
            </w:pPr>
            <w:r>
              <w:rPr>
                <w:rFonts w:ascii="Calibri" w:hAnsi="Calibri"/>
                <w:b w:val="0"/>
                <w:i w:val="0"/>
                <w:sz w:val="18"/>
              </w:rPr>
              <w:t>7,086</w:t>
            </w:r>
          </w:p>
        </w:tc>
        <w:tc>
          <w:tcPr>
            <w:tcW w:type="dxa" w:w="1296"/>
          </w:tcPr>
          <w:p>
            <w:pPr>
              <w:jc w:val="right"/>
            </w:pPr>
            <w:r>
              <w:rPr>
                <w:rFonts w:ascii="Calibri" w:hAnsi="Calibri"/>
                <w:b w:val="0"/>
                <w:i w:val="0"/>
                <w:sz w:val="18"/>
              </w:rPr>
              <w:t>20.4</w:t>
            </w:r>
          </w:p>
        </w:tc>
        <w:tc>
          <w:tcPr>
            <w:tcW w:type="dxa" w:w="1152"/>
          </w:tcPr>
          <w:p>
            <w:pPr>
              <w:jc w:val="right"/>
            </w:pPr>
            <w:r>
              <w:rPr>
                <w:rFonts w:ascii="Calibri" w:hAnsi="Calibri"/>
                <w:b w:val="0"/>
                <w:i w:val="0"/>
                <w:sz w:val="18"/>
              </w:rPr>
              <w:t>16%</w:t>
            </w:r>
          </w:p>
        </w:tc>
      </w:tr>
      <w:tr>
        <w:tc>
          <w:tcPr>
            <w:tcW w:type="dxa" w:w="1368"/>
            <w:shd w:val="clear" w:fill="F2F5FB"/>
          </w:tcPr>
          <w:p>
            <w:pPr>
              <w:jc w:val="left"/>
            </w:pPr>
            <w:r>
              <w:rPr>
                <w:rFonts w:ascii="Calibri" w:hAnsi="Calibri"/>
                <w:b w:val="0"/>
                <w:i w:val="0"/>
                <w:sz w:val="18"/>
              </w:rPr>
              <w:t>FY33E</w:t>
            </w:r>
          </w:p>
        </w:tc>
        <w:tc>
          <w:tcPr>
            <w:tcW w:type="dxa" w:w="1512"/>
            <w:shd w:val="clear" w:fill="F2F5FB"/>
          </w:tcPr>
          <w:p>
            <w:pPr>
              <w:jc w:val="right"/>
            </w:pPr>
            <w:r>
              <w:rPr>
                <w:rFonts w:ascii="Calibri" w:hAnsi="Calibri"/>
                <w:b w:val="0"/>
                <w:i w:val="0"/>
                <w:sz w:val="18"/>
              </w:rPr>
              <w:t>82,405</w:t>
            </w:r>
          </w:p>
        </w:tc>
        <w:tc>
          <w:tcPr>
            <w:tcW w:type="dxa" w:w="1440"/>
            <w:shd w:val="clear" w:fill="F2F5FB"/>
          </w:tcPr>
          <w:p>
            <w:pPr>
              <w:jc w:val="right"/>
            </w:pPr>
            <w:r>
              <w:rPr>
                <w:rFonts w:ascii="Calibri" w:hAnsi="Calibri"/>
                <w:b w:val="0"/>
                <w:i w:val="0"/>
                <w:sz w:val="18"/>
              </w:rPr>
              <w:t>9,889</w:t>
            </w:r>
          </w:p>
        </w:tc>
        <w:tc>
          <w:tcPr>
            <w:tcW w:type="dxa" w:w="1368"/>
            <w:shd w:val="clear" w:fill="F2F5FB"/>
          </w:tcPr>
          <w:p>
            <w:pPr>
              <w:jc w:val="right"/>
            </w:pPr>
            <w:r>
              <w:rPr>
                <w:rFonts w:ascii="Calibri" w:hAnsi="Calibri"/>
                <w:b w:val="0"/>
                <w:i w:val="0"/>
                <w:sz w:val="18"/>
              </w:rPr>
              <w:t>12.0%</w:t>
            </w:r>
          </w:p>
        </w:tc>
        <w:tc>
          <w:tcPr>
            <w:tcW w:type="dxa" w:w="1440"/>
            <w:shd w:val="clear" w:fill="F2F5FB"/>
          </w:tcPr>
          <w:p>
            <w:pPr>
              <w:jc w:val="right"/>
            </w:pPr>
            <w:r>
              <w:rPr>
                <w:rFonts w:ascii="Calibri" w:hAnsi="Calibri"/>
                <w:b w:val="0"/>
                <w:i w:val="0"/>
                <w:sz w:val="18"/>
              </w:rPr>
              <w:t>8,004</w:t>
            </w:r>
          </w:p>
        </w:tc>
        <w:tc>
          <w:tcPr>
            <w:tcW w:type="dxa" w:w="1296"/>
            <w:shd w:val="clear" w:fill="F2F5FB"/>
          </w:tcPr>
          <w:p>
            <w:pPr>
              <w:jc w:val="right"/>
            </w:pPr>
            <w:r>
              <w:rPr>
                <w:rFonts w:ascii="Calibri" w:hAnsi="Calibri"/>
                <w:b w:val="0"/>
                <w:i w:val="0"/>
                <w:sz w:val="18"/>
              </w:rPr>
              <w:t>23.0</w:t>
            </w:r>
          </w:p>
        </w:tc>
        <w:tc>
          <w:tcPr>
            <w:tcW w:type="dxa" w:w="1152"/>
            <w:shd w:val="clear" w:fill="F2F5FB"/>
          </w:tcPr>
          <w:p>
            <w:pPr>
              <w:jc w:val="right"/>
            </w:pPr>
            <w:r>
              <w:rPr>
                <w:rFonts w:ascii="Calibri" w:hAnsi="Calibri"/>
                <w:b w:val="0"/>
                <w:i w:val="0"/>
                <w:sz w:val="18"/>
              </w:rPr>
              <w:t>17%</w:t>
            </w:r>
          </w:p>
        </w:tc>
      </w:tr>
    </w:tbl>
    <w:p>
      <w:pPr>
        <w:spacing w:after="160" w:before="40"/>
      </w:pPr>
      <w:r>
        <w:rPr>
          <w:rFonts w:ascii="Calibri" w:hAnsi="Calibri"/>
          <w:b w:val="0"/>
          <w:i/>
          <w:color w:val="595959"/>
          <w:sz w:val="16"/>
        </w:rPr>
        <w:t>Base case. Revenue CAGR FY26–33 ~13.6%; PAT CAGR ~26%. Source: author’s model.</w:t>
      </w:r>
    </w:p>
    <w:p>
      <w:pPr>
        <w:spacing w:after="120" w:before="80"/>
      </w:pPr>
      <w:r>
        <w:rPr>
          <w:rFonts w:ascii="Calibri" w:hAnsi="Calibri"/>
          <w:b w:val="0"/>
          <w:i w:val="0"/>
          <w:sz w:val="21"/>
        </w:rPr>
        <w:t>On these assumptions, revenue compounds at ~13.6% to ₹82,405 cr and PAT at ~26% to ~₹8,004 cr by FY2033, with EBITDA margin reaching 12.0% and ROE/ROCE recovering to ~17–18%. The business turns structurally net-cash and generates rising free cash flow to the firm (FCFF of ₹3,089 cr in FY27E building to ₹7,938 cr in FY33E).</w:t>
      </w:r>
    </w:p>
    <w:p>
      <w:r>
        <w:br w:type="page"/>
      </w:r>
    </w:p>
    <w:p>
      <w:pPr>
        <w:spacing w:after="160" w:before="40"/>
        <w:pBdr>
          <w:bottom w:val="single" w:sz="12" w:space="4" w:color="1F3864"/>
        </w:pBdr>
      </w:pPr>
      <w:r>
        <w:rPr>
          <w:rFonts w:ascii="Calibri" w:hAnsi="Calibri"/>
          <w:b/>
          <w:i w:val="0"/>
          <w:color w:val="1F3864"/>
          <w:sz w:val="32"/>
        </w:rPr>
        <w:t>6.  Valuation — Discounted Cash Flow (Primary)</w:t>
      </w:r>
    </w:p>
    <w:p>
      <w:pPr>
        <w:spacing w:after="120" w:before="0"/>
      </w:pPr>
      <w:r>
        <w:rPr>
          <w:rFonts w:ascii="Calibri" w:hAnsi="Calibri"/>
          <w:b w:val="0"/>
          <w:i w:val="0"/>
          <w:sz w:val="21"/>
        </w:rPr>
        <w:t>We anchor our fair value on a Free Cash Flow to Firm (FCFF) DCF, the most appropriate primary method for a capital-goods company with a long, cash-generative project cycle. We discount seven years of explicit FCFF (FY2027–FY2033) and a Gordon-growth terminal value at a dynamically computed WACC.</w:t>
      </w:r>
    </w:p>
    <w:p>
      <w:pPr>
        <w:spacing w:after="80" w:before="200"/>
      </w:pPr>
      <w:r>
        <w:rPr>
          <w:rFonts w:ascii="Calibri" w:hAnsi="Calibri"/>
          <w:b/>
          <w:i w:val="0"/>
          <w:color w:val="2E5BA8"/>
          <w:sz w:val="25"/>
        </w:rPr>
        <w:t>Cost of capital (WACC)</w:t>
      </w:r>
    </w:p>
    <w:tbl>
      <w:tblPr>
        <w:tblStyle w:val="TableGrid"/>
        <w:tblW w:type="auto" w:w="0"/>
        <w:jc w:val="center"/>
        <w:tblLook w:firstColumn="1" w:firstRow="1" w:lastColumn="0" w:lastRow="0" w:noHBand="0" w:noVBand="1" w:val="04A0"/>
      </w:tblPr>
      <w:tblGrid>
        <w:gridCol w:w="4824"/>
        <w:gridCol w:w="4824"/>
      </w:tblGrid>
      <w:tr>
        <w:tc>
          <w:tcPr>
            <w:tcW w:type="dxa" w:w="4608"/>
            <w:shd w:val="clear" w:fill="1F3864"/>
          </w:tcPr>
          <w:p>
            <w:pPr>
              <w:jc w:val="left"/>
            </w:pPr>
            <w:r>
              <w:rPr>
                <w:rFonts w:ascii="Calibri" w:hAnsi="Calibri"/>
                <w:b/>
                <w:i w:val="0"/>
                <w:color w:val="FFFFFF"/>
                <w:sz w:val="19"/>
              </w:rPr>
              <w:t>Input</w:t>
            </w:r>
          </w:p>
        </w:tc>
        <w:tc>
          <w:tcPr>
            <w:tcW w:type="dxa" w:w="2304"/>
            <w:shd w:val="clear" w:fill="1F3864"/>
          </w:tcPr>
          <w:p>
            <w:pPr>
              <w:jc w:val="center"/>
            </w:pPr>
            <w:r>
              <w:rPr>
                <w:rFonts w:ascii="Calibri" w:hAnsi="Calibri"/>
                <w:b/>
                <w:i w:val="0"/>
                <w:color w:val="FFFFFF"/>
                <w:sz w:val="19"/>
              </w:rPr>
              <w:t>Value</w:t>
            </w:r>
          </w:p>
        </w:tc>
      </w:tr>
      <w:tr>
        <w:tc>
          <w:tcPr>
            <w:tcW w:type="dxa" w:w="4608"/>
            <w:shd w:val="clear" w:fill="F2F5FB"/>
          </w:tcPr>
          <w:p>
            <w:pPr>
              <w:jc w:val="left"/>
            </w:pPr>
            <w:r>
              <w:rPr>
                <w:rFonts w:ascii="Calibri" w:hAnsi="Calibri"/>
                <w:b w:val="0"/>
                <w:i w:val="0"/>
                <w:sz w:val="19"/>
              </w:rPr>
              <w:t>Risk-free rate (10Y G-Sec)</w:t>
            </w:r>
          </w:p>
        </w:tc>
        <w:tc>
          <w:tcPr>
            <w:tcW w:type="dxa" w:w="2304"/>
            <w:shd w:val="clear" w:fill="F2F5FB"/>
          </w:tcPr>
          <w:p>
            <w:pPr>
              <w:jc w:val="right"/>
            </w:pPr>
            <w:r>
              <w:rPr>
                <w:rFonts w:ascii="Calibri" w:hAnsi="Calibri"/>
                <w:b w:val="0"/>
                <w:i w:val="0"/>
                <w:sz w:val="19"/>
              </w:rPr>
              <w:t>6.8%</w:t>
            </w:r>
          </w:p>
        </w:tc>
      </w:tr>
      <w:tr>
        <w:tc>
          <w:tcPr>
            <w:tcW w:type="dxa" w:w="4608"/>
          </w:tcPr>
          <w:p>
            <w:pPr>
              <w:jc w:val="left"/>
            </w:pPr>
            <w:r>
              <w:rPr>
                <w:rFonts w:ascii="Calibri" w:hAnsi="Calibri"/>
                <w:b w:val="0"/>
                <w:i w:val="0"/>
                <w:sz w:val="19"/>
              </w:rPr>
              <w:t>Equity risk premium</w:t>
            </w:r>
          </w:p>
        </w:tc>
        <w:tc>
          <w:tcPr>
            <w:tcW w:type="dxa" w:w="2304"/>
          </w:tcPr>
          <w:p>
            <w:pPr>
              <w:jc w:val="right"/>
            </w:pPr>
            <w:r>
              <w:rPr>
                <w:rFonts w:ascii="Calibri" w:hAnsi="Calibri"/>
                <w:b w:val="0"/>
                <w:i w:val="0"/>
                <w:sz w:val="19"/>
              </w:rPr>
              <w:t>6.5%</w:t>
            </w:r>
          </w:p>
        </w:tc>
      </w:tr>
      <w:tr>
        <w:tc>
          <w:tcPr>
            <w:tcW w:type="dxa" w:w="4608"/>
            <w:shd w:val="clear" w:fill="F2F5FB"/>
          </w:tcPr>
          <w:p>
            <w:pPr>
              <w:jc w:val="left"/>
            </w:pPr>
            <w:r>
              <w:rPr>
                <w:rFonts w:ascii="Calibri" w:hAnsi="Calibri"/>
                <w:b w:val="0"/>
                <w:i w:val="0"/>
                <w:sz w:val="19"/>
              </w:rPr>
              <w:t>Levered beta</w:t>
            </w:r>
          </w:p>
        </w:tc>
        <w:tc>
          <w:tcPr>
            <w:tcW w:type="dxa" w:w="2304"/>
            <w:shd w:val="clear" w:fill="F2F5FB"/>
          </w:tcPr>
          <w:p>
            <w:pPr>
              <w:jc w:val="right"/>
            </w:pPr>
            <w:r>
              <w:rPr>
                <w:rFonts w:ascii="Calibri" w:hAnsi="Calibri"/>
                <w:b w:val="0"/>
                <w:i w:val="0"/>
                <w:sz w:val="19"/>
              </w:rPr>
              <w:t>1.25</w:t>
            </w:r>
          </w:p>
        </w:tc>
      </w:tr>
      <w:tr>
        <w:tc>
          <w:tcPr>
            <w:tcW w:type="dxa" w:w="4608"/>
          </w:tcPr>
          <w:p>
            <w:pPr>
              <w:jc w:val="left"/>
            </w:pPr>
            <w:r>
              <w:rPr>
                <w:rFonts w:ascii="Calibri" w:hAnsi="Calibri"/>
                <w:b w:val="0"/>
                <w:i w:val="0"/>
                <w:sz w:val="19"/>
              </w:rPr>
              <w:t>Cost of equity (CAPM)</w:t>
            </w:r>
          </w:p>
        </w:tc>
        <w:tc>
          <w:tcPr>
            <w:tcW w:type="dxa" w:w="2304"/>
          </w:tcPr>
          <w:p>
            <w:pPr>
              <w:jc w:val="right"/>
            </w:pPr>
            <w:r>
              <w:rPr>
                <w:rFonts w:ascii="Calibri" w:hAnsi="Calibri"/>
                <w:b w:val="0"/>
                <w:i w:val="0"/>
                <w:sz w:val="19"/>
              </w:rPr>
              <w:t>14.9%</w:t>
            </w:r>
          </w:p>
        </w:tc>
      </w:tr>
      <w:tr>
        <w:tc>
          <w:tcPr>
            <w:tcW w:type="dxa" w:w="4608"/>
            <w:shd w:val="clear" w:fill="F2F5FB"/>
          </w:tcPr>
          <w:p>
            <w:pPr>
              <w:jc w:val="left"/>
            </w:pPr>
            <w:r>
              <w:rPr>
                <w:rFonts w:ascii="Calibri" w:hAnsi="Calibri"/>
                <w:b w:val="0"/>
                <w:i w:val="0"/>
                <w:sz w:val="19"/>
              </w:rPr>
              <w:t>Pre-tax cost of debt</w:t>
            </w:r>
          </w:p>
        </w:tc>
        <w:tc>
          <w:tcPr>
            <w:tcW w:type="dxa" w:w="2304"/>
            <w:shd w:val="clear" w:fill="F2F5FB"/>
          </w:tcPr>
          <w:p>
            <w:pPr>
              <w:jc w:val="right"/>
            </w:pPr>
            <w:r>
              <w:rPr>
                <w:rFonts w:ascii="Calibri" w:hAnsi="Calibri"/>
                <w:b w:val="0"/>
                <w:i w:val="0"/>
                <w:sz w:val="19"/>
              </w:rPr>
              <w:t>8.5%</w:t>
            </w:r>
          </w:p>
        </w:tc>
      </w:tr>
      <w:tr>
        <w:tc>
          <w:tcPr>
            <w:tcW w:type="dxa" w:w="4608"/>
          </w:tcPr>
          <w:p>
            <w:pPr>
              <w:jc w:val="left"/>
            </w:pPr>
            <w:r>
              <w:rPr>
                <w:rFonts w:ascii="Calibri" w:hAnsi="Calibri"/>
                <w:b w:val="0"/>
                <w:i w:val="0"/>
                <w:sz w:val="19"/>
              </w:rPr>
              <w:t>Tax rate</w:t>
            </w:r>
          </w:p>
        </w:tc>
        <w:tc>
          <w:tcPr>
            <w:tcW w:type="dxa" w:w="2304"/>
          </w:tcPr>
          <w:p>
            <w:pPr>
              <w:jc w:val="right"/>
            </w:pPr>
            <w:r>
              <w:rPr>
                <w:rFonts w:ascii="Calibri" w:hAnsi="Calibri"/>
                <w:b w:val="0"/>
                <w:i w:val="0"/>
                <w:sz w:val="19"/>
              </w:rPr>
              <w:t>25%</w:t>
            </w:r>
          </w:p>
        </w:tc>
      </w:tr>
      <w:tr>
        <w:tc>
          <w:tcPr>
            <w:tcW w:type="dxa" w:w="4608"/>
            <w:shd w:val="clear" w:fill="F2F5FB"/>
          </w:tcPr>
          <w:p>
            <w:pPr>
              <w:jc w:val="left"/>
            </w:pPr>
            <w:r>
              <w:rPr>
                <w:rFonts w:ascii="Calibri" w:hAnsi="Calibri"/>
                <w:b w:val="0"/>
                <w:i w:val="0"/>
                <w:sz w:val="19"/>
              </w:rPr>
              <w:t>Target weight of equity / debt</w:t>
            </w:r>
          </w:p>
        </w:tc>
        <w:tc>
          <w:tcPr>
            <w:tcW w:type="dxa" w:w="2304"/>
            <w:shd w:val="clear" w:fill="F2F5FB"/>
          </w:tcPr>
          <w:p>
            <w:pPr>
              <w:jc w:val="right"/>
            </w:pPr>
            <w:r>
              <w:rPr>
                <w:rFonts w:ascii="Calibri" w:hAnsi="Calibri"/>
                <w:b w:val="0"/>
                <w:i w:val="0"/>
                <w:sz w:val="19"/>
              </w:rPr>
              <w:t>85% / 15%</w:t>
            </w:r>
          </w:p>
        </w:tc>
      </w:tr>
      <w:tr>
        <w:tc>
          <w:tcPr>
            <w:tcW w:type="dxa" w:w="4608"/>
          </w:tcPr>
          <w:p>
            <w:pPr>
              <w:jc w:val="left"/>
            </w:pPr>
            <w:r>
              <w:rPr>
                <w:rFonts w:ascii="Calibri" w:hAnsi="Calibri"/>
                <w:b w:val="0"/>
                <w:i w:val="0"/>
                <w:sz w:val="19"/>
              </w:rPr>
              <w:t>WACC</w:t>
            </w:r>
          </w:p>
        </w:tc>
        <w:tc>
          <w:tcPr>
            <w:tcW w:type="dxa" w:w="2304"/>
          </w:tcPr>
          <w:p>
            <w:pPr>
              <w:jc w:val="right"/>
            </w:pPr>
            <w:r>
              <w:rPr>
                <w:rFonts w:ascii="Calibri" w:hAnsi="Calibri"/>
                <w:b w:val="0"/>
                <w:i w:val="0"/>
                <w:sz w:val="19"/>
              </w:rPr>
              <w:t>13.6%</w:t>
            </w:r>
          </w:p>
        </w:tc>
      </w:tr>
      <w:tr>
        <w:tc>
          <w:tcPr>
            <w:tcW w:type="dxa" w:w="4608"/>
            <w:shd w:val="clear" w:fill="F2F5FB"/>
          </w:tcPr>
          <w:p>
            <w:pPr>
              <w:jc w:val="left"/>
            </w:pPr>
            <w:r>
              <w:rPr>
                <w:rFonts w:ascii="Calibri" w:hAnsi="Calibri"/>
                <w:b w:val="0"/>
                <w:i w:val="0"/>
                <w:sz w:val="19"/>
              </w:rPr>
              <w:t>Terminal growth (g)</w:t>
            </w:r>
          </w:p>
        </w:tc>
        <w:tc>
          <w:tcPr>
            <w:tcW w:type="dxa" w:w="2304"/>
            <w:shd w:val="clear" w:fill="F2F5FB"/>
          </w:tcPr>
          <w:p>
            <w:pPr>
              <w:jc w:val="right"/>
            </w:pPr>
            <w:r>
              <w:rPr>
                <w:rFonts w:ascii="Calibri" w:hAnsi="Calibri"/>
                <w:b w:val="0"/>
                <w:i w:val="0"/>
                <w:sz w:val="19"/>
              </w:rPr>
              <w:t>4.5%</w:t>
            </w:r>
          </w:p>
        </w:tc>
      </w:tr>
    </w:tbl>
    <w:p>
      <w:pPr>
        <w:spacing w:after="160" w:before="40"/>
      </w:pPr>
      <w:r>
        <w:rPr>
          <w:rFonts w:ascii="Calibri" w:hAnsi="Calibri"/>
          <w:b w:val="0"/>
          <w:i/>
          <w:color w:val="595959"/>
          <w:sz w:val="16"/>
        </w:rPr>
        <w:t>CAPM cost of equity; WACC = We·Ke + Wd·Kd·(1−t). Source: author’s model (Assumptions sheet).</w:t>
      </w:r>
    </w:p>
    <w:p>
      <w:pPr>
        <w:spacing w:after="80" w:before="200"/>
      </w:pPr>
      <w:r>
        <w:rPr>
          <w:rFonts w:ascii="Calibri" w:hAnsi="Calibri"/>
          <w:b/>
          <w:i w:val="0"/>
          <w:color w:val="2E5BA8"/>
          <w:sz w:val="25"/>
        </w:rPr>
        <w:t>FCFF build and present value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440"/>
            <w:shd w:val="clear" w:fill="1F3864"/>
          </w:tcPr>
          <w:p>
            <w:pPr>
              <w:jc w:val="left"/>
            </w:pPr>
            <w:r>
              <w:rPr>
                <w:rFonts w:ascii="Calibri" w:hAnsi="Calibri"/>
                <w:b/>
                <w:i w:val="0"/>
                <w:color w:val="FFFFFF"/>
                <w:sz w:val="18"/>
              </w:rPr>
              <w:t>Year</w:t>
            </w:r>
          </w:p>
        </w:tc>
        <w:tc>
          <w:tcPr>
            <w:tcW w:type="dxa" w:w="1872"/>
            <w:shd w:val="clear" w:fill="1F3864"/>
          </w:tcPr>
          <w:p>
            <w:pPr>
              <w:jc w:val="center"/>
            </w:pPr>
            <w:r>
              <w:rPr>
                <w:rFonts w:ascii="Calibri" w:hAnsi="Calibri"/>
                <w:b/>
                <w:i w:val="0"/>
                <w:color w:val="FFFFFF"/>
                <w:sz w:val="18"/>
              </w:rPr>
              <w:t>Revenue</w:t>
            </w:r>
          </w:p>
        </w:tc>
        <w:tc>
          <w:tcPr>
            <w:tcW w:type="dxa" w:w="1872"/>
            <w:shd w:val="clear" w:fill="1F3864"/>
          </w:tcPr>
          <w:p>
            <w:pPr>
              <w:jc w:val="center"/>
            </w:pPr>
            <w:r>
              <w:rPr>
                <w:rFonts w:ascii="Calibri" w:hAnsi="Calibri"/>
                <w:b/>
                <w:i w:val="0"/>
                <w:color w:val="FFFFFF"/>
                <w:sz w:val="18"/>
              </w:rPr>
              <w:t>EBIT</w:t>
            </w:r>
          </w:p>
        </w:tc>
        <w:tc>
          <w:tcPr>
            <w:tcW w:type="dxa" w:w="1872"/>
            <w:shd w:val="clear" w:fill="1F3864"/>
          </w:tcPr>
          <w:p>
            <w:pPr>
              <w:jc w:val="center"/>
            </w:pPr>
            <w:r>
              <w:rPr>
                <w:rFonts w:ascii="Calibri" w:hAnsi="Calibri"/>
                <w:b/>
                <w:i w:val="0"/>
                <w:color w:val="FFFFFF"/>
                <w:sz w:val="18"/>
              </w:rPr>
              <w:t>FCFF</w:t>
            </w:r>
          </w:p>
        </w:tc>
      </w:tr>
      <w:tr>
        <w:tc>
          <w:tcPr>
            <w:tcW w:type="dxa" w:w="1440"/>
            <w:shd w:val="clear" w:fill="F2F5FB"/>
          </w:tcPr>
          <w:p>
            <w:pPr>
              <w:jc w:val="left"/>
            </w:pPr>
            <w:r>
              <w:rPr>
                <w:rFonts w:ascii="Calibri" w:hAnsi="Calibri"/>
                <w:b w:val="0"/>
                <w:i w:val="0"/>
                <w:sz w:val="18"/>
              </w:rPr>
              <w:t>FY27E</w:t>
            </w:r>
          </w:p>
        </w:tc>
        <w:tc>
          <w:tcPr>
            <w:tcW w:type="dxa" w:w="1872"/>
            <w:shd w:val="clear" w:fill="F2F5FB"/>
          </w:tcPr>
          <w:p>
            <w:pPr>
              <w:jc w:val="right"/>
            </w:pPr>
            <w:r>
              <w:rPr>
                <w:rFonts w:ascii="Calibri" w:hAnsi="Calibri"/>
                <w:b w:val="0"/>
                <w:i w:val="0"/>
                <w:sz w:val="18"/>
              </w:rPr>
              <w:t>40,392</w:t>
            </w:r>
          </w:p>
        </w:tc>
        <w:tc>
          <w:tcPr>
            <w:tcW w:type="dxa" w:w="1872"/>
            <w:shd w:val="clear" w:fill="F2F5FB"/>
          </w:tcPr>
          <w:p>
            <w:pPr>
              <w:jc w:val="right"/>
            </w:pPr>
            <w:r>
              <w:rPr>
                <w:rFonts w:ascii="Calibri" w:hAnsi="Calibri"/>
                <w:b w:val="0"/>
                <w:i w:val="0"/>
                <w:sz w:val="18"/>
              </w:rPr>
              <w:t>2,735</w:t>
            </w:r>
          </w:p>
        </w:tc>
        <w:tc>
          <w:tcPr>
            <w:tcW w:type="dxa" w:w="1872"/>
            <w:shd w:val="clear" w:fill="F2F5FB"/>
          </w:tcPr>
          <w:p>
            <w:pPr>
              <w:jc w:val="right"/>
            </w:pPr>
            <w:r>
              <w:rPr>
                <w:rFonts w:ascii="Calibri" w:hAnsi="Calibri"/>
                <w:b w:val="0"/>
                <w:i w:val="0"/>
                <w:sz w:val="18"/>
              </w:rPr>
              <w:t>3,089</w:t>
            </w:r>
          </w:p>
        </w:tc>
      </w:tr>
      <w:tr>
        <w:tc>
          <w:tcPr>
            <w:tcW w:type="dxa" w:w="1440"/>
          </w:tcPr>
          <w:p>
            <w:pPr>
              <w:jc w:val="left"/>
            </w:pPr>
            <w:r>
              <w:rPr>
                <w:rFonts w:ascii="Calibri" w:hAnsi="Calibri"/>
                <w:b w:val="0"/>
                <w:i w:val="0"/>
                <w:sz w:val="18"/>
              </w:rPr>
              <w:t>FY28E</w:t>
            </w:r>
          </w:p>
        </w:tc>
        <w:tc>
          <w:tcPr>
            <w:tcW w:type="dxa" w:w="1872"/>
          </w:tcPr>
          <w:p>
            <w:pPr>
              <w:jc w:val="right"/>
            </w:pPr>
            <w:r>
              <w:rPr>
                <w:rFonts w:ascii="Calibri" w:hAnsi="Calibri"/>
                <w:b w:val="0"/>
                <w:i w:val="0"/>
                <w:sz w:val="18"/>
              </w:rPr>
              <w:t>48,275</w:t>
            </w:r>
          </w:p>
        </w:tc>
        <w:tc>
          <w:tcPr>
            <w:tcW w:type="dxa" w:w="1872"/>
          </w:tcPr>
          <w:p>
            <w:pPr>
              <w:jc w:val="right"/>
            </w:pPr>
            <w:r>
              <w:rPr>
                <w:rFonts w:ascii="Calibri" w:hAnsi="Calibri"/>
                <w:b w:val="0"/>
                <w:i w:val="0"/>
                <w:sz w:val="18"/>
              </w:rPr>
              <w:t>3,780</w:t>
            </w:r>
          </w:p>
        </w:tc>
        <w:tc>
          <w:tcPr>
            <w:tcW w:type="dxa" w:w="1872"/>
          </w:tcPr>
          <w:p>
            <w:pPr>
              <w:jc w:val="right"/>
            </w:pPr>
            <w:r>
              <w:rPr>
                <w:rFonts w:ascii="Calibri" w:hAnsi="Calibri"/>
                <w:b w:val="0"/>
                <w:i w:val="0"/>
                <w:sz w:val="18"/>
              </w:rPr>
              <w:t>3,802</w:t>
            </w:r>
          </w:p>
        </w:tc>
      </w:tr>
      <w:tr>
        <w:tc>
          <w:tcPr>
            <w:tcW w:type="dxa" w:w="1440"/>
            <w:shd w:val="clear" w:fill="F2F5FB"/>
          </w:tcPr>
          <w:p>
            <w:pPr>
              <w:jc w:val="left"/>
            </w:pPr>
            <w:r>
              <w:rPr>
                <w:rFonts w:ascii="Calibri" w:hAnsi="Calibri"/>
                <w:b w:val="0"/>
                <w:i w:val="0"/>
                <w:sz w:val="18"/>
              </w:rPr>
              <w:t>FY29E</w:t>
            </w:r>
          </w:p>
        </w:tc>
        <w:tc>
          <w:tcPr>
            <w:tcW w:type="dxa" w:w="1872"/>
            <w:shd w:val="clear" w:fill="F2F5FB"/>
          </w:tcPr>
          <w:p>
            <w:pPr>
              <w:jc w:val="right"/>
            </w:pPr>
            <w:r>
              <w:rPr>
                <w:rFonts w:ascii="Calibri" w:hAnsi="Calibri"/>
                <w:b w:val="0"/>
                <w:i w:val="0"/>
                <w:sz w:val="18"/>
              </w:rPr>
              <w:t>55,883</w:t>
            </w:r>
          </w:p>
        </w:tc>
        <w:tc>
          <w:tcPr>
            <w:tcW w:type="dxa" w:w="1872"/>
            <w:shd w:val="clear" w:fill="F2F5FB"/>
          </w:tcPr>
          <w:p>
            <w:pPr>
              <w:jc w:val="right"/>
            </w:pPr>
            <w:r>
              <w:rPr>
                <w:rFonts w:ascii="Calibri" w:hAnsi="Calibri"/>
                <w:b w:val="0"/>
                <w:i w:val="0"/>
                <w:sz w:val="18"/>
              </w:rPr>
              <w:t>4,950</w:t>
            </w:r>
          </w:p>
        </w:tc>
        <w:tc>
          <w:tcPr>
            <w:tcW w:type="dxa" w:w="1872"/>
            <w:shd w:val="clear" w:fill="F2F5FB"/>
          </w:tcPr>
          <w:p>
            <w:pPr>
              <w:jc w:val="right"/>
            </w:pPr>
            <w:r>
              <w:rPr>
                <w:rFonts w:ascii="Calibri" w:hAnsi="Calibri"/>
                <w:b w:val="0"/>
                <w:i w:val="0"/>
                <w:sz w:val="18"/>
              </w:rPr>
              <w:t>4,665</w:t>
            </w:r>
          </w:p>
        </w:tc>
      </w:tr>
      <w:tr>
        <w:tc>
          <w:tcPr>
            <w:tcW w:type="dxa" w:w="1440"/>
          </w:tcPr>
          <w:p>
            <w:pPr>
              <w:jc w:val="left"/>
            </w:pPr>
            <w:r>
              <w:rPr>
                <w:rFonts w:ascii="Calibri" w:hAnsi="Calibri"/>
                <w:b w:val="0"/>
                <w:i w:val="0"/>
                <w:sz w:val="18"/>
              </w:rPr>
              <w:t>FY30E</w:t>
            </w:r>
          </w:p>
        </w:tc>
        <w:tc>
          <w:tcPr>
            <w:tcW w:type="dxa" w:w="1872"/>
          </w:tcPr>
          <w:p>
            <w:pPr>
              <w:jc w:val="right"/>
            </w:pPr>
            <w:r>
              <w:rPr>
                <w:rFonts w:ascii="Calibri" w:hAnsi="Calibri"/>
                <w:b w:val="0"/>
                <w:i w:val="0"/>
                <w:sz w:val="18"/>
              </w:rPr>
              <w:t>63,211</w:t>
            </w:r>
          </w:p>
        </w:tc>
        <w:tc>
          <w:tcPr>
            <w:tcW w:type="dxa" w:w="1872"/>
          </w:tcPr>
          <w:p>
            <w:pPr>
              <w:jc w:val="right"/>
            </w:pPr>
            <w:r>
              <w:rPr>
                <w:rFonts w:ascii="Calibri" w:hAnsi="Calibri"/>
                <w:b w:val="0"/>
                <w:i w:val="0"/>
                <w:sz w:val="18"/>
              </w:rPr>
              <w:t>6,241</w:t>
            </w:r>
          </w:p>
        </w:tc>
        <w:tc>
          <w:tcPr>
            <w:tcW w:type="dxa" w:w="1872"/>
          </w:tcPr>
          <w:p>
            <w:pPr>
              <w:jc w:val="right"/>
            </w:pPr>
            <w:r>
              <w:rPr>
                <w:rFonts w:ascii="Calibri" w:hAnsi="Calibri"/>
                <w:b w:val="0"/>
                <w:i w:val="0"/>
                <w:sz w:val="18"/>
              </w:rPr>
              <w:t>5,620</w:t>
            </w:r>
          </w:p>
        </w:tc>
      </w:tr>
      <w:tr>
        <w:tc>
          <w:tcPr>
            <w:tcW w:type="dxa" w:w="1440"/>
            <w:shd w:val="clear" w:fill="F2F5FB"/>
          </w:tcPr>
          <w:p>
            <w:pPr>
              <w:jc w:val="left"/>
            </w:pPr>
            <w:r>
              <w:rPr>
                <w:rFonts w:ascii="Calibri" w:hAnsi="Calibri"/>
                <w:b w:val="0"/>
                <w:i w:val="0"/>
                <w:sz w:val="18"/>
              </w:rPr>
              <w:t>FY31E</w:t>
            </w:r>
          </w:p>
        </w:tc>
        <w:tc>
          <w:tcPr>
            <w:tcW w:type="dxa" w:w="1872"/>
            <w:shd w:val="clear" w:fill="F2F5FB"/>
          </w:tcPr>
          <w:p>
            <w:pPr>
              <w:jc w:val="right"/>
            </w:pPr>
            <w:r>
              <w:rPr>
                <w:rFonts w:ascii="Calibri" w:hAnsi="Calibri"/>
                <w:b w:val="0"/>
                <w:i w:val="0"/>
                <w:sz w:val="18"/>
              </w:rPr>
              <w:t>70,256</w:t>
            </w:r>
          </w:p>
        </w:tc>
        <w:tc>
          <w:tcPr>
            <w:tcW w:type="dxa" w:w="1872"/>
            <w:shd w:val="clear" w:fill="F2F5FB"/>
          </w:tcPr>
          <w:p>
            <w:pPr>
              <w:jc w:val="right"/>
            </w:pPr>
            <w:r>
              <w:rPr>
                <w:rFonts w:ascii="Calibri" w:hAnsi="Calibri"/>
                <w:b w:val="0"/>
                <w:i w:val="0"/>
                <w:sz w:val="18"/>
              </w:rPr>
              <w:t>7,294</w:t>
            </w:r>
          </w:p>
        </w:tc>
        <w:tc>
          <w:tcPr>
            <w:tcW w:type="dxa" w:w="1872"/>
            <w:shd w:val="clear" w:fill="F2F5FB"/>
          </w:tcPr>
          <w:p>
            <w:pPr>
              <w:jc w:val="right"/>
            </w:pPr>
            <w:r>
              <w:rPr>
                <w:rFonts w:ascii="Calibri" w:hAnsi="Calibri"/>
                <w:b w:val="0"/>
                <w:i w:val="0"/>
                <w:sz w:val="18"/>
              </w:rPr>
              <w:t>6,398</w:t>
            </w:r>
          </w:p>
        </w:tc>
      </w:tr>
      <w:tr>
        <w:tc>
          <w:tcPr>
            <w:tcW w:type="dxa" w:w="1440"/>
          </w:tcPr>
          <w:p>
            <w:pPr>
              <w:jc w:val="left"/>
            </w:pPr>
            <w:r>
              <w:rPr>
                <w:rFonts w:ascii="Calibri" w:hAnsi="Calibri"/>
                <w:b w:val="0"/>
                <w:i w:val="0"/>
                <w:sz w:val="18"/>
              </w:rPr>
              <w:t>FY32E</w:t>
            </w:r>
          </w:p>
        </w:tc>
        <w:tc>
          <w:tcPr>
            <w:tcW w:type="dxa" w:w="1872"/>
          </w:tcPr>
          <w:p>
            <w:pPr>
              <w:jc w:val="right"/>
            </w:pPr>
            <w:r>
              <w:rPr>
                <w:rFonts w:ascii="Calibri" w:hAnsi="Calibri"/>
                <w:b w:val="0"/>
                <w:i w:val="0"/>
                <w:sz w:val="18"/>
              </w:rPr>
              <w:t>76,635</w:t>
            </w:r>
          </w:p>
        </w:tc>
        <w:tc>
          <w:tcPr>
            <w:tcW w:type="dxa" w:w="1872"/>
          </w:tcPr>
          <w:p>
            <w:pPr>
              <w:jc w:val="right"/>
            </w:pPr>
            <w:r>
              <w:rPr>
                <w:rFonts w:ascii="Calibri" w:hAnsi="Calibri"/>
                <w:b w:val="0"/>
                <w:i w:val="0"/>
                <w:sz w:val="18"/>
              </w:rPr>
              <w:t>8,339</w:t>
            </w:r>
          </w:p>
        </w:tc>
        <w:tc>
          <w:tcPr>
            <w:tcW w:type="dxa" w:w="1872"/>
          </w:tcPr>
          <w:p>
            <w:pPr>
              <w:jc w:val="right"/>
            </w:pPr>
            <w:r>
              <w:rPr>
                <w:rFonts w:ascii="Calibri" w:hAnsi="Calibri"/>
                <w:b w:val="0"/>
                <w:i w:val="0"/>
                <w:sz w:val="18"/>
              </w:rPr>
              <w:t>7,172</w:t>
            </w:r>
          </w:p>
        </w:tc>
      </w:tr>
      <w:tr>
        <w:tc>
          <w:tcPr>
            <w:tcW w:type="dxa" w:w="1440"/>
            <w:shd w:val="clear" w:fill="F2F5FB"/>
          </w:tcPr>
          <w:p>
            <w:pPr>
              <w:jc w:val="left"/>
            </w:pPr>
            <w:r>
              <w:rPr>
                <w:rFonts w:ascii="Calibri" w:hAnsi="Calibri"/>
                <w:b w:val="0"/>
                <w:i w:val="0"/>
                <w:sz w:val="18"/>
              </w:rPr>
              <w:t>FY33E</w:t>
            </w:r>
          </w:p>
        </w:tc>
        <w:tc>
          <w:tcPr>
            <w:tcW w:type="dxa" w:w="1872"/>
            <w:shd w:val="clear" w:fill="F2F5FB"/>
          </w:tcPr>
          <w:p>
            <w:pPr>
              <w:jc w:val="right"/>
            </w:pPr>
            <w:r>
              <w:rPr>
                <w:rFonts w:ascii="Calibri" w:hAnsi="Calibri"/>
                <w:b w:val="0"/>
                <w:i w:val="0"/>
                <w:sz w:val="18"/>
              </w:rPr>
              <w:t>82,405</w:t>
            </w:r>
          </w:p>
        </w:tc>
        <w:tc>
          <w:tcPr>
            <w:tcW w:type="dxa" w:w="1872"/>
            <w:shd w:val="clear" w:fill="F2F5FB"/>
          </w:tcPr>
          <w:p>
            <w:pPr>
              <w:jc w:val="right"/>
            </w:pPr>
            <w:r>
              <w:rPr>
                <w:rFonts w:ascii="Calibri" w:hAnsi="Calibri"/>
                <w:b w:val="0"/>
                <w:i w:val="0"/>
                <w:sz w:val="18"/>
              </w:rPr>
              <w:t>9,375</w:t>
            </w:r>
          </w:p>
        </w:tc>
        <w:tc>
          <w:tcPr>
            <w:tcW w:type="dxa" w:w="1872"/>
            <w:shd w:val="clear" w:fill="F2F5FB"/>
          </w:tcPr>
          <w:p>
            <w:pPr>
              <w:jc w:val="right"/>
            </w:pPr>
            <w:r>
              <w:rPr>
                <w:rFonts w:ascii="Calibri" w:hAnsi="Calibri"/>
                <w:b w:val="0"/>
                <w:i w:val="0"/>
                <w:sz w:val="18"/>
              </w:rPr>
              <w:t>7,938</w:t>
            </w:r>
          </w:p>
        </w:tc>
      </w:tr>
    </w:tbl>
    <w:p>
      <w:pPr>
        <w:spacing w:after="160" w:before="40"/>
      </w:pPr>
      <w:r>
        <w:rPr>
          <w:rFonts w:ascii="Calibri" w:hAnsi="Calibri"/>
          <w:b w:val="0"/>
          <w:i/>
          <w:color w:val="595959"/>
          <w:sz w:val="16"/>
        </w:rPr>
        <w:t>FCFF = NOPAT + D&amp;A − capex ± change in working capital. Source: author’s model (DCF sheet).</w:t>
      </w:r>
    </w:p>
    <w:p>
      <w:pPr>
        <w:spacing w:after="80" w:before="200"/>
      </w:pPr>
      <w:r>
        <w:rPr>
          <w:rFonts w:ascii="Calibri" w:hAnsi="Calibri"/>
          <w:b/>
          <w:i w:val="0"/>
          <w:color w:val="2E5BA8"/>
          <w:sz w:val="25"/>
        </w:rPr>
        <w:t>From enterprise value to per-share value</w:t>
      </w:r>
    </w:p>
    <w:tbl>
      <w:tblPr>
        <w:tblStyle w:val="TableGrid"/>
        <w:tblW w:type="auto" w:w="0"/>
        <w:jc w:val="center"/>
        <w:tblLook w:firstColumn="1" w:firstRow="1" w:lastColumn="0" w:lastRow="0" w:noHBand="0" w:noVBand="1" w:val="04A0"/>
      </w:tblPr>
      <w:tblGrid>
        <w:gridCol w:w="4824"/>
        <w:gridCol w:w="4824"/>
      </w:tblGrid>
      <w:tr>
        <w:tc>
          <w:tcPr>
            <w:tcW w:type="dxa" w:w="4896"/>
            <w:shd w:val="clear" w:fill="1F3864"/>
          </w:tcPr>
          <w:p>
            <w:pPr>
              <w:jc w:val="left"/>
            </w:pPr>
            <w:r>
              <w:rPr>
                <w:rFonts w:ascii="Calibri" w:hAnsi="Calibri"/>
                <w:b/>
                <w:i w:val="0"/>
                <w:color w:val="FFFFFF"/>
                <w:sz w:val="19"/>
              </w:rPr>
              <w:t>DCF output</w:t>
            </w:r>
          </w:p>
        </w:tc>
        <w:tc>
          <w:tcPr>
            <w:tcW w:type="dxa" w:w="2880"/>
            <w:shd w:val="clear" w:fill="1F3864"/>
          </w:tcPr>
          <w:p>
            <w:pPr>
              <w:jc w:val="center"/>
            </w:pPr>
            <w:r>
              <w:rPr>
                <w:rFonts w:ascii="Calibri" w:hAnsi="Calibri"/>
                <w:b/>
                <w:i w:val="0"/>
                <w:color w:val="FFFFFF"/>
                <w:sz w:val="19"/>
              </w:rPr>
              <w:t>Value (₹ cr unless stated)</w:t>
            </w:r>
          </w:p>
        </w:tc>
      </w:tr>
      <w:tr>
        <w:tc>
          <w:tcPr>
            <w:tcW w:type="dxa" w:w="4896"/>
            <w:shd w:val="clear" w:fill="F2F5FB"/>
          </w:tcPr>
          <w:p>
            <w:pPr>
              <w:jc w:val="left"/>
            </w:pPr>
            <w:r>
              <w:rPr>
                <w:rFonts w:ascii="Calibri" w:hAnsi="Calibri"/>
                <w:b w:val="0"/>
                <w:i w:val="0"/>
                <w:sz w:val="19"/>
              </w:rPr>
              <w:t>Sum of PV of explicit FCFF (FY27–33)</w:t>
            </w:r>
          </w:p>
        </w:tc>
        <w:tc>
          <w:tcPr>
            <w:tcW w:type="dxa" w:w="2880"/>
            <w:shd w:val="clear" w:fill="F2F5FB"/>
          </w:tcPr>
          <w:p>
            <w:pPr>
              <w:jc w:val="right"/>
            </w:pPr>
            <w:r>
              <w:rPr>
                <w:rFonts w:ascii="Calibri" w:hAnsi="Calibri"/>
                <w:b w:val="0"/>
                <w:i w:val="0"/>
                <w:sz w:val="19"/>
              </w:rPr>
              <w:t>22,158</w:t>
            </w:r>
          </w:p>
        </w:tc>
      </w:tr>
      <w:tr>
        <w:tc>
          <w:tcPr>
            <w:tcW w:type="dxa" w:w="4896"/>
          </w:tcPr>
          <w:p>
            <w:pPr>
              <w:jc w:val="left"/>
            </w:pPr>
            <w:r>
              <w:rPr>
                <w:rFonts w:ascii="Calibri" w:hAnsi="Calibri"/>
                <w:b w:val="0"/>
                <w:i w:val="0"/>
                <w:sz w:val="19"/>
              </w:rPr>
              <w:t>PV of terminal value</w:t>
            </w:r>
          </w:p>
        </w:tc>
        <w:tc>
          <w:tcPr>
            <w:tcW w:type="dxa" w:w="2880"/>
          </w:tcPr>
          <w:p>
            <w:pPr>
              <w:jc w:val="right"/>
            </w:pPr>
            <w:r>
              <w:rPr>
                <w:rFonts w:ascii="Calibri" w:hAnsi="Calibri"/>
                <w:b w:val="0"/>
                <w:i w:val="0"/>
                <w:sz w:val="19"/>
              </w:rPr>
              <w:t>37,068</w:t>
            </w:r>
          </w:p>
        </w:tc>
      </w:tr>
      <w:tr>
        <w:tc>
          <w:tcPr>
            <w:tcW w:type="dxa" w:w="4896"/>
            <w:shd w:val="clear" w:fill="F2F5FB"/>
          </w:tcPr>
          <w:p>
            <w:pPr>
              <w:jc w:val="left"/>
            </w:pPr>
            <w:r>
              <w:rPr>
                <w:rFonts w:ascii="Calibri" w:hAnsi="Calibri"/>
                <w:b w:val="0"/>
                <w:i w:val="0"/>
                <w:sz w:val="19"/>
              </w:rPr>
              <w:t>Enterprise value (EV)</w:t>
            </w:r>
          </w:p>
        </w:tc>
        <w:tc>
          <w:tcPr>
            <w:tcW w:type="dxa" w:w="2880"/>
            <w:shd w:val="clear" w:fill="F2F5FB"/>
          </w:tcPr>
          <w:p>
            <w:pPr>
              <w:jc w:val="right"/>
            </w:pPr>
            <w:r>
              <w:rPr>
                <w:rFonts w:ascii="Calibri" w:hAnsi="Calibri"/>
                <w:b w:val="0"/>
                <w:i w:val="0"/>
                <w:sz w:val="19"/>
              </w:rPr>
              <w:t>59,226</w:t>
            </w:r>
          </w:p>
        </w:tc>
      </w:tr>
      <w:tr>
        <w:tc>
          <w:tcPr>
            <w:tcW w:type="dxa" w:w="4896"/>
          </w:tcPr>
          <w:p>
            <w:pPr>
              <w:jc w:val="left"/>
            </w:pPr>
            <w:r>
              <w:rPr>
                <w:rFonts w:ascii="Calibri" w:hAnsi="Calibri"/>
                <w:b w:val="0"/>
                <w:i w:val="0"/>
                <w:sz w:val="19"/>
              </w:rPr>
              <w:t>Add: net cash (FY26)</w:t>
            </w:r>
          </w:p>
        </w:tc>
        <w:tc>
          <w:tcPr>
            <w:tcW w:type="dxa" w:w="2880"/>
          </w:tcPr>
          <w:p>
            <w:pPr>
              <w:jc w:val="right"/>
            </w:pPr>
            <w:r>
              <w:rPr>
                <w:rFonts w:ascii="Calibri" w:hAnsi="Calibri"/>
                <w:b w:val="0"/>
                <w:i w:val="0"/>
                <w:sz w:val="19"/>
              </w:rPr>
              <w:t>3,680</w:t>
            </w:r>
          </w:p>
        </w:tc>
      </w:tr>
      <w:tr>
        <w:tc>
          <w:tcPr>
            <w:tcW w:type="dxa" w:w="4896"/>
            <w:shd w:val="clear" w:fill="F2F5FB"/>
          </w:tcPr>
          <w:p>
            <w:pPr>
              <w:jc w:val="left"/>
            </w:pPr>
            <w:r>
              <w:rPr>
                <w:rFonts w:ascii="Calibri" w:hAnsi="Calibri"/>
                <w:b w:val="0"/>
                <w:i w:val="0"/>
                <w:sz w:val="19"/>
              </w:rPr>
              <w:t>Equity value</w:t>
            </w:r>
          </w:p>
        </w:tc>
        <w:tc>
          <w:tcPr>
            <w:tcW w:type="dxa" w:w="2880"/>
            <w:shd w:val="clear" w:fill="F2F5FB"/>
          </w:tcPr>
          <w:p>
            <w:pPr>
              <w:jc w:val="right"/>
            </w:pPr>
            <w:r>
              <w:rPr>
                <w:rFonts w:ascii="Calibri" w:hAnsi="Calibri"/>
                <w:b w:val="0"/>
                <w:i w:val="0"/>
                <w:sz w:val="19"/>
              </w:rPr>
              <w:t>62,906</w:t>
            </w:r>
          </w:p>
        </w:tc>
      </w:tr>
      <w:tr>
        <w:tc>
          <w:tcPr>
            <w:tcW w:type="dxa" w:w="4896"/>
          </w:tcPr>
          <w:p>
            <w:pPr>
              <w:jc w:val="left"/>
            </w:pPr>
            <w:r>
              <w:rPr>
                <w:rFonts w:ascii="Calibri" w:hAnsi="Calibri"/>
                <w:b w:val="0"/>
                <w:i w:val="0"/>
                <w:sz w:val="19"/>
              </w:rPr>
              <w:t>Shares outstanding (cr)</w:t>
            </w:r>
          </w:p>
        </w:tc>
        <w:tc>
          <w:tcPr>
            <w:tcW w:type="dxa" w:w="2880"/>
          </w:tcPr>
          <w:p>
            <w:pPr>
              <w:jc w:val="right"/>
            </w:pPr>
            <w:r>
              <w:rPr>
                <w:rFonts w:ascii="Calibri" w:hAnsi="Calibri"/>
                <w:b w:val="0"/>
                <w:i w:val="0"/>
                <w:sz w:val="19"/>
              </w:rPr>
              <w:t>348.05</w:t>
            </w:r>
          </w:p>
        </w:tc>
      </w:tr>
      <w:tr>
        <w:tc>
          <w:tcPr>
            <w:tcW w:type="dxa" w:w="4896"/>
            <w:shd w:val="clear" w:fill="D9E1F2"/>
          </w:tcPr>
          <w:p>
            <w:pPr>
              <w:jc w:val="left"/>
            </w:pPr>
            <w:r>
              <w:rPr>
                <w:rFonts w:ascii="Calibri" w:hAnsi="Calibri"/>
                <w:b/>
                <w:i w:val="0"/>
                <w:sz w:val="19"/>
              </w:rPr>
              <w:t>Intrinsic value per share (₹)</w:t>
            </w:r>
          </w:p>
        </w:tc>
        <w:tc>
          <w:tcPr>
            <w:tcW w:type="dxa" w:w="2880"/>
            <w:shd w:val="clear" w:fill="D9E1F2"/>
          </w:tcPr>
          <w:p>
            <w:pPr>
              <w:jc w:val="right"/>
            </w:pPr>
            <w:r>
              <w:rPr>
                <w:rFonts w:ascii="Calibri" w:hAnsi="Calibri"/>
                <w:b/>
                <w:i w:val="0"/>
                <w:sz w:val="19"/>
              </w:rPr>
              <w:t>181</w:t>
            </w:r>
          </w:p>
        </w:tc>
      </w:tr>
      <w:tr>
        <w:tc>
          <w:tcPr>
            <w:tcW w:type="dxa" w:w="4896"/>
          </w:tcPr>
          <w:p>
            <w:pPr>
              <w:jc w:val="left"/>
            </w:pPr>
            <w:r>
              <w:rPr>
                <w:rFonts w:ascii="Calibri" w:hAnsi="Calibri"/>
                <w:b w:val="0"/>
                <w:i w:val="0"/>
                <w:sz w:val="19"/>
              </w:rPr>
              <w:t>Current price (₹)</w:t>
            </w:r>
          </w:p>
        </w:tc>
        <w:tc>
          <w:tcPr>
            <w:tcW w:type="dxa" w:w="2880"/>
          </w:tcPr>
          <w:p>
            <w:pPr>
              <w:jc w:val="right"/>
            </w:pPr>
            <w:r>
              <w:rPr>
                <w:rFonts w:ascii="Calibri" w:hAnsi="Calibri"/>
                <w:b w:val="0"/>
                <w:i w:val="0"/>
                <w:sz w:val="19"/>
              </w:rPr>
              <w:t>403</w:t>
            </w:r>
          </w:p>
        </w:tc>
      </w:tr>
      <w:tr>
        <w:tc>
          <w:tcPr>
            <w:tcW w:type="dxa" w:w="4896"/>
            <w:shd w:val="clear" w:fill="F2F5FB"/>
          </w:tcPr>
          <w:p>
            <w:pPr>
              <w:jc w:val="left"/>
            </w:pPr>
            <w:r>
              <w:rPr>
                <w:rFonts w:ascii="Calibri" w:hAnsi="Calibri"/>
                <w:b w:val="0"/>
                <w:i w:val="0"/>
                <w:sz w:val="19"/>
              </w:rPr>
              <w:t>Implied upside / (downside)</w:t>
            </w:r>
          </w:p>
        </w:tc>
        <w:tc>
          <w:tcPr>
            <w:tcW w:type="dxa" w:w="2880"/>
            <w:shd w:val="clear" w:fill="F2F5FB"/>
          </w:tcPr>
          <w:p>
            <w:pPr>
              <w:jc w:val="right"/>
            </w:pPr>
            <w:r>
              <w:rPr>
                <w:rFonts w:ascii="Calibri" w:hAnsi="Calibri"/>
                <w:b w:val="0"/>
                <w:i w:val="0"/>
                <w:sz w:val="19"/>
              </w:rPr>
              <w:t>(55)%</w:t>
            </w:r>
          </w:p>
        </w:tc>
      </w:tr>
    </w:tbl>
    <w:p>
      <w:pPr>
        <w:spacing w:after="160" w:before="40"/>
      </w:pPr>
      <w:r>
        <w:rPr>
          <w:rFonts w:ascii="Calibri" w:hAnsi="Calibri"/>
          <w:b w:val="0"/>
          <w:i/>
          <w:color w:val="595959"/>
          <w:sz w:val="16"/>
        </w:rPr>
        <w:t>Source: author’s model. Terminal value uses Gordon growth at g = 4.5% on FY33E FCFF.</w:t>
      </w:r>
    </w:p>
    <w:p>
      <w:pPr>
        <w:spacing w:after="120" w:before="80"/>
      </w:pPr>
      <w:r>
        <w:rPr>
          <w:rFonts w:ascii="Calibri" w:hAnsi="Calibri"/>
          <w:b w:val="0"/>
          <w:i w:val="0"/>
          <w:sz w:val="21"/>
        </w:rPr>
        <w:t>The DCF yields an intrinsic value of ₹181 per share — roughly 55% below the prevailing market price. The terminal value represents ~63% of EV, which is typical but means the valuation is sensitive to WACC and the terminal margin/growth assumptions (see Section 8). The core message is unambiguous: even crediting BHEL with a successful margin recovery to 12% and a sustained order book, the present value of its cash flows does not support a ₹400 share price.</w:t>
      </w:r>
    </w:p>
    <w:p>
      <w:r>
        <w:br w:type="page"/>
      </w:r>
    </w:p>
    <w:p>
      <w:pPr>
        <w:spacing w:after="160" w:before="40"/>
        <w:pBdr>
          <w:bottom w:val="single" w:sz="12" w:space="4" w:color="1F3864"/>
        </w:pBdr>
      </w:pPr>
      <w:r>
        <w:rPr>
          <w:rFonts w:ascii="Calibri" w:hAnsi="Calibri"/>
          <w:b/>
          <w:i w:val="0"/>
          <w:color w:val="1F3864"/>
          <w:sz w:val="32"/>
        </w:rPr>
        <w:t>7.  Relative Valuation &amp; Scenario Analysis</w:t>
      </w:r>
    </w:p>
    <w:p>
      <w:pPr>
        <w:spacing w:after="80" w:before="200"/>
      </w:pPr>
      <w:r>
        <w:rPr>
          <w:rFonts w:ascii="Calibri" w:hAnsi="Calibri"/>
          <w:b/>
          <w:i w:val="0"/>
          <w:color w:val="2E5BA8"/>
          <w:sz w:val="25"/>
        </w:rPr>
        <w:t>Relative valuation (cross-check)</w:t>
      </w:r>
    </w:p>
    <w:p>
      <w:pPr>
        <w:spacing w:after="80" w:before="0"/>
      </w:pPr>
      <w:r>
        <w:rPr>
          <w:rFonts w:ascii="Calibri" w:hAnsi="Calibri"/>
          <w:b w:val="0"/>
          <w:i w:val="0"/>
          <w:sz w:val="21"/>
        </w:rPr>
        <w:t>BHEL trades within a basket of Indian capital-goods/electrical-equipment names that command premium multiples, led by multinational franchises (Siemens India, ABB India, GE Vernova T&amp;D, CG Power). Applying peer median multiples to BHEL’s FY2027E metrics produces a wide range of implied values.</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1F3864"/>
          </w:tcPr>
          <w:p>
            <w:pPr>
              <w:jc w:val="left"/>
            </w:pPr>
            <w:r>
              <w:rPr>
                <w:rFonts w:ascii="Calibri" w:hAnsi="Calibri"/>
                <w:b/>
                <w:i w:val="0"/>
                <w:color w:val="FFFFFF"/>
                <w:sz w:val="19"/>
              </w:rPr>
              <w:t>Method</w:t>
            </w:r>
          </w:p>
        </w:tc>
        <w:tc>
          <w:tcPr>
            <w:tcW w:type="dxa" w:w="2160"/>
            <w:shd w:val="clear" w:fill="1F3864"/>
          </w:tcPr>
          <w:p>
            <w:pPr>
              <w:jc w:val="center"/>
            </w:pPr>
            <w:r>
              <w:rPr>
                <w:rFonts w:ascii="Calibri" w:hAnsi="Calibri"/>
                <w:b/>
                <w:i w:val="0"/>
                <w:color w:val="FFFFFF"/>
                <w:sz w:val="19"/>
              </w:rPr>
              <w:t>Peer median</w:t>
            </w:r>
          </w:p>
        </w:tc>
        <w:tc>
          <w:tcPr>
            <w:tcW w:type="dxa" w:w="2304"/>
            <w:shd w:val="clear" w:fill="1F3864"/>
          </w:tcPr>
          <w:p>
            <w:pPr>
              <w:jc w:val="center"/>
            </w:pPr>
            <w:r>
              <w:rPr>
                <w:rFonts w:ascii="Calibri" w:hAnsi="Calibri"/>
                <w:b/>
                <w:i w:val="0"/>
                <w:color w:val="FFFFFF"/>
                <w:sz w:val="19"/>
              </w:rPr>
              <w:t>Implied price (₹)</w:t>
            </w:r>
          </w:p>
        </w:tc>
      </w:tr>
      <w:tr>
        <w:tc>
          <w:tcPr>
            <w:tcW w:type="dxa" w:w="2736"/>
            <w:shd w:val="clear" w:fill="F2F5FB"/>
          </w:tcPr>
          <w:p>
            <w:pPr>
              <w:jc w:val="left"/>
            </w:pPr>
            <w:r>
              <w:rPr>
                <w:rFonts w:ascii="Calibri" w:hAnsi="Calibri"/>
                <w:b w:val="0"/>
                <w:i w:val="0"/>
                <w:sz w:val="19"/>
              </w:rPr>
              <w:t>EV/EBITDA</w:t>
            </w:r>
          </w:p>
        </w:tc>
        <w:tc>
          <w:tcPr>
            <w:tcW w:type="dxa" w:w="2160"/>
            <w:shd w:val="clear" w:fill="F2F5FB"/>
          </w:tcPr>
          <w:p>
            <w:pPr>
              <w:jc w:val="right"/>
            </w:pPr>
            <w:r>
              <w:rPr>
                <w:rFonts w:ascii="Calibri" w:hAnsi="Calibri"/>
                <w:b w:val="0"/>
                <w:i w:val="0"/>
                <w:sz w:val="19"/>
              </w:rPr>
              <w:t>41.0x</w:t>
            </w:r>
          </w:p>
        </w:tc>
        <w:tc>
          <w:tcPr>
            <w:tcW w:type="dxa" w:w="2304"/>
            <w:shd w:val="clear" w:fill="F2F5FB"/>
          </w:tcPr>
          <w:p>
            <w:pPr>
              <w:jc w:val="right"/>
            </w:pPr>
            <w:r>
              <w:rPr>
                <w:rFonts w:ascii="Calibri" w:hAnsi="Calibri"/>
                <w:b w:val="0"/>
                <w:i w:val="0"/>
                <w:sz w:val="19"/>
              </w:rPr>
              <w:t>367</w:t>
            </w:r>
          </w:p>
        </w:tc>
      </w:tr>
      <w:tr>
        <w:tc>
          <w:tcPr>
            <w:tcW w:type="dxa" w:w="2736"/>
          </w:tcPr>
          <w:p>
            <w:pPr>
              <w:jc w:val="left"/>
            </w:pPr>
            <w:r>
              <w:rPr>
                <w:rFonts w:ascii="Calibri" w:hAnsi="Calibri"/>
                <w:b w:val="0"/>
                <w:i w:val="0"/>
                <w:sz w:val="19"/>
              </w:rPr>
              <w:t>P/E</w:t>
            </w:r>
          </w:p>
        </w:tc>
        <w:tc>
          <w:tcPr>
            <w:tcW w:type="dxa" w:w="2160"/>
          </w:tcPr>
          <w:p>
            <w:pPr>
              <w:jc w:val="right"/>
            </w:pPr>
            <w:r>
              <w:rPr>
                <w:rFonts w:ascii="Calibri" w:hAnsi="Calibri"/>
                <w:b w:val="0"/>
                <w:i w:val="0"/>
                <w:sz w:val="19"/>
              </w:rPr>
              <w:t>57.5x</w:t>
            </w:r>
          </w:p>
        </w:tc>
        <w:tc>
          <w:tcPr>
            <w:tcW w:type="dxa" w:w="2304"/>
          </w:tcPr>
          <w:p>
            <w:pPr>
              <w:jc w:val="right"/>
            </w:pPr>
            <w:r>
              <w:rPr>
                <w:rFonts w:ascii="Calibri" w:hAnsi="Calibri"/>
                <w:b w:val="0"/>
                <w:i w:val="0"/>
                <w:sz w:val="19"/>
              </w:rPr>
              <w:t>343</w:t>
            </w:r>
          </w:p>
        </w:tc>
      </w:tr>
      <w:tr>
        <w:tc>
          <w:tcPr>
            <w:tcW w:type="dxa" w:w="2736"/>
            <w:shd w:val="clear" w:fill="F2F5FB"/>
          </w:tcPr>
          <w:p>
            <w:pPr>
              <w:jc w:val="left"/>
            </w:pPr>
            <w:r>
              <w:rPr>
                <w:rFonts w:ascii="Calibri" w:hAnsi="Calibri"/>
                <w:b w:val="0"/>
                <w:i w:val="0"/>
                <w:sz w:val="19"/>
              </w:rPr>
              <w:t>EV/Revenue</w:t>
            </w:r>
          </w:p>
        </w:tc>
        <w:tc>
          <w:tcPr>
            <w:tcW w:type="dxa" w:w="2160"/>
            <w:shd w:val="clear" w:fill="F2F5FB"/>
          </w:tcPr>
          <w:p>
            <w:pPr>
              <w:jc w:val="right"/>
            </w:pPr>
            <w:r>
              <w:rPr>
                <w:rFonts w:ascii="Calibri" w:hAnsi="Calibri"/>
                <w:b w:val="0"/>
                <w:i w:val="0"/>
                <w:sz w:val="19"/>
              </w:rPr>
              <w:t>6.0x</w:t>
            </w:r>
          </w:p>
        </w:tc>
        <w:tc>
          <w:tcPr>
            <w:tcW w:type="dxa" w:w="2304"/>
            <w:shd w:val="clear" w:fill="F2F5FB"/>
          </w:tcPr>
          <w:p>
            <w:pPr>
              <w:jc w:val="right"/>
            </w:pPr>
            <w:r>
              <w:rPr>
                <w:rFonts w:ascii="Calibri" w:hAnsi="Calibri"/>
                <w:b w:val="0"/>
                <w:i w:val="0"/>
                <w:sz w:val="19"/>
              </w:rPr>
              <w:t>707</w:t>
            </w:r>
          </w:p>
        </w:tc>
      </w:tr>
      <w:tr>
        <w:tc>
          <w:tcPr>
            <w:tcW w:type="dxa" w:w="2736"/>
            <w:shd w:val="clear" w:fill="D9E1F2"/>
          </w:tcPr>
          <w:p>
            <w:pPr>
              <w:jc w:val="left"/>
            </w:pPr>
            <w:r>
              <w:rPr>
                <w:rFonts w:ascii="Calibri" w:hAnsi="Calibri"/>
                <w:b/>
                <w:i w:val="0"/>
                <w:sz w:val="19"/>
              </w:rPr>
              <w:t>Average implied price</w:t>
            </w:r>
          </w:p>
        </w:tc>
        <w:tc>
          <w:tcPr>
            <w:tcW w:type="dxa" w:w="2160"/>
            <w:shd w:val="clear" w:fill="D9E1F2"/>
          </w:tcPr>
          <w:p>
            <w:pPr>
              <w:jc w:val="right"/>
            </w:pPr>
            <w:r>
              <w:rPr>
                <w:rFonts w:ascii="Calibri" w:hAnsi="Calibri"/>
                <w:b/>
                <w:i w:val="0"/>
                <w:sz w:val="19"/>
              </w:rPr>
              <w:t>—</w:t>
            </w:r>
          </w:p>
        </w:tc>
        <w:tc>
          <w:tcPr>
            <w:tcW w:type="dxa" w:w="2304"/>
            <w:shd w:val="clear" w:fill="D9E1F2"/>
          </w:tcPr>
          <w:p>
            <w:pPr>
              <w:jc w:val="right"/>
            </w:pPr>
            <w:r>
              <w:rPr>
                <w:rFonts w:ascii="Calibri" w:hAnsi="Calibri"/>
                <w:b/>
                <w:i w:val="0"/>
                <w:sz w:val="19"/>
              </w:rPr>
              <w:t>472</w:t>
            </w:r>
          </w:p>
        </w:tc>
      </w:tr>
    </w:tbl>
    <w:p>
      <w:pPr>
        <w:spacing w:after="160" w:before="40"/>
      </w:pPr>
      <w:r>
        <w:rPr>
          <w:rFonts w:ascii="Calibri" w:hAnsi="Calibri"/>
          <w:b w:val="0"/>
          <w:i/>
          <w:color w:val="595959"/>
          <w:sz w:val="16"/>
        </w:rPr>
        <w:t>Indicative peer multiples; refresh with live data before use. Source: author’s model (Relative Valuation sheet).</w:t>
      </w:r>
    </w:p>
    <w:p>
      <w:pPr>
        <w:spacing w:after="80" w:before="40"/>
      </w:pPr>
      <w:r>
        <w:rPr>
          <w:rFonts w:ascii="Calibri" w:hAnsi="Calibri"/>
          <w:b w:val="0"/>
          <w:i w:val="0"/>
          <w:sz w:val="21"/>
        </w:rPr>
        <w:t>We treat relative valuation as a sanity check, not a primary anchor, and we discount it heavily. The peer set is dominated by asset-light MNC subsidiaries with structurally higher margins (15–25%), cleaner governance and faster growth, which justifiably trade at 40–50x EBITDA. BHEL — a public-sector, lower-margin, execution-sensitive business — does not merit parity. The wide ₹343–₹707 range itself signals how multiple-dependent any bullish case is.</w:t>
      </w:r>
    </w:p>
    <w:p>
      <w:pPr>
        <w:spacing w:after="80" w:before="200"/>
      </w:pPr>
      <w:r>
        <w:rPr>
          <w:rFonts w:ascii="Calibri" w:hAnsi="Calibri"/>
          <w:b/>
          <w:i w:val="0"/>
          <w:color w:val="2E5BA8"/>
          <w:sz w:val="25"/>
        </w:rPr>
        <w:t>Scenario analysis</w:t>
      </w:r>
    </w:p>
    <w:p>
      <w:pPr>
        <w:spacing w:after="80" w:before="0"/>
      </w:pPr>
      <w:r>
        <w:rPr>
          <w:rFonts w:ascii="Calibri" w:hAnsi="Calibri"/>
          <w:b w:val="0"/>
          <w:i w:val="0"/>
          <w:sz w:val="21"/>
        </w:rPr>
        <w:t>We frame three scenarios on FY2033E using exit EV/EBITDA multiples discounted to the present, and assign probabilities of 25% / 50% / 25% to Bear / Base / Bull.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312"/>
            <w:shd w:val="clear" w:fill="1F3864"/>
          </w:tcPr>
          <w:p>
            <w:pPr>
              <w:jc w:val="left"/>
            </w:pPr>
            <w:r>
              <w:rPr>
                <w:rFonts w:ascii="Calibri" w:hAnsi="Calibri"/>
                <w:b/>
                <w:i w:val="0"/>
                <w:color w:val="FFFFFF"/>
                <w:sz w:val="18"/>
              </w:rPr>
              <w:t>Driver / output</w:t>
            </w:r>
          </w:p>
        </w:tc>
        <w:tc>
          <w:tcPr>
            <w:tcW w:type="dxa" w:w="1728"/>
            <w:shd w:val="clear" w:fill="1F3864"/>
          </w:tcPr>
          <w:p>
            <w:pPr>
              <w:jc w:val="center"/>
            </w:pPr>
            <w:r>
              <w:rPr>
                <w:rFonts w:ascii="Calibri" w:hAnsi="Calibri"/>
                <w:b/>
                <w:i w:val="0"/>
                <w:color w:val="FFFFFF"/>
                <w:sz w:val="18"/>
              </w:rPr>
              <w:t>Bear</w:t>
            </w:r>
          </w:p>
        </w:tc>
        <w:tc>
          <w:tcPr>
            <w:tcW w:type="dxa" w:w="1728"/>
            <w:shd w:val="clear" w:fill="1F3864"/>
          </w:tcPr>
          <w:p>
            <w:pPr>
              <w:jc w:val="center"/>
            </w:pPr>
            <w:r>
              <w:rPr>
                <w:rFonts w:ascii="Calibri" w:hAnsi="Calibri"/>
                <w:b/>
                <w:i w:val="0"/>
                <w:color w:val="FFFFFF"/>
                <w:sz w:val="18"/>
              </w:rPr>
              <w:t>Base</w:t>
            </w:r>
          </w:p>
        </w:tc>
        <w:tc>
          <w:tcPr>
            <w:tcW w:type="dxa" w:w="1728"/>
            <w:shd w:val="clear" w:fill="1F3864"/>
          </w:tcPr>
          <w:p>
            <w:pPr>
              <w:jc w:val="center"/>
            </w:pPr>
            <w:r>
              <w:rPr>
                <w:rFonts w:ascii="Calibri" w:hAnsi="Calibri"/>
                <w:b/>
                <w:i w:val="0"/>
                <w:color w:val="FFFFFF"/>
                <w:sz w:val="18"/>
              </w:rPr>
              <w:t>Bull</w:t>
            </w:r>
          </w:p>
        </w:tc>
      </w:tr>
      <w:tr>
        <w:tc>
          <w:tcPr>
            <w:tcW w:type="dxa" w:w="3312"/>
            <w:shd w:val="clear" w:fill="F2F5FB"/>
          </w:tcPr>
          <w:p>
            <w:pPr>
              <w:jc w:val="left"/>
            </w:pPr>
            <w:r>
              <w:rPr>
                <w:rFonts w:ascii="Calibri" w:hAnsi="Calibri"/>
                <w:b w:val="0"/>
                <w:i w:val="0"/>
                <w:sz w:val="18"/>
              </w:rPr>
              <w:t>FY33E revenue (₹ cr)</w:t>
            </w:r>
          </w:p>
        </w:tc>
        <w:tc>
          <w:tcPr>
            <w:tcW w:type="dxa" w:w="1728"/>
            <w:shd w:val="clear" w:fill="F2F5FB"/>
          </w:tcPr>
          <w:p>
            <w:pPr>
              <w:jc w:val="right"/>
            </w:pPr>
            <w:r>
              <w:rPr>
                <w:rFonts w:ascii="Calibri" w:hAnsi="Calibri"/>
                <w:b w:val="0"/>
                <w:i w:val="0"/>
                <w:sz w:val="18"/>
              </w:rPr>
              <w:t>68,000</w:t>
            </w:r>
          </w:p>
        </w:tc>
        <w:tc>
          <w:tcPr>
            <w:tcW w:type="dxa" w:w="1728"/>
            <w:shd w:val="clear" w:fill="F2F5FB"/>
          </w:tcPr>
          <w:p>
            <w:pPr>
              <w:jc w:val="right"/>
            </w:pPr>
            <w:r>
              <w:rPr>
                <w:rFonts w:ascii="Calibri" w:hAnsi="Calibri"/>
                <w:b w:val="0"/>
                <w:i w:val="0"/>
                <w:sz w:val="18"/>
              </w:rPr>
              <w:t>82,405</w:t>
            </w:r>
          </w:p>
        </w:tc>
        <w:tc>
          <w:tcPr>
            <w:tcW w:type="dxa" w:w="1728"/>
            <w:shd w:val="clear" w:fill="F2F5FB"/>
          </w:tcPr>
          <w:p>
            <w:pPr>
              <w:jc w:val="right"/>
            </w:pPr>
            <w:r>
              <w:rPr>
                <w:rFonts w:ascii="Calibri" w:hAnsi="Calibri"/>
                <w:b w:val="0"/>
                <w:i w:val="0"/>
                <w:sz w:val="18"/>
              </w:rPr>
              <w:t>92,000</w:t>
            </w:r>
          </w:p>
        </w:tc>
      </w:tr>
      <w:tr>
        <w:tc>
          <w:tcPr>
            <w:tcW w:type="dxa" w:w="3312"/>
          </w:tcPr>
          <w:p>
            <w:pPr>
              <w:jc w:val="left"/>
            </w:pPr>
            <w:r>
              <w:rPr>
                <w:rFonts w:ascii="Calibri" w:hAnsi="Calibri"/>
                <w:b w:val="0"/>
                <w:i w:val="0"/>
                <w:sz w:val="18"/>
              </w:rPr>
              <w:t>Terminal EBITDA margin</w:t>
            </w:r>
          </w:p>
        </w:tc>
        <w:tc>
          <w:tcPr>
            <w:tcW w:type="dxa" w:w="1728"/>
          </w:tcPr>
          <w:p>
            <w:pPr>
              <w:jc w:val="right"/>
            </w:pPr>
            <w:r>
              <w:rPr>
                <w:rFonts w:ascii="Calibri" w:hAnsi="Calibri"/>
                <w:b w:val="0"/>
                <w:i w:val="0"/>
                <w:sz w:val="18"/>
              </w:rPr>
              <w:t>9.0%</w:t>
            </w:r>
          </w:p>
        </w:tc>
        <w:tc>
          <w:tcPr>
            <w:tcW w:type="dxa" w:w="1728"/>
          </w:tcPr>
          <w:p>
            <w:pPr>
              <w:jc w:val="right"/>
            </w:pPr>
            <w:r>
              <w:rPr>
                <w:rFonts w:ascii="Calibri" w:hAnsi="Calibri"/>
                <w:b w:val="0"/>
                <w:i w:val="0"/>
                <w:sz w:val="18"/>
              </w:rPr>
              <w:t>12.0%</w:t>
            </w:r>
          </w:p>
        </w:tc>
        <w:tc>
          <w:tcPr>
            <w:tcW w:type="dxa" w:w="1728"/>
          </w:tcPr>
          <w:p>
            <w:pPr>
              <w:jc w:val="right"/>
            </w:pPr>
            <w:r>
              <w:rPr>
                <w:rFonts w:ascii="Calibri" w:hAnsi="Calibri"/>
                <w:b w:val="0"/>
                <w:i w:val="0"/>
                <w:sz w:val="18"/>
              </w:rPr>
              <w:t>15.0%</w:t>
            </w:r>
          </w:p>
        </w:tc>
      </w:tr>
      <w:tr>
        <w:tc>
          <w:tcPr>
            <w:tcW w:type="dxa" w:w="3312"/>
            <w:shd w:val="clear" w:fill="F2F5FB"/>
          </w:tcPr>
          <w:p>
            <w:pPr>
              <w:jc w:val="left"/>
            </w:pPr>
            <w:r>
              <w:rPr>
                <w:rFonts w:ascii="Calibri" w:hAnsi="Calibri"/>
                <w:b w:val="0"/>
                <w:i w:val="0"/>
                <w:sz w:val="18"/>
              </w:rPr>
              <w:t>Exit EV/EBITDA (x)</w:t>
            </w:r>
          </w:p>
        </w:tc>
        <w:tc>
          <w:tcPr>
            <w:tcW w:type="dxa" w:w="1728"/>
            <w:shd w:val="clear" w:fill="F2F5FB"/>
          </w:tcPr>
          <w:p>
            <w:pPr>
              <w:jc w:val="right"/>
            </w:pPr>
            <w:r>
              <w:rPr>
                <w:rFonts w:ascii="Calibri" w:hAnsi="Calibri"/>
                <w:b w:val="0"/>
                <w:i w:val="0"/>
                <w:sz w:val="18"/>
              </w:rPr>
              <w:t>14.0</w:t>
            </w:r>
          </w:p>
        </w:tc>
        <w:tc>
          <w:tcPr>
            <w:tcW w:type="dxa" w:w="1728"/>
            <w:shd w:val="clear" w:fill="F2F5FB"/>
          </w:tcPr>
          <w:p>
            <w:pPr>
              <w:jc w:val="right"/>
            </w:pPr>
            <w:r>
              <w:rPr>
                <w:rFonts w:ascii="Calibri" w:hAnsi="Calibri"/>
                <w:b w:val="0"/>
                <w:i w:val="0"/>
                <w:sz w:val="18"/>
              </w:rPr>
              <w:t>18.0</w:t>
            </w:r>
          </w:p>
        </w:tc>
        <w:tc>
          <w:tcPr>
            <w:tcW w:type="dxa" w:w="1728"/>
            <w:shd w:val="clear" w:fill="F2F5FB"/>
          </w:tcPr>
          <w:p>
            <w:pPr>
              <w:jc w:val="right"/>
            </w:pPr>
            <w:r>
              <w:rPr>
                <w:rFonts w:ascii="Calibri" w:hAnsi="Calibri"/>
                <w:b w:val="0"/>
                <w:i w:val="0"/>
                <w:sz w:val="18"/>
              </w:rPr>
              <w:t>24.0</w:t>
            </w:r>
          </w:p>
        </w:tc>
      </w:tr>
      <w:tr>
        <w:tc>
          <w:tcPr>
            <w:tcW w:type="dxa" w:w="3312"/>
          </w:tcPr>
          <w:p>
            <w:pPr>
              <w:jc w:val="left"/>
            </w:pPr>
            <w:r>
              <w:rPr>
                <w:rFonts w:ascii="Calibri" w:hAnsi="Calibri"/>
                <w:b w:val="0"/>
                <w:i w:val="0"/>
                <w:sz w:val="18"/>
              </w:rPr>
              <w:t>WACC</w:t>
            </w:r>
          </w:p>
        </w:tc>
        <w:tc>
          <w:tcPr>
            <w:tcW w:type="dxa" w:w="1728"/>
          </w:tcPr>
          <w:p>
            <w:pPr>
              <w:jc w:val="right"/>
            </w:pPr>
            <w:r>
              <w:rPr>
                <w:rFonts w:ascii="Calibri" w:hAnsi="Calibri"/>
                <w:b w:val="0"/>
                <w:i w:val="0"/>
                <w:sz w:val="18"/>
              </w:rPr>
              <w:t>15.5%</w:t>
            </w:r>
          </w:p>
        </w:tc>
        <w:tc>
          <w:tcPr>
            <w:tcW w:type="dxa" w:w="1728"/>
          </w:tcPr>
          <w:p>
            <w:pPr>
              <w:jc w:val="right"/>
            </w:pPr>
            <w:r>
              <w:rPr>
                <w:rFonts w:ascii="Calibri" w:hAnsi="Calibri"/>
                <w:b w:val="0"/>
                <w:i w:val="0"/>
                <w:sz w:val="18"/>
              </w:rPr>
              <w:t>13.6%</w:t>
            </w:r>
          </w:p>
        </w:tc>
        <w:tc>
          <w:tcPr>
            <w:tcW w:type="dxa" w:w="1728"/>
          </w:tcPr>
          <w:p>
            <w:pPr>
              <w:jc w:val="right"/>
            </w:pPr>
            <w:r>
              <w:rPr>
                <w:rFonts w:ascii="Calibri" w:hAnsi="Calibri"/>
                <w:b w:val="0"/>
                <w:i w:val="0"/>
                <w:sz w:val="18"/>
              </w:rPr>
              <w:t>12.0%</w:t>
            </w:r>
          </w:p>
        </w:tc>
      </w:tr>
      <w:tr>
        <w:tc>
          <w:tcPr>
            <w:tcW w:type="dxa" w:w="3312"/>
            <w:shd w:val="clear" w:fill="D9E1F2"/>
          </w:tcPr>
          <w:p>
            <w:pPr>
              <w:jc w:val="left"/>
            </w:pPr>
            <w:r>
              <w:rPr>
                <w:rFonts w:ascii="Calibri" w:hAnsi="Calibri"/>
                <w:b/>
                <w:i w:val="0"/>
                <w:sz w:val="18"/>
              </w:rPr>
              <w:t>Implied target price (₹)</w:t>
            </w:r>
          </w:p>
        </w:tc>
        <w:tc>
          <w:tcPr>
            <w:tcW w:type="dxa" w:w="1728"/>
            <w:shd w:val="clear" w:fill="D9E1F2"/>
          </w:tcPr>
          <w:p>
            <w:pPr>
              <w:jc w:val="right"/>
            </w:pPr>
            <w:r>
              <w:rPr>
                <w:rFonts w:ascii="Calibri" w:hAnsi="Calibri"/>
                <w:b/>
                <w:i w:val="0"/>
                <w:sz w:val="18"/>
              </w:rPr>
              <w:t>100</w:t>
            </w:r>
          </w:p>
        </w:tc>
        <w:tc>
          <w:tcPr>
            <w:tcW w:type="dxa" w:w="1728"/>
            <w:shd w:val="clear" w:fill="D9E1F2"/>
          </w:tcPr>
          <w:p>
            <w:pPr>
              <w:jc w:val="right"/>
            </w:pPr>
            <w:r>
              <w:rPr>
                <w:rFonts w:ascii="Calibri" w:hAnsi="Calibri"/>
                <w:b/>
                <w:i w:val="0"/>
                <w:sz w:val="18"/>
              </w:rPr>
              <w:t>219</w:t>
            </w:r>
          </w:p>
        </w:tc>
        <w:tc>
          <w:tcPr>
            <w:tcW w:type="dxa" w:w="1728"/>
            <w:shd w:val="clear" w:fill="D9E1F2"/>
          </w:tcPr>
          <w:p>
            <w:pPr>
              <w:jc w:val="right"/>
            </w:pPr>
            <w:r>
              <w:rPr>
                <w:rFonts w:ascii="Calibri" w:hAnsi="Calibri"/>
                <w:b/>
                <w:i w:val="0"/>
                <w:sz w:val="18"/>
              </w:rPr>
              <w:t>441</w:t>
            </w:r>
          </w:p>
        </w:tc>
      </w:tr>
      <w:tr>
        <w:tc>
          <w:tcPr>
            <w:tcW w:type="dxa" w:w="3312"/>
          </w:tcPr>
          <w:p>
            <w:pPr>
              <w:jc w:val="left"/>
            </w:pPr>
            <w:r>
              <w:rPr>
                <w:rFonts w:ascii="Calibri" w:hAnsi="Calibri"/>
                <w:b w:val="0"/>
                <w:i w:val="0"/>
                <w:sz w:val="18"/>
              </w:rPr>
              <w:t>Probability</w:t>
            </w:r>
          </w:p>
        </w:tc>
        <w:tc>
          <w:tcPr>
            <w:tcW w:type="dxa" w:w="1728"/>
          </w:tcPr>
          <w:p>
            <w:pPr>
              <w:jc w:val="right"/>
            </w:pPr>
            <w:r>
              <w:rPr>
                <w:rFonts w:ascii="Calibri" w:hAnsi="Calibri"/>
                <w:b w:val="0"/>
                <w:i w:val="0"/>
                <w:sz w:val="18"/>
              </w:rPr>
              <w:t>25%</w:t>
            </w:r>
          </w:p>
        </w:tc>
        <w:tc>
          <w:tcPr>
            <w:tcW w:type="dxa" w:w="1728"/>
          </w:tcPr>
          <w:p>
            <w:pPr>
              <w:jc w:val="right"/>
            </w:pPr>
            <w:r>
              <w:rPr>
                <w:rFonts w:ascii="Calibri" w:hAnsi="Calibri"/>
                <w:b w:val="0"/>
                <w:i w:val="0"/>
                <w:sz w:val="18"/>
              </w:rPr>
              <w:t>50%</w:t>
            </w:r>
          </w:p>
        </w:tc>
        <w:tc>
          <w:tcPr>
            <w:tcW w:type="dxa" w:w="1728"/>
          </w:tcPr>
          <w:p>
            <w:pPr>
              <w:jc w:val="right"/>
            </w:pPr>
            <w:r>
              <w:rPr>
                <w:rFonts w:ascii="Calibri" w:hAnsi="Calibri"/>
                <w:b w:val="0"/>
                <w:i w:val="0"/>
                <w:sz w:val="18"/>
              </w:rPr>
              <w:t>25%</w:t>
            </w:r>
          </w:p>
        </w:tc>
      </w:tr>
    </w:tbl>
    <w:p>
      <w:pPr>
        <w:spacing w:after="120" w:before="80"/>
      </w:pPr>
      <w:r>
        <w:rPr>
          <w:rFonts w:ascii="Calibri" w:hAnsi="Calibri"/>
          <w:b w:val="0"/>
          <w:i w:val="0"/>
          <w:sz w:val="21"/>
        </w:rPr>
        <w:t>The probability-weighted target price across the three scenarios is ₹245, which we adopt as our 12-month target. It sits above the pure DCF (₹181) — giving partial credit to the bull case and the strength of the order book — but well below both the current price and the multiple-driven relative value. The asymmetry is telling: the bear case implies ~75% downside while the bull case implies only modest upside, so the risk/reward at ₹403 is unattractive.</w:t>
      </w:r>
    </w:p>
    <w:p>
      <w:pPr>
        <w:spacing w:after="80" w:before="200"/>
      </w:pPr>
      <w:r>
        <w:rPr>
          <w:rFonts w:ascii="Calibri" w:hAnsi="Calibri"/>
          <w:b/>
          <w:i w:val="0"/>
          <w:color w:val="2E5BA8"/>
          <w:sz w:val="25"/>
        </w:rPr>
        <w:t>Valuation bridge</w:t>
      </w:r>
    </w:p>
    <w:p>
      <w:pPr>
        <w:spacing w:after="80" w:before="0"/>
      </w:pPr>
      <w:r>
        <w:rPr>
          <w:rFonts w:ascii="Calibri" w:hAnsi="Calibri"/>
          <w:b w:val="0"/>
          <w:i w:val="0"/>
          <w:sz w:val="21"/>
        </w:rPr>
        <w:t>The gap between our methods is itself the story. The DCF (₹181) values the cash the business can generate on credible assumptions. The relative method (₹472) values the stock on what the market is willing to pay for comparable franchises today — a multiple that embeds both a capital-goods re-rating and a quality premium BHEL has not yet earned. The truth, in our view, lies closer to the cash flows than to the multiples; we therefore weight the DCF most heavily and adopt the probability-weighted ₹245 as our anchor.</w:t>
      </w:r>
    </w:p>
    <w:p>
      <w:pPr>
        <w:spacing w:after="80" w:before="200"/>
      </w:pPr>
      <w:r>
        <w:rPr>
          <w:rFonts w:ascii="Calibri" w:hAnsi="Calibri"/>
          <w:b/>
          <w:i w:val="0"/>
          <w:color w:val="2E5BA8"/>
          <w:sz w:val="25"/>
        </w:rPr>
        <w:t>Valuation summary and target price</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fill="1F3864"/>
          </w:tcPr>
          <w:p>
            <w:pPr>
              <w:jc w:val="left"/>
            </w:pPr>
            <w:r>
              <w:rPr>
                <w:rFonts w:ascii="Calibri" w:hAnsi="Calibri"/>
                <w:b/>
                <w:i w:val="0"/>
                <w:color w:val="FFFFFF"/>
                <w:sz w:val="19"/>
              </w:rPr>
              <w:t>Approach</w:t>
            </w:r>
          </w:p>
        </w:tc>
        <w:tc>
          <w:tcPr>
            <w:tcW w:type="dxa" w:w="1728"/>
            <w:shd w:val="clear" w:fill="1F3864"/>
          </w:tcPr>
          <w:p>
            <w:pPr>
              <w:jc w:val="center"/>
            </w:pPr>
            <w:r>
              <w:rPr>
                <w:rFonts w:ascii="Calibri" w:hAnsi="Calibri"/>
                <w:b/>
                <w:i w:val="0"/>
                <w:color w:val="FFFFFF"/>
                <w:sz w:val="19"/>
              </w:rPr>
              <w:t>Weight</w:t>
            </w:r>
          </w:p>
        </w:tc>
        <w:tc>
          <w:tcPr>
            <w:tcW w:type="dxa" w:w="2016"/>
            <w:shd w:val="clear" w:fill="1F3864"/>
          </w:tcPr>
          <w:p>
            <w:pPr>
              <w:jc w:val="center"/>
            </w:pPr>
            <w:r>
              <w:rPr>
                <w:rFonts w:ascii="Calibri" w:hAnsi="Calibri"/>
                <w:b/>
                <w:i w:val="0"/>
                <w:color w:val="FFFFFF"/>
                <w:sz w:val="19"/>
              </w:rPr>
              <w:t>Value (₹)</w:t>
            </w:r>
          </w:p>
        </w:tc>
      </w:tr>
      <w:tr>
        <w:tc>
          <w:tcPr>
            <w:tcW w:type="dxa" w:w="3744"/>
            <w:shd w:val="clear" w:fill="F2F5FB"/>
          </w:tcPr>
          <w:p>
            <w:pPr>
              <w:jc w:val="left"/>
            </w:pPr>
            <w:r>
              <w:rPr>
                <w:rFonts w:ascii="Calibri" w:hAnsi="Calibri"/>
                <w:b w:val="0"/>
                <w:i w:val="0"/>
                <w:sz w:val="19"/>
              </w:rPr>
              <w:t>DCF (FCFF), primary</w:t>
            </w:r>
          </w:p>
        </w:tc>
        <w:tc>
          <w:tcPr>
            <w:tcW w:type="dxa" w:w="1728"/>
            <w:shd w:val="clear" w:fill="F2F5FB"/>
          </w:tcPr>
          <w:p>
            <w:pPr>
              <w:jc w:val="right"/>
            </w:pPr>
            <w:r>
              <w:rPr>
                <w:rFonts w:ascii="Calibri" w:hAnsi="Calibri"/>
                <w:b w:val="0"/>
                <w:i w:val="0"/>
                <w:sz w:val="19"/>
              </w:rPr>
              <w:t>50%</w:t>
            </w:r>
          </w:p>
        </w:tc>
        <w:tc>
          <w:tcPr>
            <w:tcW w:type="dxa" w:w="2016"/>
            <w:shd w:val="clear" w:fill="F2F5FB"/>
          </w:tcPr>
          <w:p>
            <w:pPr>
              <w:jc w:val="right"/>
            </w:pPr>
            <w:r>
              <w:rPr>
                <w:rFonts w:ascii="Calibri" w:hAnsi="Calibri"/>
                <w:b w:val="0"/>
                <w:i w:val="0"/>
                <w:sz w:val="19"/>
              </w:rPr>
              <w:t>181</w:t>
            </w:r>
          </w:p>
        </w:tc>
      </w:tr>
      <w:tr>
        <w:tc>
          <w:tcPr>
            <w:tcW w:type="dxa" w:w="3744"/>
          </w:tcPr>
          <w:p>
            <w:pPr>
              <w:jc w:val="left"/>
            </w:pPr>
            <w:r>
              <w:rPr>
                <w:rFonts w:ascii="Calibri" w:hAnsi="Calibri"/>
                <w:b w:val="0"/>
                <w:i w:val="0"/>
                <w:sz w:val="19"/>
              </w:rPr>
              <w:t>Probability-weighted scenario</w:t>
            </w:r>
          </w:p>
        </w:tc>
        <w:tc>
          <w:tcPr>
            <w:tcW w:type="dxa" w:w="1728"/>
          </w:tcPr>
          <w:p>
            <w:pPr>
              <w:jc w:val="right"/>
            </w:pPr>
            <w:r>
              <w:rPr>
                <w:rFonts w:ascii="Calibri" w:hAnsi="Calibri"/>
                <w:b w:val="0"/>
                <w:i w:val="0"/>
                <w:sz w:val="19"/>
              </w:rPr>
              <w:t>30%</w:t>
            </w:r>
          </w:p>
        </w:tc>
        <w:tc>
          <w:tcPr>
            <w:tcW w:type="dxa" w:w="2016"/>
          </w:tcPr>
          <w:p>
            <w:pPr>
              <w:jc w:val="right"/>
            </w:pPr>
            <w:r>
              <w:rPr>
                <w:rFonts w:ascii="Calibri" w:hAnsi="Calibri"/>
                <w:b w:val="0"/>
                <w:i w:val="0"/>
                <w:sz w:val="19"/>
              </w:rPr>
              <w:t>245</w:t>
            </w:r>
          </w:p>
        </w:tc>
      </w:tr>
      <w:tr>
        <w:tc>
          <w:tcPr>
            <w:tcW w:type="dxa" w:w="3744"/>
            <w:shd w:val="clear" w:fill="F2F5FB"/>
          </w:tcPr>
          <w:p>
            <w:pPr>
              <w:jc w:val="left"/>
            </w:pPr>
            <w:r>
              <w:rPr>
                <w:rFonts w:ascii="Calibri" w:hAnsi="Calibri"/>
                <w:b w:val="0"/>
                <w:i w:val="0"/>
                <w:sz w:val="19"/>
              </w:rPr>
              <w:t>Relative (peer multiples)</w:t>
            </w:r>
          </w:p>
        </w:tc>
        <w:tc>
          <w:tcPr>
            <w:tcW w:type="dxa" w:w="1728"/>
            <w:shd w:val="clear" w:fill="F2F5FB"/>
          </w:tcPr>
          <w:p>
            <w:pPr>
              <w:jc w:val="right"/>
            </w:pPr>
            <w:r>
              <w:rPr>
                <w:rFonts w:ascii="Calibri" w:hAnsi="Calibri"/>
                <w:b w:val="0"/>
                <w:i w:val="0"/>
                <w:sz w:val="19"/>
              </w:rPr>
              <w:t>20%</w:t>
            </w:r>
          </w:p>
        </w:tc>
        <w:tc>
          <w:tcPr>
            <w:tcW w:type="dxa" w:w="2016"/>
            <w:shd w:val="clear" w:fill="F2F5FB"/>
          </w:tcPr>
          <w:p>
            <w:pPr>
              <w:jc w:val="right"/>
            </w:pPr>
            <w:r>
              <w:rPr>
                <w:rFonts w:ascii="Calibri" w:hAnsi="Calibri"/>
                <w:b w:val="0"/>
                <w:i w:val="0"/>
                <w:sz w:val="19"/>
              </w:rPr>
              <w:t>472</w:t>
            </w:r>
          </w:p>
        </w:tc>
      </w:tr>
      <w:tr>
        <w:tc>
          <w:tcPr>
            <w:tcW w:type="dxa" w:w="3744"/>
            <w:shd w:val="clear" w:fill="D9E1F2"/>
          </w:tcPr>
          <w:p>
            <w:pPr>
              <w:jc w:val="left"/>
            </w:pPr>
            <w:r>
              <w:rPr>
                <w:rFonts w:ascii="Calibri" w:hAnsi="Calibri"/>
                <w:b/>
                <w:i w:val="0"/>
                <w:sz w:val="19"/>
              </w:rPr>
              <w:t>Blended fair value (rounded)</w:t>
            </w:r>
          </w:p>
        </w:tc>
        <w:tc>
          <w:tcPr>
            <w:tcW w:type="dxa" w:w="1728"/>
            <w:shd w:val="clear" w:fill="D9E1F2"/>
          </w:tcPr>
          <w:p>
            <w:pPr>
              <w:jc w:val="right"/>
            </w:pPr>
            <w:r>
              <w:rPr>
                <w:rFonts w:ascii="Calibri" w:hAnsi="Calibri"/>
                <w:b/>
                <w:i w:val="0"/>
                <w:sz w:val="19"/>
              </w:rPr>
              <w:t>100%</w:t>
            </w:r>
          </w:p>
        </w:tc>
        <w:tc>
          <w:tcPr>
            <w:tcW w:type="dxa" w:w="2016"/>
            <w:shd w:val="clear" w:fill="D9E1F2"/>
          </w:tcPr>
          <w:p>
            <w:pPr>
              <w:jc w:val="right"/>
            </w:pPr>
            <w:r>
              <w:rPr>
                <w:rFonts w:ascii="Calibri" w:hAnsi="Calibri"/>
                <w:b/>
                <w:i w:val="0"/>
                <w:sz w:val="19"/>
              </w:rPr>
              <w:t>~245</w:t>
            </w:r>
          </w:p>
        </w:tc>
      </w:tr>
    </w:tbl>
    <w:p>
      <w:pPr>
        <w:spacing w:after="160" w:before="40"/>
      </w:pPr>
      <w:r>
        <w:rPr>
          <w:rFonts w:ascii="Calibri" w:hAnsi="Calibri"/>
          <w:b w:val="0"/>
          <w:i/>
          <w:color w:val="595959"/>
          <w:sz w:val="16"/>
        </w:rPr>
        <w:t>Author’s blend. Target rounded to ₹245. Source: author’s model.</w:t>
      </w:r>
    </w:p>
    <w:p>
      <w:r>
        <w:br w:type="page"/>
      </w:r>
    </w:p>
    <w:p>
      <w:pPr>
        <w:spacing w:after="160" w:before="40"/>
        <w:pBdr>
          <w:bottom w:val="single" w:sz="12" w:space="4" w:color="1F3864"/>
        </w:pBdr>
      </w:pPr>
      <w:r>
        <w:rPr>
          <w:rFonts w:ascii="Calibri" w:hAnsi="Calibri"/>
          <w:b/>
          <w:i w:val="0"/>
          <w:color w:val="1F3864"/>
          <w:sz w:val="32"/>
        </w:rPr>
        <w:t>8.  Sensitivity Analysis</w:t>
      </w:r>
    </w:p>
    <w:p>
      <w:pPr>
        <w:spacing w:after="80" w:before="0"/>
      </w:pPr>
      <w:r>
        <w:rPr>
          <w:rFonts w:ascii="Calibri" w:hAnsi="Calibri"/>
          <w:b w:val="0"/>
          <w:i w:val="0"/>
          <w:sz w:val="21"/>
        </w:rPr>
        <w:t>Because the terminal value is a large share of DCF enterprise value, intrinsic value is most sensitive to WACC and terminal growth. The two-way table below shows DCF intrinsic value per share (₹) across these two variables; the centre cell is our base case (WACC 13.6%, g 4.5%).</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160"/>
            <w:shd w:val="clear" w:fill="1F3864"/>
          </w:tcPr>
          <w:p>
            <w:pPr>
              <w:jc w:val="left"/>
            </w:pPr>
            <w:r>
              <w:rPr>
                <w:rFonts w:ascii="Calibri" w:hAnsi="Calibri"/>
                <w:b/>
                <w:i w:val="0"/>
                <w:color w:val="FFFFFF"/>
                <w:sz w:val="18"/>
              </w:rPr>
              <w:t>WACC \\ g</w:t>
            </w:r>
          </w:p>
        </w:tc>
        <w:tc>
          <w:tcPr>
            <w:tcW w:type="dxa" w:w="1440"/>
            <w:shd w:val="clear" w:fill="1F3864"/>
          </w:tcPr>
          <w:p>
            <w:pPr>
              <w:jc w:val="center"/>
            </w:pPr>
            <w:r>
              <w:rPr>
                <w:rFonts w:ascii="Calibri" w:hAnsi="Calibri"/>
                <w:b/>
                <w:i w:val="0"/>
                <w:color w:val="FFFFFF"/>
                <w:sz w:val="18"/>
              </w:rPr>
              <w:t>3.0%</w:t>
            </w:r>
          </w:p>
        </w:tc>
        <w:tc>
          <w:tcPr>
            <w:tcW w:type="dxa" w:w="1440"/>
            <w:shd w:val="clear" w:fill="1F3864"/>
          </w:tcPr>
          <w:p>
            <w:pPr>
              <w:jc w:val="center"/>
            </w:pPr>
            <w:r>
              <w:rPr>
                <w:rFonts w:ascii="Calibri" w:hAnsi="Calibri"/>
                <w:b/>
                <w:i w:val="0"/>
                <w:color w:val="FFFFFF"/>
                <w:sz w:val="18"/>
              </w:rPr>
              <w:t>3.75%</w:t>
            </w:r>
          </w:p>
        </w:tc>
        <w:tc>
          <w:tcPr>
            <w:tcW w:type="dxa" w:w="1440"/>
            <w:shd w:val="clear" w:fill="1F3864"/>
          </w:tcPr>
          <w:p>
            <w:pPr>
              <w:jc w:val="center"/>
            </w:pPr>
            <w:r>
              <w:rPr>
                <w:rFonts w:ascii="Calibri" w:hAnsi="Calibri"/>
                <w:b/>
                <w:i w:val="0"/>
                <w:color w:val="FFFFFF"/>
                <w:sz w:val="18"/>
              </w:rPr>
              <w:t>4.5%</w:t>
            </w:r>
          </w:p>
        </w:tc>
        <w:tc>
          <w:tcPr>
            <w:tcW w:type="dxa" w:w="1440"/>
            <w:shd w:val="clear" w:fill="1F3864"/>
          </w:tcPr>
          <w:p>
            <w:pPr>
              <w:jc w:val="center"/>
            </w:pPr>
            <w:r>
              <w:rPr>
                <w:rFonts w:ascii="Calibri" w:hAnsi="Calibri"/>
                <w:b/>
                <w:i w:val="0"/>
                <w:color w:val="FFFFFF"/>
                <w:sz w:val="18"/>
              </w:rPr>
              <w:t>5.25%</w:t>
            </w:r>
          </w:p>
        </w:tc>
        <w:tc>
          <w:tcPr>
            <w:tcW w:type="dxa" w:w="1440"/>
            <w:shd w:val="clear" w:fill="1F3864"/>
          </w:tcPr>
          <w:p>
            <w:pPr>
              <w:jc w:val="center"/>
            </w:pPr>
            <w:r>
              <w:rPr>
                <w:rFonts w:ascii="Calibri" w:hAnsi="Calibri"/>
                <w:b/>
                <w:i w:val="0"/>
                <w:color w:val="FFFFFF"/>
                <w:sz w:val="18"/>
              </w:rPr>
              <w:t>6.0%</w:t>
            </w:r>
          </w:p>
        </w:tc>
      </w:tr>
      <w:tr>
        <w:tc>
          <w:tcPr>
            <w:tcW w:type="dxa" w:w="2160"/>
            <w:shd w:val="clear" w:fill="F2F5FB"/>
          </w:tcPr>
          <w:p>
            <w:pPr>
              <w:jc w:val="left"/>
            </w:pPr>
            <w:r>
              <w:rPr>
                <w:rFonts w:ascii="Calibri" w:hAnsi="Calibri"/>
                <w:b w:val="0"/>
                <w:i w:val="0"/>
                <w:sz w:val="18"/>
              </w:rPr>
              <w:t>11.6%</w:t>
            </w:r>
          </w:p>
        </w:tc>
        <w:tc>
          <w:tcPr>
            <w:tcW w:type="dxa" w:w="1440"/>
            <w:shd w:val="clear" w:fill="F2F5FB"/>
          </w:tcPr>
          <w:p>
            <w:pPr>
              <w:jc w:val="right"/>
            </w:pPr>
            <w:r>
              <w:rPr>
                <w:rFonts w:ascii="Calibri" w:hAnsi="Calibri"/>
                <w:b w:val="0"/>
                <w:i w:val="0"/>
                <w:sz w:val="18"/>
              </w:rPr>
              <w:t>243</w:t>
            </w:r>
          </w:p>
        </w:tc>
        <w:tc>
          <w:tcPr>
            <w:tcW w:type="dxa" w:w="1440"/>
            <w:shd w:val="clear" w:fill="F2F5FB"/>
          </w:tcPr>
          <w:p>
            <w:pPr>
              <w:jc w:val="right"/>
            </w:pPr>
            <w:r>
              <w:rPr>
                <w:rFonts w:ascii="Calibri" w:hAnsi="Calibri"/>
                <w:b w:val="0"/>
                <w:i w:val="0"/>
                <w:sz w:val="18"/>
              </w:rPr>
              <w:t>262</w:t>
            </w:r>
          </w:p>
        </w:tc>
        <w:tc>
          <w:tcPr>
            <w:tcW w:type="dxa" w:w="1440"/>
            <w:shd w:val="clear" w:fill="F2F5FB"/>
          </w:tcPr>
          <w:p>
            <w:pPr>
              <w:jc w:val="right"/>
            </w:pPr>
            <w:r>
              <w:rPr>
                <w:rFonts w:ascii="Calibri" w:hAnsi="Calibri"/>
                <w:b w:val="0"/>
                <w:i w:val="0"/>
                <w:sz w:val="18"/>
              </w:rPr>
              <w:t>286</w:t>
            </w:r>
          </w:p>
        </w:tc>
        <w:tc>
          <w:tcPr>
            <w:tcW w:type="dxa" w:w="1440"/>
            <w:shd w:val="clear" w:fill="F2F5FB"/>
          </w:tcPr>
          <w:p>
            <w:pPr>
              <w:jc w:val="right"/>
            </w:pPr>
            <w:r>
              <w:rPr>
                <w:rFonts w:ascii="Calibri" w:hAnsi="Calibri"/>
                <w:b w:val="0"/>
                <w:i w:val="0"/>
                <w:sz w:val="18"/>
              </w:rPr>
              <w:t>315</w:t>
            </w:r>
          </w:p>
        </w:tc>
        <w:tc>
          <w:tcPr>
            <w:tcW w:type="dxa" w:w="1440"/>
            <w:shd w:val="clear" w:fill="F2F5FB"/>
          </w:tcPr>
          <w:p>
            <w:pPr>
              <w:jc w:val="right"/>
            </w:pPr>
            <w:r>
              <w:rPr>
                <w:rFonts w:ascii="Calibri" w:hAnsi="Calibri"/>
                <w:b w:val="0"/>
                <w:i w:val="0"/>
                <w:sz w:val="18"/>
              </w:rPr>
              <w:t>352</w:t>
            </w:r>
          </w:p>
        </w:tc>
      </w:tr>
      <w:tr>
        <w:tc>
          <w:tcPr>
            <w:tcW w:type="dxa" w:w="2160"/>
          </w:tcPr>
          <w:p>
            <w:pPr>
              <w:jc w:val="left"/>
            </w:pPr>
            <w:r>
              <w:rPr>
                <w:rFonts w:ascii="Calibri" w:hAnsi="Calibri"/>
                <w:b w:val="0"/>
                <w:i w:val="0"/>
                <w:sz w:val="18"/>
              </w:rPr>
              <w:t>12.6%</w:t>
            </w:r>
          </w:p>
        </w:tc>
        <w:tc>
          <w:tcPr>
            <w:tcW w:type="dxa" w:w="1440"/>
          </w:tcPr>
          <w:p>
            <w:pPr>
              <w:jc w:val="right"/>
            </w:pPr>
            <w:r>
              <w:rPr>
                <w:rFonts w:ascii="Calibri" w:hAnsi="Calibri"/>
                <w:b w:val="0"/>
                <w:i w:val="0"/>
                <w:sz w:val="18"/>
              </w:rPr>
              <w:t>205</w:t>
            </w:r>
          </w:p>
        </w:tc>
        <w:tc>
          <w:tcPr>
            <w:tcW w:type="dxa" w:w="1440"/>
          </w:tcPr>
          <w:p>
            <w:pPr>
              <w:jc w:val="right"/>
            </w:pPr>
            <w:r>
              <w:rPr>
                <w:rFonts w:ascii="Calibri" w:hAnsi="Calibri"/>
                <w:b w:val="0"/>
                <w:i w:val="0"/>
                <w:sz w:val="18"/>
              </w:rPr>
              <w:t>219</w:t>
            </w:r>
          </w:p>
        </w:tc>
        <w:tc>
          <w:tcPr>
            <w:tcW w:type="dxa" w:w="1440"/>
          </w:tcPr>
          <w:p>
            <w:pPr>
              <w:jc w:val="right"/>
            </w:pPr>
            <w:r>
              <w:rPr>
                <w:rFonts w:ascii="Calibri" w:hAnsi="Calibri"/>
                <w:b w:val="0"/>
                <w:i w:val="0"/>
                <w:sz w:val="18"/>
              </w:rPr>
              <w:t>236</w:t>
            </w:r>
          </w:p>
        </w:tc>
        <w:tc>
          <w:tcPr>
            <w:tcW w:type="dxa" w:w="1440"/>
          </w:tcPr>
          <w:p>
            <w:pPr>
              <w:jc w:val="right"/>
            </w:pPr>
            <w:r>
              <w:rPr>
                <w:rFonts w:ascii="Calibri" w:hAnsi="Calibri"/>
                <w:b w:val="0"/>
                <w:i w:val="0"/>
                <w:sz w:val="18"/>
              </w:rPr>
              <w:t>257</w:t>
            </w:r>
          </w:p>
        </w:tc>
        <w:tc>
          <w:tcPr>
            <w:tcW w:type="dxa" w:w="1440"/>
          </w:tcPr>
          <w:p>
            <w:pPr>
              <w:jc w:val="right"/>
            </w:pPr>
            <w:r>
              <w:rPr>
                <w:rFonts w:ascii="Calibri" w:hAnsi="Calibri"/>
                <w:b w:val="0"/>
                <w:i w:val="0"/>
                <w:sz w:val="18"/>
              </w:rPr>
              <w:t>283</w:t>
            </w:r>
          </w:p>
        </w:tc>
      </w:tr>
      <w:tr>
        <w:tc>
          <w:tcPr>
            <w:tcW w:type="dxa" w:w="2160"/>
            <w:shd w:val="clear" w:fill="FFF2CC"/>
          </w:tcPr>
          <w:p>
            <w:pPr>
              <w:jc w:val="left"/>
            </w:pPr>
            <w:r>
              <w:rPr>
                <w:rFonts w:ascii="Calibri" w:hAnsi="Calibri"/>
                <w:b w:val="0"/>
                <w:i w:val="0"/>
                <w:sz w:val="18"/>
              </w:rPr>
              <w:t>13.6% (base)</w:t>
            </w:r>
          </w:p>
        </w:tc>
        <w:tc>
          <w:tcPr>
            <w:tcW w:type="dxa" w:w="1440"/>
            <w:shd w:val="clear" w:fill="FFF2CC"/>
          </w:tcPr>
          <w:p>
            <w:pPr>
              <w:jc w:val="right"/>
            </w:pPr>
            <w:r>
              <w:rPr>
                <w:rFonts w:ascii="Calibri" w:hAnsi="Calibri"/>
                <w:b w:val="0"/>
                <w:i w:val="0"/>
                <w:sz w:val="18"/>
              </w:rPr>
              <w:t>175</w:t>
            </w:r>
          </w:p>
        </w:tc>
        <w:tc>
          <w:tcPr>
            <w:tcW w:type="dxa" w:w="1440"/>
            <w:shd w:val="clear" w:fill="FFF2CC"/>
          </w:tcPr>
          <w:p>
            <w:pPr>
              <w:jc w:val="right"/>
            </w:pPr>
            <w:r>
              <w:rPr>
                <w:rFonts w:ascii="Calibri" w:hAnsi="Calibri"/>
                <w:b w:val="0"/>
                <w:i w:val="0"/>
                <w:sz w:val="18"/>
              </w:rPr>
              <w:t>186</w:t>
            </w:r>
          </w:p>
        </w:tc>
        <w:tc>
          <w:tcPr>
            <w:tcW w:type="dxa" w:w="1440"/>
            <w:shd w:val="clear" w:fill="FFF2CC"/>
          </w:tcPr>
          <w:p>
            <w:pPr>
              <w:jc w:val="right"/>
            </w:pPr>
            <w:r>
              <w:rPr>
                <w:rFonts w:ascii="Calibri" w:hAnsi="Calibri"/>
                <w:b w:val="0"/>
                <w:i w:val="0"/>
                <w:sz w:val="18"/>
              </w:rPr>
              <w:t>199</w:t>
            </w:r>
          </w:p>
        </w:tc>
        <w:tc>
          <w:tcPr>
            <w:tcW w:type="dxa" w:w="1440"/>
            <w:shd w:val="clear" w:fill="FFF2CC"/>
          </w:tcPr>
          <w:p>
            <w:pPr>
              <w:jc w:val="right"/>
            </w:pPr>
            <w:r>
              <w:rPr>
                <w:rFonts w:ascii="Calibri" w:hAnsi="Calibri"/>
                <w:b w:val="0"/>
                <w:i w:val="0"/>
                <w:sz w:val="18"/>
              </w:rPr>
              <w:t>215</w:t>
            </w:r>
          </w:p>
        </w:tc>
        <w:tc>
          <w:tcPr>
            <w:tcW w:type="dxa" w:w="1440"/>
            <w:shd w:val="clear" w:fill="FFF2CC"/>
          </w:tcPr>
          <w:p>
            <w:pPr>
              <w:jc w:val="right"/>
            </w:pPr>
            <w:r>
              <w:rPr>
                <w:rFonts w:ascii="Calibri" w:hAnsi="Calibri"/>
                <w:b w:val="0"/>
                <w:i w:val="0"/>
                <w:sz w:val="18"/>
              </w:rPr>
              <w:t>235</w:t>
            </w:r>
          </w:p>
        </w:tc>
      </w:tr>
      <w:tr>
        <w:tc>
          <w:tcPr>
            <w:tcW w:type="dxa" w:w="2160"/>
          </w:tcPr>
          <w:p>
            <w:pPr>
              <w:jc w:val="left"/>
            </w:pPr>
            <w:r>
              <w:rPr>
                <w:rFonts w:ascii="Calibri" w:hAnsi="Calibri"/>
                <w:b w:val="0"/>
                <w:i w:val="0"/>
                <w:sz w:val="18"/>
              </w:rPr>
              <w:t>14.6%</w:t>
            </w:r>
          </w:p>
        </w:tc>
        <w:tc>
          <w:tcPr>
            <w:tcW w:type="dxa" w:w="1440"/>
          </w:tcPr>
          <w:p>
            <w:pPr>
              <w:jc w:val="right"/>
            </w:pPr>
            <w:r>
              <w:rPr>
                <w:rFonts w:ascii="Calibri" w:hAnsi="Calibri"/>
                <w:b w:val="0"/>
                <w:i w:val="0"/>
                <w:sz w:val="18"/>
              </w:rPr>
              <w:t>151</w:t>
            </w:r>
          </w:p>
        </w:tc>
        <w:tc>
          <w:tcPr>
            <w:tcW w:type="dxa" w:w="1440"/>
          </w:tcPr>
          <w:p>
            <w:pPr>
              <w:jc w:val="right"/>
            </w:pPr>
            <w:r>
              <w:rPr>
                <w:rFonts w:ascii="Calibri" w:hAnsi="Calibri"/>
                <w:b w:val="0"/>
                <w:i w:val="0"/>
                <w:sz w:val="18"/>
              </w:rPr>
              <w:t>159</w:t>
            </w:r>
          </w:p>
        </w:tc>
        <w:tc>
          <w:tcPr>
            <w:tcW w:type="dxa" w:w="1440"/>
          </w:tcPr>
          <w:p>
            <w:pPr>
              <w:jc w:val="right"/>
            </w:pPr>
            <w:r>
              <w:rPr>
                <w:rFonts w:ascii="Calibri" w:hAnsi="Calibri"/>
                <w:b w:val="0"/>
                <w:i w:val="0"/>
                <w:sz w:val="18"/>
              </w:rPr>
              <w:t>170</w:t>
            </w:r>
          </w:p>
        </w:tc>
        <w:tc>
          <w:tcPr>
            <w:tcW w:type="dxa" w:w="1440"/>
          </w:tcPr>
          <w:p>
            <w:pPr>
              <w:jc w:val="right"/>
            </w:pPr>
            <w:r>
              <w:rPr>
                <w:rFonts w:ascii="Calibri" w:hAnsi="Calibri"/>
                <w:b w:val="0"/>
                <w:i w:val="0"/>
                <w:sz w:val="18"/>
              </w:rPr>
              <w:t>182</w:t>
            </w:r>
          </w:p>
        </w:tc>
        <w:tc>
          <w:tcPr>
            <w:tcW w:type="dxa" w:w="1440"/>
          </w:tcPr>
          <w:p>
            <w:pPr>
              <w:jc w:val="right"/>
            </w:pPr>
            <w:r>
              <w:rPr>
                <w:rFonts w:ascii="Calibri" w:hAnsi="Calibri"/>
                <w:b w:val="0"/>
                <w:i w:val="0"/>
                <w:sz w:val="18"/>
              </w:rPr>
              <w:t>197</w:t>
            </w:r>
          </w:p>
        </w:tc>
      </w:tr>
      <w:tr>
        <w:tc>
          <w:tcPr>
            <w:tcW w:type="dxa" w:w="2160"/>
            <w:shd w:val="clear" w:fill="F2F5FB"/>
          </w:tcPr>
          <w:p>
            <w:pPr>
              <w:jc w:val="left"/>
            </w:pPr>
            <w:r>
              <w:rPr>
                <w:rFonts w:ascii="Calibri" w:hAnsi="Calibri"/>
                <w:b w:val="0"/>
                <w:i w:val="0"/>
                <w:sz w:val="18"/>
              </w:rPr>
              <w:t>15.6%</w:t>
            </w:r>
          </w:p>
        </w:tc>
        <w:tc>
          <w:tcPr>
            <w:tcW w:type="dxa" w:w="1440"/>
            <w:shd w:val="clear" w:fill="F2F5FB"/>
          </w:tcPr>
          <w:p>
            <w:pPr>
              <w:jc w:val="right"/>
            </w:pPr>
            <w:r>
              <w:rPr>
                <w:rFonts w:ascii="Calibri" w:hAnsi="Calibri"/>
                <w:b w:val="0"/>
                <w:i w:val="0"/>
                <w:sz w:val="18"/>
              </w:rPr>
              <w:t>131</w:t>
            </w:r>
          </w:p>
        </w:tc>
        <w:tc>
          <w:tcPr>
            <w:tcW w:type="dxa" w:w="1440"/>
            <w:shd w:val="clear" w:fill="F2F5FB"/>
          </w:tcPr>
          <w:p>
            <w:pPr>
              <w:jc w:val="right"/>
            </w:pPr>
            <w:r>
              <w:rPr>
                <w:rFonts w:ascii="Calibri" w:hAnsi="Calibri"/>
                <w:b w:val="0"/>
                <w:i w:val="0"/>
                <w:sz w:val="18"/>
              </w:rPr>
              <w:t>138</w:t>
            </w:r>
          </w:p>
        </w:tc>
        <w:tc>
          <w:tcPr>
            <w:tcW w:type="dxa" w:w="1440"/>
            <w:shd w:val="clear" w:fill="F2F5FB"/>
          </w:tcPr>
          <w:p>
            <w:pPr>
              <w:jc w:val="right"/>
            </w:pPr>
            <w:r>
              <w:rPr>
                <w:rFonts w:ascii="Calibri" w:hAnsi="Calibri"/>
                <w:b w:val="0"/>
                <w:i w:val="0"/>
                <w:sz w:val="18"/>
              </w:rPr>
              <w:t>146</w:t>
            </w:r>
          </w:p>
        </w:tc>
        <w:tc>
          <w:tcPr>
            <w:tcW w:type="dxa" w:w="1440"/>
            <w:shd w:val="clear" w:fill="F2F5FB"/>
          </w:tcPr>
          <w:p>
            <w:pPr>
              <w:jc w:val="right"/>
            </w:pPr>
            <w:r>
              <w:rPr>
                <w:rFonts w:ascii="Calibri" w:hAnsi="Calibri"/>
                <w:b w:val="0"/>
                <w:i w:val="0"/>
                <w:sz w:val="18"/>
              </w:rPr>
              <w:t>156</w:t>
            </w:r>
          </w:p>
        </w:tc>
        <w:tc>
          <w:tcPr>
            <w:tcW w:type="dxa" w:w="1440"/>
            <w:shd w:val="clear" w:fill="F2F5FB"/>
          </w:tcPr>
          <w:p>
            <w:pPr>
              <w:jc w:val="right"/>
            </w:pPr>
            <w:r>
              <w:rPr>
                <w:rFonts w:ascii="Calibri" w:hAnsi="Calibri"/>
                <w:b w:val="0"/>
                <w:i w:val="0"/>
                <w:sz w:val="18"/>
              </w:rPr>
              <w:t>168</w:t>
            </w:r>
          </w:p>
        </w:tc>
      </w:tr>
    </w:tbl>
    <w:p>
      <w:pPr>
        <w:spacing w:after="160" w:before="40"/>
      </w:pPr>
      <w:r>
        <w:rPr>
          <w:rFonts w:ascii="Calibri" w:hAnsi="Calibri"/>
          <w:b w:val="0"/>
          <w:i/>
          <w:color w:val="595959"/>
          <w:sz w:val="16"/>
        </w:rPr>
        <w:t>DCF intrinsic value per share (₹). Centre column/row = base case. Source: author’s model (Sensitivity sheet).</w:t>
      </w:r>
    </w:p>
    <w:p>
      <w:pPr>
        <w:spacing w:after="120" w:before="80"/>
      </w:pPr>
      <w:r>
        <w:rPr>
          <w:rFonts w:ascii="Calibri" w:hAnsi="Calibri"/>
          <w:b w:val="0"/>
          <w:i w:val="0"/>
          <w:sz w:val="21"/>
        </w:rPr>
        <w:t>Across the plausible range, intrinsic value spans roughly ₹130–₹290 — and only an aggressive combination of sub-12% WACC and 6% perpetual growth approaches the current ₹400 price. Other key swing factors, modelled on the Scenario and Assumptions sheets, include order-inflow levels, the execution/conversion rate, EBITDA margins, steel and copper prices, capex, interest rates and the working-capital cycle.</w:t>
      </w:r>
    </w:p>
    <w:p>
      <w:r>
        <w:br w:type="page"/>
      </w:r>
    </w:p>
    <w:p>
      <w:pPr>
        <w:spacing w:after="160" w:before="40"/>
        <w:pBdr>
          <w:bottom w:val="single" w:sz="12" w:space="4" w:color="1F3864"/>
        </w:pBdr>
      </w:pPr>
      <w:r>
        <w:rPr>
          <w:rFonts w:ascii="Calibri" w:hAnsi="Calibri"/>
          <w:b/>
          <w:i w:val="0"/>
          <w:color w:val="1F3864"/>
          <w:sz w:val="32"/>
        </w:rPr>
        <w:t>9.  Investment Risks</w:t>
      </w:r>
    </w:p>
    <w:p>
      <w:pPr>
        <w:spacing w:after="60" w:before="120"/>
      </w:pPr>
      <w:r>
        <w:rPr>
          <w:rFonts w:ascii="Calibri" w:hAnsi="Calibri"/>
          <w:b/>
          <w:i w:val="0"/>
          <w:color w:val="595959"/>
          <w:sz w:val="22"/>
        </w:rPr>
        <w:t>Risks to our (cautious) view — i.e. upside risks</w:t>
      </w:r>
    </w:p>
    <w:p>
      <w:pPr>
        <w:pStyle w:val="ListBullet"/>
        <w:spacing w:after="80"/>
      </w:pPr>
      <w:r>
        <w:rPr>
          <w:rFonts w:ascii="Calibri" w:hAnsi="Calibri"/>
          <w:b/>
          <w:i w:val="0"/>
          <w:color w:val="1F3864"/>
          <w:sz w:val="21"/>
        </w:rPr>
        <w:t xml:space="preserve">Execution acceleration: </w:t>
      </w:r>
      <w:r>
        <w:rPr>
          <w:rFonts w:ascii="Calibri" w:hAnsi="Calibri"/>
          <w:b w:val="0"/>
          <w:i w:val="0"/>
          <w:sz w:val="21"/>
        </w:rPr>
        <w:t xml:space="preserve"> A faster-than-modelled rise in the execution rate would lift revenue and, through operating leverage, margins and EPS materially above our base case.</w:t>
      </w:r>
    </w:p>
    <w:p>
      <w:pPr>
        <w:pStyle w:val="ListBullet"/>
        <w:spacing w:after="80"/>
      </w:pPr>
      <w:r>
        <w:rPr>
          <w:rFonts w:ascii="Calibri" w:hAnsi="Calibri"/>
          <w:b/>
          <w:i w:val="0"/>
          <w:color w:val="1F3864"/>
          <w:sz w:val="21"/>
        </w:rPr>
        <w:t xml:space="preserve">Stronger ordering: </w:t>
      </w:r>
      <w:r>
        <w:rPr>
          <w:rFonts w:ascii="Calibri" w:hAnsi="Calibri"/>
          <w:b w:val="0"/>
          <w:i w:val="0"/>
          <w:sz w:val="21"/>
        </w:rPr>
        <w:t xml:space="preserve"> Inflow consistently above ₹90,000–1,00,000 cr (nuclear, FGD, large thermal, exports) would extend revenue visibility and support higher multiples.</w:t>
      </w:r>
    </w:p>
    <w:p>
      <w:pPr>
        <w:pStyle w:val="ListBullet"/>
        <w:spacing w:after="80"/>
      </w:pPr>
      <w:r>
        <w:rPr>
          <w:rFonts w:ascii="Calibri" w:hAnsi="Calibri"/>
          <w:b/>
          <w:i w:val="0"/>
          <w:color w:val="1F3864"/>
          <w:sz w:val="21"/>
        </w:rPr>
        <w:t xml:space="preserve">Momentum/re-rating: </w:t>
      </w:r>
      <w:r>
        <w:rPr>
          <w:rFonts w:ascii="Calibri" w:hAnsi="Calibri"/>
          <w:b w:val="0"/>
          <w:i w:val="0"/>
          <w:sz w:val="21"/>
        </w:rPr>
        <w:t xml:space="preserve"> The market may continue to capitalise the thermal/nuclear theme at premium capital-goods multiples for longer than fundamentals justify.</w:t>
      </w:r>
    </w:p>
    <w:p>
      <w:pPr>
        <w:spacing w:after="60" w:before="120"/>
      </w:pPr>
      <w:r>
        <w:rPr>
          <w:rFonts w:ascii="Calibri" w:hAnsi="Calibri"/>
          <w:b/>
          <w:i w:val="0"/>
          <w:color w:val="595959"/>
          <w:sz w:val="22"/>
        </w:rPr>
        <w:t>Risks to the business and to a long position</w:t>
      </w:r>
    </w:p>
    <w:p>
      <w:pPr>
        <w:pStyle w:val="ListBullet"/>
        <w:spacing w:after="80"/>
      </w:pPr>
      <w:r>
        <w:rPr>
          <w:rFonts w:ascii="Calibri" w:hAnsi="Calibri"/>
          <w:b/>
          <w:i w:val="0"/>
          <w:color w:val="1F3864"/>
          <w:sz w:val="21"/>
        </w:rPr>
        <w:t xml:space="preserve">Execution slippage: </w:t>
      </w:r>
      <w:r>
        <w:rPr>
          <w:rFonts w:ascii="Calibri" w:hAnsi="Calibri"/>
          <w:b w:val="0"/>
          <w:i w:val="0"/>
          <w:sz w:val="21"/>
        </w:rPr>
        <w:t xml:space="preserve"> BHEL’s own record — and the sector’s (FY25/FY26 thermal additions far below target) — shows order books do not always convert on schedule.</w:t>
      </w:r>
    </w:p>
    <w:p>
      <w:pPr>
        <w:pStyle w:val="ListBullet"/>
        <w:spacing w:after="80"/>
      </w:pPr>
      <w:r>
        <w:rPr>
          <w:rFonts w:ascii="Calibri" w:hAnsi="Calibri"/>
          <w:b/>
          <w:i w:val="0"/>
          <w:color w:val="1F3864"/>
          <w:sz w:val="21"/>
        </w:rPr>
        <w:t xml:space="preserve">Commodity &amp; pricing: </w:t>
      </w:r>
      <w:r>
        <w:rPr>
          <w:rFonts w:ascii="Calibri" w:hAnsi="Calibri"/>
          <w:b w:val="0"/>
          <w:i w:val="0"/>
          <w:sz w:val="21"/>
        </w:rPr>
        <w:t xml:space="preserve"> Steel and copper inflation, or aggressive L1 bidding to win share, could stall the margin recovery.</w:t>
      </w:r>
    </w:p>
    <w:p>
      <w:pPr>
        <w:pStyle w:val="ListBullet"/>
        <w:spacing w:after="80"/>
      </w:pPr>
      <w:r>
        <w:rPr>
          <w:rFonts w:ascii="Calibri" w:hAnsi="Calibri"/>
          <w:b/>
          <w:i w:val="0"/>
          <w:color w:val="1F3864"/>
          <w:sz w:val="21"/>
        </w:rPr>
        <w:t xml:space="preserve">Policy &amp; energy transition: </w:t>
      </w:r>
      <w:r>
        <w:rPr>
          <w:rFonts w:ascii="Calibri" w:hAnsi="Calibri"/>
          <w:b w:val="0"/>
          <w:i w:val="0"/>
          <w:sz w:val="21"/>
        </w:rPr>
        <w:t xml:space="preserve"> Heavy reliance on government/PSU capex makes revenue sensitive to policy, budget cycles and a structural shift away from coal toward renewables + storage.</w:t>
      </w:r>
    </w:p>
    <w:p>
      <w:pPr>
        <w:pStyle w:val="ListBullet"/>
        <w:spacing w:after="80"/>
      </w:pPr>
      <w:r>
        <w:rPr>
          <w:rFonts w:ascii="Calibri" w:hAnsi="Calibri"/>
          <w:b/>
          <w:i w:val="0"/>
          <w:color w:val="1F3864"/>
          <w:sz w:val="21"/>
        </w:rPr>
        <w:t xml:space="preserve">Working-capital risk: </w:t>
      </w:r>
      <w:r>
        <w:rPr>
          <w:rFonts w:ascii="Calibri" w:hAnsi="Calibri"/>
          <w:b w:val="0"/>
          <w:i w:val="0"/>
          <w:sz w:val="21"/>
        </w:rPr>
        <w:t xml:space="preserve"> Large contract assets can build up on delayed projects, swinging operating cash flow and returns.</w:t>
      </w:r>
    </w:p>
    <w:p>
      <w:pPr>
        <w:pStyle w:val="ListBullet"/>
        <w:spacing w:after="80"/>
      </w:pPr>
      <w:r>
        <w:rPr>
          <w:rFonts w:ascii="Calibri" w:hAnsi="Calibri"/>
          <w:b/>
          <w:i w:val="0"/>
          <w:color w:val="1F3864"/>
          <w:sz w:val="21"/>
        </w:rPr>
        <w:t xml:space="preserve">Governance/PSU overhang: </w:t>
      </w:r>
      <w:r>
        <w:rPr>
          <w:rFonts w:ascii="Calibri" w:hAnsi="Calibri"/>
          <w:b w:val="0"/>
          <w:i w:val="0"/>
          <w:sz w:val="21"/>
        </w:rPr>
        <w:t xml:space="preserve"> As a ~63% government-owned PSU, BHEL carries public-sector cost structures, slower decision-making, and potential conflicts between commercial and policy objectives; equity supply via disinvestment is possible.</w:t>
      </w:r>
    </w:p>
    <w:p>
      <w:pPr>
        <w:pStyle w:val="ListBullet"/>
        <w:spacing w:after="80"/>
      </w:pPr>
      <w:r>
        <w:rPr>
          <w:rFonts w:ascii="Calibri" w:hAnsi="Calibri"/>
          <w:b/>
          <w:i w:val="0"/>
          <w:color w:val="1F3864"/>
          <w:sz w:val="21"/>
        </w:rPr>
        <w:t xml:space="preserve">Valuation risk: </w:t>
      </w:r>
      <w:r>
        <w:rPr>
          <w:rFonts w:ascii="Calibri" w:hAnsi="Calibri"/>
          <w:b w:val="0"/>
          <w:i w:val="0"/>
          <w:sz w:val="21"/>
        </w:rPr>
        <w:t xml:space="preserve"> At ~88x trailing and ~45x FY27E earnings, any execution disappointment can de-rate the stock sharply — the dominant near-term risk.</w:t>
      </w:r>
    </w:p>
    <w:p>
      <w:r>
        <w:br w:type="page"/>
      </w:r>
    </w:p>
    <w:p>
      <w:pPr>
        <w:spacing w:after="160" w:before="40"/>
        <w:pBdr>
          <w:bottom w:val="single" w:sz="12" w:space="4" w:color="1F3864"/>
        </w:pBdr>
      </w:pPr>
      <w:r>
        <w:rPr>
          <w:rFonts w:ascii="Calibri" w:hAnsi="Calibri"/>
          <w:b/>
          <w:i w:val="0"/>
          <w:color w:val="1F3864"/>
          <w:sz w:val="32"/>
        </w:rPr>
        <w:t>10.  Management, Strategy &amp; Capital Allocation</w:t>
      </w:r>
    </w:p>
    <w:p>
      <w:pPr>
        <w:spacing w:after="80" w:before="200"/>
      </w:pPr>
      <w:r>
        <w:rPr>
          <w:rFonts w:ascii="Calibri" w:hAnsi="Calibri"/>
          <w:b/>
          <w:i w:val="0"/>
          <w:color w:val="2E5BA8"/>
          <w:sz w:val="25"/>
        </w:rPr>
        <w:t>Strategic direction</w:t>
      </w:r>
    </w:p>
    <w:p>
      <w:pPr>
        <w:spacing w:after="120" w:before="0"/>
      </w:pPr>
      <w:r>
        <w:rPr>
          <w:rFonts w:ascii="Calibri" w:hAnsi="Calibri"/>
          <w:b w:val="0"/>
          <w:i w:val="0"/>
          <w:sz w:val="21"/>
        </w:rPr>
        <w:t>BHEL’s strategy has three planks. First, capitalise on the domestic thermal and FGD super-cycle as the preferred indigenous supplier, while improving on-time execution to convert the order book into revenue and cash. Second, diversify the revenue base away from coal — into nuclear, transmission, transportation, defence, solar EPC, green hydrogen and coal gasification — to extend the runway beyond the current cycle. Third, lift profitability structurally through better project selection (avoiding value-destructive L1 bids), localisation, and cost discipline on a historically heavy fixed-cost base.</w:t>
      </w:r>
    </w:p>
    <w:p>
      <w:pPr>
        <w:spacing w:after="120" w:before="0"/>
      </w:pPr>
      <w:r>
        <w:rPr>
          <w:rFonts w:ascii="Calibri" w:hAnsi="Calibri"/>
          <w:b w:val="0"/>
          <w:i w:val="0"/>
          <w:sz w:val="21"/>
        </w:rPr>
        <w:t>Execution against this strategy is visibly improving — 8.9 GW commissioned in FY2026, a doubling of Q4 profit, and a record book-to-bill — but the company must still demonstrate the gains are durable across a full cycle rather than a cyclical rebound off a depressed base.</w:t>
      </w:r>
    </w:p>
    <w:p>
      <w:pPr>
        <w:spacing w:after="80" w:before="200"/>
      </w:pPr>
      <w:r>
        <w:rPr>
          <w:rFonts w:ascii="Calibri" w:hAnsi="Calibri"/>
          <w:b/>
          <w:i w:val="0"/>
          <w:color w:val="2E5BA8"/>
          <w:sz w:val="25"/>
        </w:rPr>
        <w:t>Capital allocation</w:t>
      </w:r>
    </w:p>
    <w:p>
      <w:pPr>
        <w:spacing w:after="120" w:before="0"/>
      </w:pPr>
      <w:r>
        <w:rPr>
          <w:rFonts w:ascii="Calibri" w:hAnsi="Calibri"/>
          <w:b w:val="0"/>
          <w:i w:val="0"/>
          <w:sz w:val="21"/>
        </w:rPr>
        <w:t>Capital allocation is conservative and, for a growth-inflecting business, arguably under-geared. BHEL is net-cash, spends modestly on capex (the business is asset-light), and returns ~30% of profit as dividends in line with the DIPAM policy for CPSEs. Large cash and customer-advance balances mean growth is largely self-funding. The principal capital-allocation risk is not over-investment but value leakage through aggressive bidding and working-capital build-up on stalled projects.</w:t>
      </w:r>
    </w:p>
    <w:p>
      <w:pPr>
        <w:spacing w:after="80" w:before="200"/>
      </w:pPr>
      <w:r>
        <w:rPr>
          <w:rFonts w:ascii="Calibri" w:hAnsi="Calibri"/>
          <w:b/>
          <w:i w:val="0"/>
          <w:color w:val="2E5BA8"/>
          <w:sz w:val="25"/>
        </w:rPr>
        <w:t>Quality of earnings</w:t>
      </w:r>
    </w:p>
    <w:p>
      <w:pPr>
        <w:spacing w:after="80" w:before="0"/>
      </w:pPr>
      <w:r>
        <w:rPr>
          <w:rFonts w:ascii="Calibri" w:hAnsi="Calibri"/>
          <w:b w:val="0"/>
          <w:i w:val="0"/>
          <w:sz w:val="21"/>
        </w:rPr>
        <w:t>Investors should note that reported profits have, in some years, benefited from non-operating items — treasury/other income on the large cash pile and deferred-tax movements. We therefore focus on EBITDA, operating cash flow and order-book conversion as the cleaner signals of the underlying recovery, and we normalise for these in our forecast.</w:t>
      </w:r>
    </w:p>
    <w:p>
      <w:r>
        <w:br w:type="page"/>
      </w:r>
    </w:p>
    <w:p>
      <w:pPr>
        <w:spacing w:after="160" w:before="40"/>
        <w:pBdr>
          <w:bottom w:val="single" w:sz="12" w:space="4" w:color="1F3864"/>
        </w:pBdr>
      </w:pPr>
      <w:r>
        <w:rPr>
          <w:rFonts w:ascii="Calibri" w:hAnsi="Calibri"/>
          <w:b/>
          <w:i w:val="0"/>
          <w:color w:val="1F3864"/>
          <w:sz w:val="32"/>
        </w:rPr>
        <w:t>11.  ESG, Governance &amp; Ownership</w:t>
      </w:r>
    </w:p>
    <w:p>
      <w:pPr>
        <w:spacing w:after="80" w:before="200"/>
      </w:pPr>
      <w:r>
        <w:rPr>
          <w:rFonts w:ascii="Calibri" w:hAnsi="Calibri"/>
          <w:b/>
          <w:i w:val="0"/>
          <w:color w:val="2E5BA8"/>
          <w:sz w:val="25"/>
        </w:rPr>
        <w:t>Environmental</w:t>
      </w:r>
    </w:p>
    <w:p>
      <w:pPr>
        <w:spacing w:after="120" w:before="0"/>
      </w:pPr>
      <w:r>
        <w:rPr>
          <w:rFonts w:ascii="Calibri" w:hAnsi="Calibri"/>
          <w:b w:val="0"/>
          <w:i w:val="0"/>
          <w:sz w:val="21"/>
        </w:rPr>
        <w:t>BHEL’s environmental profile is paradoxical. Its core product — coal-fired power equipment — is carbon-intensive and faces long-run transition risk. Yet the same engineering base positions BHEL to supply the enabling technologies of the transition: flue-gas desulphurisation (FGD) and emission-control retrofits, supercritical/ultra-supercritical (higher-efficiency) sets, solar EPC, green hydrogen, coal gasification and nuclear equipment. The investment debate hinges on whether BHEL transitions its mix fast enough as thermal demand eventually plateaus.</w:t>
      </w:r>
    </w:p>
    <w:p>
      <w:pPr>
        <w:spacing w:after="80" w:before="200"/>
      </w:pPr>
      <w:r>
        <w:rPr>
          <w:rFonts w:ascii="Calibri" w:hAnsi="Calibri"/>
          <w:b/>
          <w:i w:val="0"/>
          <w:color w:val="2E5BA8"/>
          <w:sz w:val="25"/>
        </w:rPr>
        <w:t>Social</w:t>
      </w:r>
    </w:p>
    <w:p>
      <w:pPr>
        <w:spacing w:after="120" w:before="0"/>
      </w:pPr>
      <w:r>
        <w:rPr>
          <w:rFonts w:ascii="Calibri" w:hAnsi="Calibri"/>
          <w:b w:val="0"/>
          <w:i w:val="0"/>
          <w:sz w:val="21"/>
        </w:rPr>
        <w:t>As a large public-sector employer (~25,500 staff), BHEL carries significant social weight and a relatively high, partly fixed labour cost (~19% of sales). Workforce rationalisation has been gradual. Safety, skilling and indigenous technology development (R&amp;D ~4% of sales) are areas of strength.</w:t>
      </w:r>
    </w:p>
    <w:p>
      <w:pPr>
        <w:spacing w:after="80" w:before="200"/>
      </w:pPr>
      <w:r>
        <w:rPr>
          <w:rFonts w:ascii="Calibri" w:hAnsi="Calibri"/>
          <w:b/>
          <w:i w:val="0"/>
          <w:color w:val="2E5BA8"/>
          <w:sz w:val="25"/>
        </w:rPr>
        <w:t>Governance &amp; ownership</w:t>
      </w:r>
    </w:p>
    <w:p>
      <w:pPr>
        <w:spacing w:after="80" w:before="0"/>
      </w:pPr>
      <w:r>
        <w:rPr>
          <w:rFonts w:ascii="Calibri" w:hAnsi="Calibri"/>
          <w:b w:val="0"/>
          <w:i w:val="0"/>
          <w:sz w:val="21"/>
        </w:rPr>
        <w:t>The Government of India holds ~63%, making minority shareholders price-takers on strategic decisions and exposing the stock to disinvestment-related supply. Board composition follows CPSE norms, with independent directors and standard audit/oversight committees. Governance positives include audited, Ind-AS-compliant disclosure and a stated DIPAM dividend policy (~30% payout); negatives include the usual PSU constraints on capital allocation and commercial agility. Net-net, governance is adequate but not a re-rating catalyst.</w:t>
      </w:r>
    </w:p>
    <w:p>
      <w:r>
        <w:br w:type="page"/>
      </w:r>
    </w:p>
    <w:p>
      <w:pPr>
        <w:spacing w:after="160" w:before="40"/>
        <w:pBdr>
          <w:bottom w:val="single" w:sz="12" w:space="4" w:color="1F3864"/>
        </w:pBdr>
      </w:pPr>
      <w:r>
        <w:rPr>
          <w:rFonts w:ascii="Calibri" w:hAnsi="Calibri"/>
          <w:b/>
          <w:i w:val="0"/>
          <w:color w:val="1F3864"/>
          <w:sz w:val="32"/>
        </w:rPr>
        <w:t>12.  Catalysts &amp; Triggers (12 months)</w:t>
      </w:r>
    </w:p>
    <w:p>
      <w:pPr>
        <w:pStyle w:val="ListBullet"/>
        <w:spacing w:after="80"/>
      </w:pPr>
      <w:r>
        <w:rPr>
          <w:rFonts w:ascii="Calibri" w:hAnsi="Calibri"/>
          <w:b/>
          <w:i w:val="0"/>
          <w:color w:val="1F3864"/>
          <w:sz w:val="21"/>
        </w:rPr>
        <w:t xml:space="preserve">Quarterly execution: </w:t>
      </w:r>
      <w:r>
        <w:rPr>
          <w:rFonts w:ascii="Calibri" w:hAnsi="Calibri"/>
          <w:b w:val="0"/>
          <w:i w:val="0"/>
          <w:sz w:val="21"/>
        </w:rPr>
        <w:t xml:space="preserve"> Pace of order-book conversion and reported execution rate — the key swing variable for the stock.</w:t>
      </w:r>
    </w:p>
    <w:p>
      <w:pPr>
        <w:pStyle w:val="ListBullet"/>
        <w:spacing w:after="80"/>
      </w:pPr>
      <w:r>
        <w:rPr>
          <w:rFonts w:ascii="Calibri" w:hAnsi="Calibri"/>
          <w:b/>
          <w:i w:val="0"/>
          <w:color w:val="1F3864"/>
          <w:sz w:val="21"/>
        </w:rPr>
        <w:t xml:space="preserve">Order wins: </w:t>
      </w:r>
      <w:r>
        <w:rPr>
          <w:rFonts w:ascii="Calibri" w:hAnsi="Calibri"/>
          <w:b w:val="0"/>
          <w:i w:val="0"/>
          <w:sz w:val="21"/>
        </w:rPr>
        <w:t xml:space="preserve"> New thermal (NTPC/state), FGD, nuclear and export awards; confirmation of inflow trajectory above/below ₹90,000 cr.</w:t>
      </w:r>
    </w:p>
    <w:p>
      <w:pPr>
        <w:pStyle w:val="ListBullet"/>
        <w:spacing w:after="80"/>
      </w:pPr>
      <w:r>
        <w:rPr>
          <w:rFonts w:ascii="Calibri" w:hAnsi="Calibri"/>
          <w:b/>
          <w:i w:val="0"/>
          <w:color w:val="1F3864"/>
          <w:sz w:val="21"/>
        </w:rPr>
        <w:t xml:space="preserve">Margin trajectory: </w:t>
      </w:r>
      <w:r>
        <w:rPr>
          <w:rFonts w:ascii="Calibri" w:hAnsi="Calibri"/>
          <w:b w:val="0"/>
          <w:i w:val="0"/>
          <w:sz w:val="21"/>
        </w:rPr>
        <w:t xml:space="preserve"> Whether EBITDA margin sustains above ~8–9% and trends toward double digits.</w:t>
      </w:r>
    </w:p>
    <w:p>
      <w:pPr>
        <w:pStyle w:val="ListBullet"/>
        <w:spacing w:after="80"/>
      </w:pPr>
      <w:r>
        <w:rPr>
          <w:rFonts w:ascii="Calibri" w:hAnsi="Calibri"/>
          <w:b/>
          <w:i w:val="0"/>
          <w:color w:val="1F3864"/>
          <w:sz w:val="21"/>
        </w:rPr>
        <w:t xml:space="preserve">Cash conversion: </w:t>
      </w:r>
      <w:r>
        <w:rPr>
          <w:rFonts w:ascii="Calibri" w:hAnsi="Calibri"/>
          <w:b w:val="0"/>
          <w:i w:val="0"/>
          <w:sz w:val="21"/>
        </w:rPr>
        <w:t xml:space="preserve"> Sustained positive operating cash flow and net-cash build, validating working-capital discipline.</w:t>
      </w:r>
    </w:p>
    <w:p>
      <w:pPr>
        <w:pStyle w:val="ListBullet"/>
        <w:spacing w:after="80"/>
      </w:pPr>
      <w:r>
        <w:rPr>
          <w:rFonts w:ascii="Calibri" w:hAnsi="Calibri"/>
          <w:b/>
          <w:i w:val="0"/>
          <w:color w:val="1F3864"/>
          <w:sz w:val="21"/>
        </w:rPr>
        <w:t xml:space="preserve">Disinvestment news: </w:t>
      </w:r>
      <w:r>
        <w:rPr>
          <w:rFonts w:ascii="Calibri" w:hAnsi="Calibri"/>
          <w:b w:val="0"/>
          <w:i w:val="0"/>
          <w:sz w:val="21"/>
        </w:rPr>
        <w:t xml:space="preserve"> Any government stake sale / OFS would pressure the price near-term.</w:t>
      </w:r>
    </w:p>
    <w:p>
      <w:pPr>
        <w:pStyle w:val="ListBullet"/>
        <w:spacing w:after="80"/>
      </w:pPr>
      <w:r>
        <w:rPr>
          <w:rFonts w:ascii="Calibri" w:hAnsi="Calibri"/>
          <w:b/>
          <w:i w:val="0"/>
          <w:color w:val="1F3864"/>
          <w:sz w:val="21"/>
        </w:rPr>
        <w:t xml:space="preserve">Macro: </w:t>
      </w:r>
      <w:r>
        <w:rPr>
          <w:rFonts w:ascii="Calibri" w:hAnsi="Calibri"/>
          <w:b w:val="0"/>
          <w:i w:val="0"/>
          <w:sz w:val="21"/>
        </w:rPr>
        <w:t xml:space="preserve"> Steel/copper moves and interest-rate shifts affecting margins and discount rate.</w:t>
      </w:r>
    </w:p>
    <w:p>
      <w:r>
        <w:br w:type="page"/>
      </w:r>
    </w:p>
    <w:p>
      <w:pPr>
        <w:spacing w:after="160" w:before="40"/>
        <w:pBdr>
          <w:bottom w:val="single" w:sz="12" w:space="4" w:color="1F3864"/>
        </w:pBdr>
      </w:pPr>
      <w:r>
        <w:rPr>
          <w:rFonts w:ascii="Calibri" w:hAnsi="Calibri"/>
          <w:b/>
          <w:i w:val="0"/>
          <w:color w:val="1F3864"/>
          <w:sz w:val="32"/>
        </w:rPr>
        <w:t>Appendix A — Income Statement (₹ crore)</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152"/>
            <w:shd w:val="clear" w:fill="1F3864"/>
          </w:tcPr>
          <w:p>
            <w:pPr>
              <w:jc w:val="left"/>
            </w:pPr>
            <w:r>
              <w:rPr>
                <w:rFonts w:ascii="Calibri" w:hAnsi="Calibri"/>
                <w:b/>
                <w:i w:val="0"/>
                <w:color w:val="FFFFFF"/>
                <w:sz w:val="17"/>
              </w:rPr>
              <w:t>Year</w:t>
            </w:r>
          </w:p>
        </w:tc>
        <w:tc>
          <w:tcPr>
            <w:tcW w:type="dxa" w:w="1368"/>
            <w:shd w:val="clear" w:fill="1F3864"/>
          </w:tcPr>
          <w:p>
            <w:pPr>
              <w:jc w:val="center"/>
            </w:pPr>
            <w:r>
              <w:rPr>
                <w:rFonts w:ascii="Calibri" w:hAnsi="Calibri"/>
                <w:b/>
                <w:i w:val="0"/>
                <w:color w:val="FFFFFF"/>
                <w:sz w:val="17"/>
              </w:rPr>
              <w:t>Revenue</w:t>
            </w:r>
          </w:p>
        </w:tc>
        <w:tc>
          <w:tcPr>
            <w:tcW w:type="dxa" w:w="1224"/>
            <w:shd w:val="clear" w:fill="1F3864"/>
          </w:tcPr>
          <w:p>
            <w:pPr>
              <w:jc w:val="center"/>
            </w:pPr>
            <w:r>
              <w:rPr>
                <w:rFonts w:ascii="Calibri" w:hAnsi="Calibri"/>
                <w:b/>
                <w:i w:val="0"/>
                <w:color w:val="FFFFFF"/>
                <w:sz w:val="17"/>
              </w:rPr>
              <w:t>EBITDA</w:t>
            </w:r>
          </w:p>
        </w:tc>
        <w:tc>
          <w:tcPr>
            <w:tcW w:type="dxa" w:w="1008"/>
            <w:shd w:val="clear" w:fill="1F3864"/>
          </w:tcPr>
          <w:p>
            <w:pPr>
              <w:jc w:val="center"/>
            </w:pPr>
            <w:r>
              <w:rPr>
                <w:rFonts w:ascii="Calibri" w:hAnsi="Calibri"/>
                <w:b/>
                <w:i w:val="0"/>
                <w:color w:val="FFFFFF"/>
                <w:sz w:val="17"/>
              </w:rPr>
              <w:t>D&amp;A</w:t>
            </w:r>
          </w:p>
        </w:tc>
        <w:tc>
          <w:tcPr>
            <w:tcW w:type="dxa" w:w="1224"/>
            <w:shd w:val="clear" w:fill="1F3864"/>
          </w:tcPr>
          <w:p>
            <w:pPr>
              <w:jc w:val="center"/>
            </w:pPr>
            <w:r>
              <w:rPr>
                <w:rFonts w:ascii="Calibri" w:hAnsi="Calibri"/>
                <w:b/>
                <w:i w:val="0"/>
                <w:color w:val="FFFFFF"/>
                <w:sz w:val="17"/>
              </w:rPr>
              <w:t>EBIT</w:t>
            </w:r>
          </w:p>
        </w:tc>
        <w:tc>
          <w:tcPr>
            <w:tcW w:type="dxa" w:w="1296"/>
            <w:shd w:val="clear" w:fill="1F3864"/>
          </w:tcPr>
          <w:p>
            <w:pPr>
              <w:jc w:val="center"/>
            </w:pPr>
            <w:r>
              <w:rPr>
                <w:rFonts w:ascii="Calibri" w:hAnsi="Calibri"/>
                <w:b/>
                <w:i w:val="0"/>
                <w:color w:val="FFFFFF"/>
                <w:sz w:val="17"/>
              </w:rPr>
              <w:t>PBT</w:t>
            </w:r>
          </w:p>
        </w:tc>
        <w:tc>
          <w:tcPr>
            <w:tcW w:type="dxa" w:w="1224"/>
            <w:shd w:val="clear" w:fill="1F3864"/>
          </w:tcPr>
          <w:p>
            <w:pPr>
              <w:jc w:val="center"/>
            </w:pPr>
            <w:r>
              <w:rPr>
                <w:rFonts w:ascii="Calibri" w:hAnsi="Calibri"/>
                <w:b/>
                <w:i w:val="0"/>
                <w:color w:val="FFFFFF"/>
                <w:sz w:val="17"/>
              </w:rPr>
              <w:t>PAT</w:t>
            </w:r>
          </w:p>
        </w:tc>
        <w:tc>
          <w:tcPr>
            <w:tcW w:type="dxa" w:w="864"/>
            <w:shd w:val="clear" w:fill="1F3864"/>
          </w:tcPr>
          <w:p>
            <w:pPr>
              <w:jc w:val="center"/>
            </w:pPr>
            <w:r>
              <w:rPr>
                <w:rFonts w:ascii="Calibri" w:hAnsi="Calibri"/>
                <w:b/>
                <w:i w:val="0"/>
                <w:color w:val="FFFFFF"/>
                <w:sz w:val="17"/>
              </w:rPr>
              <w:t>EPS</w:t>
            </w:r>
          </w:p>
        </w:tc>
      </w:tr>
      <w:tr>
        <w:tc>
          <w:tcPr>
            <w:tcW w:type="dxa" w:w="1152"/>
            <w:shd w:val="clear" w:fill="F2F5FB"/>
          </w:tcPr>
          <w:p>
            <w:pPr>
              <w:jc w:val="left"/>
            </w:pPr>
            <w:r>
              <w:rPr>
                <w:rFonts w:ascii="Calibri" w:hAnsi="Calibri"/>
                <w:b w:val="0"/>
                <w:i w:val="0"/>
                <w:sz w:val="17"/>
              </w:rPr>
              <w:t>FY20</w:t>
            </w:r>
          </w:p>
        </w:tc>
        <w:tc>
          <w:tcPr>
            <w:tcW w:type="dxa" w:w="1368"/>
            <w:shd w:val="clear" w:fill="F2F5FB"/>
          </w:tcPr>
          <w:p>
            <w:pPr>
              <w:jc w:val="right"/>
            </w:pPr>
            <w:r>
              <w:rPr>
                <w:rFonts w:ascii="Calibri" w:hAnsi="Calibri"/>
                <w:b w:val="0"/>
                <w:i w:val="0"/>
                <w:sz w:val="17"/>
              </w:rPr>
              <w:t>21,463</w:t>
            </w:r>
          </w:p>
        </w:tc>
        <w:tc>
          <w:tcPr>
            <w:tcW w:type="dxa" w:w="1224"/>
            <w:shd w:val="clear" w:fill="F2F5FB"/>
          </w:tcPr>
          <w:p>
            <w:pPr>
              <w:jc w:val="right"/>
            </w:pPr>
            <w:r>
              <w:rPr>
                <w:rFonts w:ascii="Calibri" w:hAnsi="Calibri"/>
                <w:b w:val="0"/>
                <w:i w:val="0"/>
                <w:sz w:val="17"/>
              </w:rPr>
              <w:t>-133</w:t>
            </w:r>
          </w:p>
        </w:tc>
        <w:tc>
          <w:tcPr>
            <w:tcW w:type="dxa" w:w="1008"/>
            <w:shd w:val="clear" w:fill="F2F5FB"/>
          </w:tcPr>
          <w:p>
            <w:pPr>
              <w:jc w:val="right"/>
            </w:pPr>
            <w:r>
              <w:rPr>
                <w:rFonts w:ascii="Calibri" w:hAnsi="Calibri"/>
                <w:b w:val="0"/>
                <w:i w:val="0"/>
                <w:sz w:val="17"/>
              </w:rPr>
              <w:t>503</w:t>
            </w:r>
          </w:p>
        </w:tc>
        <w:tc>
          <w:tcPr>
            <w:tcW w:type="dxa" w:w="1224"/>
            <w:shd w:val="clear" w:fill="F2F5FB"/>
          </w:tcPr>
          <w:p>
            <w:pPr>
              <w:jc w:val="right"/>
            </w:pPr>
            <w:r>
              <w:rPr>
                <w:rFonts w:ascii="Calibri" w:hAnsi="Calibri"/>
                <w:b w:val="0"/>
                <w:i w:val="0"/>
                <w:sz w:val="17"/>
              </w:rPr>
              <w:t>-636</w:t>
            </w:r>
          </w:p>
        </w:tc>
        <w:tc>
          <w:tcPr>
            <w:tcW w:type="dxa" w:w="1296"/>
            <w:shd w:val="clear" w:fill="F2F5FB"/>
          </w:tcPr>
          <w:p>
            <w:pPr>
              <w:jc w:val="right"/>
            </w:pPr>
            <w:r>
              <w:rPr>
                <w:rFonts w:ascii="Calibri" w:hAnsi="Calibri"/>
                <w:b w:val="0"/>
                <w:i w:val="0"/>
                <w:sz w:val="17"/>
              </w:rPr>
              <w:t>-659</w:t>
            </w:r>
          </w:p>
        </w:tc>
        <w:tc>
          <w:tcPr>
            <w:tcW w:type="dxa" w:w="1224"/>
            <w:shd w:val="clear" w:fill="F2F5FB"/>
          </w:tcPr>
          <w:p>
            <w:pPr>
              <w:jc w:val="right"/>
            </w:pPr>
            <w:r>
              <w:rPr>
                <w:rFonts w:ascii="Calibri" w:hAnsi="Calibri"/>
                <w:b w:val="0"/>
                <w:i w:val="0"/>
                <w:sz w:val="17"/>
              </w:rPr>
              <w:t>-1,468</w:t>
            </w:r>
          </w:p>
        </w:tc>
        <w:tc>
          <w:tcPr>
            <w:tcW w:type="dxa" w:w="864"/>
            <w:shd w:val="clear" w:fill="F2F5FB"/>
          </w:tcPr>
          <w:p>
            <w:pPr>
              <w:jc w:val="right"/>
            </w:pPr>
            <w:r>
              <w:rPr>
                <w:rFonts w:ascii="Calibri" w:hAnsi="Calibri"/>
                <w:b w:val="0"/>
                <w:i w:val="0"/>
                <w:sz w:val="17"/>
              </w:rPr>
              <w:t>-4.2</w:t>
            </w:r>
          </w:p>
        </w:tc>
      </w:tr>
      <w:tr>
        <w:tc>
          <w:tcPr>
            <w:tcW w:type="dxa" w:w="1152"/>
          </w:tcPr>
          <w:p>
            <w:pPr>
              <w:jc w:val="left"/>
            </w:pPr>
            <w:r>
              <w:rPr>
                <w:rFonts w:ascii="Calibri" w:hAnsi="Calibri"/>
                <w:b w:val="0"/>
                <w:i w:val="0"/>
                <w:sz w:val="17"/>
              </w:rPr>
              <w:t>FY21</w:t>
            </w:r>
          </w:p>
        </w:tc>
        <w:tc>
          <w:tcPr>
            <w:tcW w:type="dxa" w:w="1368"/>
          </w:tcPr>
          <w:p>
            <w:pPr>
              <w:jc w:val="right"/>
            </w:pPr>
            <w:r>
              <w:rPr>
                <w:rFonts w:ascii="Calibri" w:hAnsi="Calibri"/>
                <w:b w:val="0"/>
                <w:i w:val="0"/>
                <w:sz w:val="17"/>
              </w:rPr>
              <w:t>17,309</w:t>
            </w:r>
          </w:p>
        </w:tc>
        <w:tc>
          <w:tcPr>
            <w:tcW w:type="dxa" w:w="1224"/>
          </w:tcPr>
          <w:p>
            <w:pPr>
              <w:jc w:val="right"/>
            </w:pPr>
            <w:r>
              <w:rPr>
                <w:rFonts w:ascii="Calibri" w:hAnsi="Calibri"/>
                <w:b w:val="0"/>
                <w:i w:val="0"/>
                <w:sz w:val="17"/>
              </w:rPr>
              <w:t>-3,048</w:t>
            </w:r>
          </w:p>
        </w:tc>
        <w:tc>
          <w:tcPr>
            <w:tcW w:type="dxa" w:w="1008"/>
          </w:tcPr>
          <w:p>
            <w:pPr>
              <w:jc w:val="right"/>
            </w:pPr>
            <w:r>
              <w:rPr>
                <w:rFonts w:ascii="Calibri" w:hAnsi="Calibri"/>
                <w:b w:val="0"/>
                <w:i w:val="0"/>
                <w:sz w:val="17"/>
              </w:rPr>
              <w:t>473</w:t>
            </w:r>
          </w:p>
        </w:tc>
        <w:tc>
          <w:tcPr>
            <w:tcW w:type="dxa" w:w="1224"/>
          </w:tcPr>
          <w:p>
            <w:pPr>
              <w:jc w:val="right"/>
            </w:pPr>
            <w:r>
              <w:rPr>
                <w:rFonts w:ascii="Calibri" w:hAnsi="Calibri"/>
                <w:b w:val="0"/>
                <w:i w:val="0"/>
                <w:sz w:val="17"/>
              </w:rPr>
              <w:t>-3,521</w:t>
            </w:r>
          </w:p>
        </w:tc>
        <w:tc>
          <w:tcPr>
            <w:tcW w:type="dxa" w:w="1296"/>
          </w:tcPr>
          <w:p>
            <w:pPr>
              <w:jc w:val="right"/>
            </w:pPr>
            <w:r>
              <w:rPr>
                <w:rFonts w:ascii="Calibri" w:hAnsi="Calibri"/>
                <w:b w:val="0"/>
                <w:i w:val="0"/>
                <w:sz w:val="17"/>
              </w:rPr>
              <w:t>-3,595</w:t>
            </w:r>
          </w:p>
        </w:tc>
        <w:tc>
          <w:tcPr>
            <w:tcW w:type="dxa" w:w="1224"/>
          </w:tcPr>
          <w:p>
            <w:pPr>
              <w:jc w:val="right"/>
            </w:pPr>
            <w:r>
              <w:rPr>
                <w:rFonts w:ascii="Calibri" w:hAnsi="Calibri"/>
                <w:b w:val="0"/>
                <w:i w:val="0"/>
                <w:sz w:val="17"/>
              </w:rPr>
              <w:t>-2,699</w:t>
            </w:r>
          </w:p>
        </w:tc>
        <w:tc>
          <w:tcPr>
            <w:tcW w:type="dxa" w:w="864"/>
          </w:tcPr>
          <w:p>
            <w:pPr>
              <w:jc w:val="right"/>
            </w:pPr>
            <w:r>
              <w:rPr>
                <w:rFonts w:ascii="Calibri" w:hAnsi="Calibri"/>
                <w:b w:val="0"/>
                <w:i w:val="0"/>
                <w:sz w:val="17"/>
              </w:rPr>
              <w:t>-7.8</w:t>
            </w:r>
          </w:p>
        </w:tc>
      </w:tr>
      <w:tr>
        <w:tc>
          <w:tcPr>
            <w:tcW w:type="dxa" w:w="1152"/>
            <w:shd w:val="clear" w:fill="F2F5FB"/>
          </w:tcPr>
          <w:p>
            <w:pPr>
              <w:jc w:val="left"/>
            </w:pPr>
            <w:r>
              <w:rPr>
                <w:rFonts w:ascii="Calibri" w:hAnsi="Calibri"/>
                <w:b w:val="0"/>
                <w:i w:val="0"/>
                <w:sz w:val="17"/>
              </w:rPr>
              <w:t>FY22</w:t>
            </w:r>
          </w:p>
        </w:tc>
        <w:tc>
          <w:tcPr>
            <w:tcW w:type="dxa" w:w="1368"/>
            <w:shd w:val="clear" w:fill="F2F5FB"/>
          </w:tcPr>
          <w:p>
            <w:pPr>
              <w:jc w:val="right"/>
            </w:pPr>
            <w:r>
              <w:rPr>
                <w:rFonts w:ascii="Calibri" w:hAnsi="Calibri"/>
                <w:b w:val="0"/>
                <w:i w:val="0"/>
                <w:sz w:val="17"/>
              </w:rPr>
              <w:t>21,211</w:t>
            </w:r>
          </w:p>
        </w:tc>
        <w:tc>
          <w:tcPr>
            <w:tcW w:type="dxa" w:w="1224"/>
            <w:shd w:val="clear" w:fill="F2F5FB"/>
          </w:tcPr>
          <w:p>
            <w:pPr>
              <w:jc w:val="right"/>
            </w:pPr>
            <w:r>
              <w:rPr>
                <w:rFonts w:ascii="Calibri" w:hAnsi="Calibri"/>
                <w:b w:val="0"/>
                <w:i w:val="0"/>
                <w:sz w:val="17"/>
              </w:rPr>
              <w:t>828</w:t>
            </w:r>
          </w:p>
        </w:tc>
        <w:tc>
          <w:tcPr>
            <w:tcW w:type="dxa" w:w="1008"/>
            <w:shd w:val="clear" w:fill="F2F5FB"/>
          </w:tcPr>
          <w:p>
            <w:pPr>
              <w:jc w:val="right"/>
            </w:pPr>
            <w:r>
              <w:rPr>
                <w:rFonts w:ascii="Calibri" w:hAnsi="Calibri"/>
                <w:b w:val="0"/>
                <w:i w:val="0"/>
                <w:sz w:val="17"/>
              </w:rPr>
              <w:t>314</w:t>
            </w:r>
          </w:p>
        </w:tc>
        <w:tc>
          <w:tcPr>
            <w:tcW w:type="dxa" w:w="1224"/>
            <w:shd w:val="clear" w:fill="F2F5FB"/>
          </w:tcPr>
          <w:p>
            <w:pPr>
              <w:jc w:val="right"/>
            </w:pPr>
            <w:r>
              <w:rPr>
                <w:rFonts w:ascii="Calibri" w:hAnsi="Calibri"/>
                <w:b w:val="0"/>
                <w:i w:val="0"/>
                <w:sz w:val="17"/>
              </w:rPr>
              <w:t>514</w:t>
            </w:r>
          </w:p>
        </w:tc>
        <w:tc>
          <w:tcPr>
            <w:tcW w:type="dxa" w:w="1296"/>
            <w:shd w:val="clear" w:fill="F2F5FB"/>
          </w:tcPr>
          <w:p>
            <w:pPr>
              <w:jc w:val="right"/>
            </w:pPr>
            <w:r>
              <w:rPr>
                <w:rFonts w:ascii="Calibri" w:hAnsi="Calibri"/>
                <w:b w:val="0"/>
                <w:i w:val="0"/>
                <w:sz w:val="17"/>
              </w:rPr>
              <w:t>471</w:t>
            </w:r>
          </w:p>
        </w:tc>
        <w:tc>
          <w:tcPr>
            <w:tcW w:type="dxa" w:w="1224"/>
            <w:shd w:val="clear" w:fill="F2F5FB"/>
          </w:tcPr>
          <w:p>
            <w:pPr>
              <w:jc w:val="right"/>
            </w:pPr>
            <w:r>
              <w:rPr>
                <w:rFonts w:ascii="Calibri" w:hAnsi="Calibri"/>
                <w:b w:val="0"/>
                <w:i w:val="0"/>
                <w:sz w:val="17"/>
              </w:rPr>
              <w:t>446</w:t>
            </w:r>
          </w:p>
        </w:tc>
        <w:tc>
          <w:tcPr>
            <w:tcW w:type="dxa" w:w="864"/>
            <w:shd w:val="clear" w:fill="F2F5FB"/>
          </w:tcPr>
          <w:p>
            <w:pPr>
              <w:jc w:val="right"/>
            </w:pPr>
            <w:r>
              <w:rPr>
                <w:rFonts w:ascii="Calibri" w:hAnsi="Calibri"/>
                <w:b w:val="0"/>
                <w:i w:val="0"/>
                <w:sz w:val="17"/>
              </w:rPr>
              <w:t>1.3</w:t>
            </w:r>
          </w:p>
        </w:tc>
      </w:tr>
      <w:tr>
        <w:tc>
          <w:tcPr>
            <w:tcW w:type="dxa" w:w="1152"/>
          </w:tcPr>
          <w:p>
            <w:pPr>
              <w:jc w:val="left"/>
            </w:pPr>
            <w:r>
              <w:rPr>
                <w:rFonts w:ascii="Calibri" w:hAnsi="Calibri"/>
                <w:b w:val="0"/>
                <w:i w:val="0"/>
                <w:sz w:val="17"/>
              </w:rPr>
              <w:t>FY23</w:t>
            </w:r>
          </w:p>
        </w:tc>
        <w:tc>
          <w:tcPr>
            <w:tcW w:type="dxa" w:w="1368"/>
          </w:tcPr>
          <w:p>
            <w:pPr>
              <w:jc w:val="right"/>
            </w:pPr>
            <w:r>
              <w:rPr>
                <w:rFonts w:ascii="Calibri" w:hAnsi="Calibri"/>
                <w:b w:val="0"/>
                <w:i w:val="0"/>
                <w:sz w:val="17"/>
              </w:rPr>
              <w:t>23,365</w:t>
            </w:r>
          </w:p>
        </w:tc>
        <w:tc>
          <w:tcPr>
            <w:tcW w:type="dxa" w:w="1224"/>
          </w:tcPr>
          <w:p>
            <w:pPr>
              <w:jc w:val="right"/>
            </w:pPr>
            <w:r>
              <w:rPr>
                <w:rFonts w:ascii="Calibri" w:hAnsi="Calibri"/>
                <w:b w:val="0"/>
                <w:i w:val="0"/>
                <w:sz w:val="17"/>
              </w:rPr>
              <w:t>1,044</w:t>
            </w:r>
          </w:p>
        </w:tc>
        <w:tc>
          <w:tcPr>
            <w:tcW w:type="dxa" w:w="1008"/>
          </w:tcPr>
          <w:p>
            <w:pPr>
              <w:jc w:val="right"/>
            </w:pPr>
            <w:r>
              <w:rPr>
                <w:rFonts w:ascii="Calibri" w:hAnsi="Calibri"/>
                <w:b w:val="0"/>
                <w:i w:val="0"/>
                <w:sz w:val="17"/>
              </w:rPr>
              <w:t>260</w:t>
            </w:r>
          </w:p>
        </w:tc>
        <w:tc>
          <w:tcPr>
            <w:tcW w:type="dxa" w:w="1224"/>
          </w:tcPr>
          <w:p>
            <w:pPr>
              <w:jc w:val="right"/>
            </w:pPr>
            <w:r>
              <w:rPr>
                <w:rFonts w:ascii="Calibri" w:hAnsi="Calibri"/>
                <w:b w:val="0"/>
                <w:i w:val="0"/>
                <w:sz w:val="17"/>
              </w:rPr>
              <w:t>784</w:t>
            </w:r>
          </w:p>
        </w:tc>
        <w:tc>
          <w:tcPr>
            <w:tcW w:type="dxa" w:w="1296"/>
          </w:tcPr>
          <w:p>
            <w:pPr>
              <w:jc w:val="right"/>
            </w:pPr>
            <w:r>
              <w:rPr>
                <w:rFonts w:ascii="Calibri" w:hAnsi="Calibri"/>
                <w:b w:val="0"/>
                <w:i w:val="0"/>
                <w:sz w:val="17"/>
              </w:rPr>
              <w:t>716</w:t>
            </w:r>
          </w:p>
        </w:tc>
        <w:tc>
          <w:tcPr>
            <w:tcW w:type="dxa" w:w="1224"/>
          </w:tcPr>
          <w:p>
            <w:pPr>
              <w:jc w:val="right"/>
            </w:pPr>
            <w:r>
              <w:rPr>
                <w:rFonts w:ascii="Calibri" w:hAnsi="Calibri"/>
                <w:b w:val="0"/>
                <w:i w:val="0"/>
                <w:sz w:val="17"/>
              </w:rPr>
              <w:t>654</w:t>
            </w:r>
          </w:p>
        </w:tc>
        <w:tc>
          <w:tcPr>
            <w:tcW w:type="dxa" w:w="864"/>
          </w:tcPr>
          <w:p>
            <w:pPr>
              <w:jc w:val="right"/>
            </w:pPr>
            <w:r>
              <w:rPr>
                <w:rFonts w:ascii="Calibri" w:hAnsi="Calibri"/>
                <w:b w:val="0"/>
                <w:i w:val="0"/>
                <w:sz w:val="17"/>
              </w:rPr>
              <w:t>1.9</w:t>
            </w:r>
          </w:p>
        </w:tc>
      </w:tr>
      <w:tr>
        <w:tc>
          <w:tcPr>
            <w:tcW w:type="dxa" w:w="1152"/>
            <w:shd w:val="clear" w:fill="F2F5FB"/>
          </w:tcPr>
          <w:p>
            <w:pPr>
              <w:jc w:val="left"/>
            </w:pPr>
            <w:r>
              <w:rPr>
                <w:rFonts w:ascii="Calibri" w:hAnsi="Calibri"/>
                <w:b w:val="0"/>
                <w:i w:val="0"/>
                <w:sz w:val="17"/>
              </w:rPr>
              <w:t>FY24</w:t>
            </w:r>
          </w:p>
        </w:tc>
        <w:tc>
          <w:tcPr>
            <w:tcW w:type="dxa" w:w="1368"/>
            <w:shd w:val="clear" w:fill="F2F5FB"/>
          </w:tcPr>
          <w:p>
            <w:pPr>
              <w:jc w:val="right"/>
            </w:pPr>
            <w:r>
              <w:rPr>
                <w:rFonts w:ascii="Calibri" w:hAnsi="Calibri"/>
                <w:b w:val="0"/>
                <w:i w:val="0"/>
                <w:sz w:val="17"/>
              </w:rPr>
              <w:t>23,893</w:t>
            </w:r>
          </w:p>
        </w:tc>
        <w:tc>
          <w:tcPr>
            <w:tcW w:type="dxa" w:w="1224"/>
            <w:shd w:val="clear" w:fill="F2F5FB"/>
          </w:tcPr>
          <w:p>
            <w:pPr>
              <w:jc w:val="right"/>
            </w:pPr>
            <w:r>
              <w:rPr>
                <w:rFonts w:ascii="Calibri" w:hAnsi="Calibri"/>
                <w:b w:val="0"/>
                <w:i w:val="0"/>
                <w:sz w:val="17"/>
              </w:rPr>
              <w:t>711</w:t>
            </w:r>
          </w:p>
        </w:tc>
        <w:tc>
          <w:tcPr>
            <w:tcW w:type="dxa" w:w="1008"/>
            <w:shd w:val="clear" w:fill="F2F5FB"/>
          </w:tcPr>
          <w:p>
            <w:pPr>
              <w:jc w:val="right"/>
            </w:pPr>
            <w:r>
              <w:rPr>
                <w:rFonts w:ascii="Calibri" w:hAnsi="Calibri"/>
                <w:b w:val="0"/>
                <w:i w:val="0"/>
                <w:sz w:val="17"/>
              </w:rPr>
              <w:t>249</w:t>
            </w:r>
          </w:p>
        </w:tc>
        <w:tc>
          <w:tcPr>
            <w:tcW w:type="dxa" w:w="1224"/>
            <w:shd w:val="clear" w:fill="F2F5FB"/>
          </w:tcPr>
          <w:p>
            <w:pPr>
              <w:jc w:val="right"/>
            </w:pPr>
            <w:r>
              <w:rPr>
                <w:rFonts w:ascii="Calibri" w:hAnsi="Calibri"/>
                <w:b w:val="0"/>
                <w:i w:val="0"/>
                <w:sz w:val="17"/>
              </w:rPr>
              <w:t>462</w:t>
            </w:r>
          </w:p>
        </w:tc>
        <w:tc>
          <w:tcPr>
            <w:tcW w:type="dxa" w:w="1296"/>
            <w:shd w:val="clear" w:fill="F2F5FB"/>
          </w:tcPr>
          <w:p>
            <w:pPr>
              <w:jc w:val="right"/>
            </w:pPr>
            <w:r>
              <w:rPr>
                <w:rFonts w:ascii="Calibri" w:hAnsi="Calibri"/>
                <w:b w:val="0"/>
                <w:i w:val="0"/>
                <w:sz w:val="17"/>
              </w:rPr>
              <w:t>242</w:t>
            </w:r>
          </w:p>
        </w:tc>
        <w:tc>
          <w:tcPr>
            <w:tcW w:type="dxa" w:w="1224"/>
            <w:shd w:val="clear" w:fill="F2F5FB"/>
          </w:tcPr>
          <w:p>
            <w:pPr>
              <w:jc w:val="right"/>
            </w:pPr>
            <w:r>
              <w:rPr>
                <w:rFonts w:ascii="Calibri" w:hAnsi="Calibri"/>
                <w:b w:val="0"/>
                <w:i w:val="0"/>
                <w:sz w:val="17"/>
              </w:rPr>
              <w:t>281</w:t>
            </w:r>
          </w:p>
        </w:tc>
        <w:tc>
          <w:tcPr>
            <w:tcW w:type="dxa" w:w="864"/>
            <w:shd w:val="clear" w:fill="F2F5FB"/>
          </w:tcPr>
          <w:p>
            <w:pPr>
              <w:jc w:val="right"/>
            </w:pPr>
            <w:r>
              <w:rPr>
                <w:rFonts w:ascii="Calibri" w:hAnsi="Calibri"/>
                <w:b w:val="0"/>
                <w:i w:val="0"/>
                <w:sz w:val="17"/>
              </w:rPr>
              <w:t>0.8</w:t>
            </w:r>
          </w:p>
        </w:tc>
      </w:tr>
      <w:tr>
        <w:tc>
          <w:tcPr>
            <w:tcW w:type="dxa" w:w="1152"/>
          </w:tcPr>
          <w:p>
            <w:pPr>
              <w:jc w:val="left"/>
            </w:pPr>
            <w:r>
              <w:rPr>
                <w:rFonts w:ascii="Calibri" w:hAnsi="Calibri"/>
                <w:b w:val="0"/>
                <w:i w:val="0"/>
                <w:sz w:val="17"/>
              </w:rPr>
              <w:t>FY25</w:t>
            </w:r>
          </w:p>
        </w:tc>
        <w:tc>
          <w:tcPr>
            <w:tcW w:type="dxa" w:w="1368"/>
          </w:tcPr>
          <w:p>
            <w:pPr>
              <w:jc w:val="right"/>
            </w:pPr>
            <w:r>
              <w:rPr>
                <w:rFonts w:ascii="Calibri" w:hAnsi="Calibri"/>
                <w:b w:val="0"/>
                <w:i w:val="0"/>
                <w:sz w:val="17"/>
              </w:rPr>
              <w:t>28,339</w:t>
            </w:r>
          </w:p>
        </w:tc>
        <w:tc>
          <w:tcPr>
            <w:tcW w:type="dxa" w:w="1224"/>
          </w:tcPr>
          <w:p>
            <w:pPr>
              <w:jc w:val="right"/>
            </w:pPr>
            <w:r>
              <w:rPr>
                <w:rFonts w:ascii="Calibri" w:hAnsi="Calibri"/>
                <w:b w:val="0"/>
                <w:i w:val="0"/>
                <w:sz w:val="17"/>
              </w:rPr>
              <w:t>1,399</w:t>
            </w:r>
          </w:p>
        </w:tc>
        <w:tc>
          <w:tcPr>
            <w:tcW w:type="dxa" w:w="1008"/>
          </w:tcPr>
          <w:p>
            <w:pPr>
              <w:jc w:val="right"/>
            </w:pPr>
            <w:r>
              <w:rPr>
                <w:rFonts w:ascii="Calibri" w:hAnsi="Calibri"/>
                <w:b w:val="0"/>
                <w:i w:val="0"/>
                <w:sz w:val="17"/>
              </w:rPr>
              <w:t>272</w:t>
            </w:r>
          </w:p>
        </w:tc>
        <w:tc>
          <w:tcPr>
            <w:tcW w:type="dxa" w:w="1224"/>
          </w:tcPr>
          <w:p>
            <w:pPr>
              <w:jc w:val="right"/>
            </w:pPr>
            <w:r>
              <w:rPr>
                <w:rFonts w:ascii="Calibri" w:hAnsi="Calibri"/>
                <w:b w:val="0"/>
                <w:i w:val="0"/>
                <w:sz w:val="17"/>
              </w:rPr>
              <w:t>1,127</w:t>
            </w:r>
          </w:p>
        </w:tc>
        <w:tc>
          <w:tcPr>
            <w:tcW w:type="dxa" w:w="1296"/>
          </w:tcPr>
          <w:p>
            <w:pPr>
              <w:jc w:val="right"/>
            </w:pPr>
            <w:r>
              <w:rPr>
                <w:rFonts w:ascii="Calibri" w:hAnsi="Calibri"/>
                <w:b w:val="0"/>
                <w:i w:val="0"/>
                <w:sz w:val="17"/>
              </w:rPr>
              <w:t>745</w:t>
            </w:r>
          </w:p>
        </w:tc>
        <w:tc>
          <w:tcPr>
            <w:tcW w:type="dxa" w:w="1224"/>
          </w:tcPr>
          <w:p>
            <w:pPr>
              <w:jc w:val="right"/>
            </w:pPr>
            <w:r>
              <w:rPr>
                <w:rFonts w:ascii="Calibri" w:hAnsi="Calibri"/>
                <w:b w:val="0"/>
                <w:i w:val="0"/>
                <w:sz w:val="17"/>
              </w:rPr>
              <w:t>533</w:t>
            </w:r>
          </w:p>
        </w:tc>
        <w:tc>
          <w:tcPr>
            <w:tcW w:type="dxa" w:w="864"/>
          </w:tcPr>
          <w:p>
            <w:pPr>
              <w:jc w:val="right"/>
            </w:pPr>
            <w:r>
              <w:rPr>
                <w:rFonts w:ascii="Calibri" w:hAnsi="Calibri"/>
                <w:b w:val="0"/>
                <w:i w:val="0"/>
                <w:sz w:val="17"/>
              </w:rPr>
              <w:t>1.5</w:t>
            </w:r>
          </w:p>
        </w:tc>
      </w:tr>
      <w:tr>
        <w:tc>
          <w:tcPr>
            <w:tcW w:type="dxa" w:w="1152"/>
            <w:shd w:val="clear" w:fill="F2F5FB"/>
          </w:tcPr>
          <w:p>
            <w:pPr>
              <w:jc w:val="left"/>
            </w:pPr>
            <w:r>
              <w:rPr>
                <w:rFonts w:ascii="Calibri" w:hAnsi="Calibri"/>
                <w:b w:val="0"/>
                <w:i w:val="0"/>
                <w:sz w:val="17"/>
              </w:rPr>
              <w:t>FY26</w:t>
            </w:r>
          </w:p>
        </w:tc>
        <w:tc>
          <w:tcPr>
            <w:tcW w:type="dxa" w:w="1368"/>
            <w:shd w:val="clear" w:fill="F2F5FB"/>
          </w:tcPr>
          <w:p>
            <w:pPr>
              <w:jc w:val="right"/>
            </w:pPr>
            <w:r>
              <w:rPr>
                <w:rFonts w:ascii="Calibri" w:hAnsi="Calibri"/>
                <w:b w:val="0"/>
                <w:i w:val="0"/>
                <w:sz w:val="17"/>
              </w:rPr>
              <w:t>33,782</w:t>
            </w:r>
          </w:p>
        </w:tc>
        <w:tc>
          <w:tcPr>
            <w:tcW w:type="dxa" w:w="1224"/>
            <w:shd w:val="clear" w:fill="F2F5FB"/>
          </w:tcPr>
          <w:p>
            <w:pPr>
              <w:jc w:val="right"/>
            </w:pPr>
            <w:r>
              <w:rPr>
                <w:rFonts w:ascii="Calibri" w:hAnsi="Calibri"/>
                <w:b w:val="0"/>
                <w:i w:val="0"/>
                <w:sz w:val="17"/>
              </w:rPr>
              <w:t>2,342</w:t>
            </w:r>
          </w:p>
        </w:tc>
        <w:tc>
          <w:tcPr>
            <w:tcW w:type="dxa" w:w="1008"/>
            <w:shd w:val="clear" w:fill="F2F5FB"/>
          </w:tcPr>
          <w:p>
            <w:pPr>
              <w:jc w:val="right"/>
            </w:pPr>
            <w:r>
              <w:rPr>
                <w:rFonts w:ascii="Calibri" w:hAnsi="Calibri"/>
                <w:b w:val="0"/>
                <w:i w:val="0"/>
                <w:sz w:val="17"/>
              </w:rPr>
              <w:t>316</w:t>
            </w:r>
          </w:p>
        </w:tc>
        <w:tc>
          <w:tcPr>
            <w:tcW w:type="dxa" w:w="1224"/>
            <w:shd w:val="clear" w:fill="F2F5FB"/>
          </w:tcPr>
          <w:p>
            <w:pPr>
              <w:jc w:val="right"/>
            </w:pPr>
            <w:r>
              <w:rPr>
                <w:rFonts w:ascii="Calibri" w:hAnsi="Calibri"/>
                <w:b w:val="0"/>
                <w:i w:val="0"/>
                <w:sz w:val="17"/>
              </w:rPr>
              <w:t>2,026</w:t>
            </w:r>
          </w:p>
        </w:tc>
        <w:tc>
          <w:tcPr>
            <w:tcW w:type="dxa" w:w="1296"/>
            <w:shd w:val="clear" w:fill="F2F5FB"/>
          </w:tcPr>
          <w:p>
            <w:pPr>
              <w:jc w:val="right"/>
            </w:pPr>
            <w:r>
              <w:rPr>
                <w:rFonts w:ascii="Calibri" w:hAnsi="Calibri"/>
                <w:b w:val="0"/>
                <w:i w:val="0"/>
                <w:sz w:val="17"/>
              </w:rPr>
              <w:t>2,139</w:t>
            </w:r>
          </w:p>
        </w:tc>
        <w:tc>
          <w:tcPr>
            <w:tcW w:type="dxa" w:w="1224"/>
            <w:shd w:val="clear" w:fill="F2F5FB"/>
          </w:tcPr>
          <w:p>
            <w:pPr>
              <w:jc w:val="right"/>
            </w:pPr>
            <w:r>
              <w:rPr>
                <w:rFonts w:ascii="Calibri" w:hAnsi="Calibri"/>
                <w:b w:val="0"/>
                <w:i w:val="0"/>
                <w:sz w:val="17"/>
              </w:rPr>
              <w:t>1,600</w:t>
            </w:r>
          </w:p>
        </w:tc>
        <w:tc>
          <w:tcPr>
            <w:tcW w:type="dxa" w:w="864"/>
            <w:shd w:val="clear" w:fill="F2F5FB"/>
          </w:tcPr>
          <w:p>
            <w:pPr>
              <w:jc w:val="right"/>
            </w:pPr>
            <w:r>
              <w:rPr>
                <w:rFonts w:ascii="Calibri" w:hAnsi="Calibri"/>
                <w:b w:val="0"/>
                <w:i w:val="0"/>
                <w:sz w:val="17"/>
              </w:rPr>
              <w:t>4.6</w:t>
            </w:r>
          </w:p>
        </w:tc>
      </w:tr>
      <w:tr>
        <w:tc>
          <w:tcPr>
            <w:tcW w:type="dxa" w:w="1152"/>
          </w:tcPr>
          <w:p>
            <w:pPr>
              <w:jc w:val="left"/>
            </w:pPr>
            <w:r>
              <w:rPr>
                <w:rFonts w:ascii="Calibri" w:hAnsi="Calibri"/>
                <w:b w:val="0"/>
                <w:i w:val="0"/>
                <w:sz w:val="17"/>
              </w:rPr>
              <w:t>FY27E</w:t>
            </w:r>
          </w:p>
        </w:tc>
        <w:tc>
          <w:tcPr>
            <w:tcW w:type="dxa" w:w="1368"/>
          </w:tcPr>
          <w:p>
            <w:pPr>
              <w:jc w:val="right"/>
            </w:pPr>
            <w:r>
              <w:rPr>
                <w:rFonts w:ascii="Calibri" w:hAnsi="Calibri"/>
                <w:b w:val="0"/>
                <w:i w:val="0"/>
                <w:sz w:val="17"/>
              </w:rPr>
              <w:t>40,392</w:t>
            </w:r>
          </w:p>
        </w:tc>
        <w:tc>
          <w:tcPr>
            <w:tcW w:type="dxa" w:w="1224"/>
          </w:tcPr>
          <w:p>
            <w:pPr>
              <w:jc w:val="right"/>
            </w:pPr>
            <w:r>
              <w:rPr>
                <w:rFonts w:ascii="Calibri" w:hAnsi="Calibri"/>
                <w:b w:val="0"/>
                <w:i w:val="0"/>
                <w:sz w:val="17"/>
              </w:rPr>
              <w:t>3,029</w:t>
            </w:r>
          </w:p>
        </w:tc>
        <w:tc>
          <w:tcPr>
            <w:tcW w:type="dxa" w:w="1008"/>
          </w:tcPr>
          <w:p>
            <w:pPr>
              <w:jc w:val="right"/>
            </w:pPr>
            <w:r>
              <w:rPr>
                <w:rFonts w:ascii="Calibri" w:hAnsi="Calibri"/>
                <w:b w:val="0"/>
                <w:i w:val="0"/>
                <w:sz w:val="17"/>
              </w:rPr>
              <w:t>294</w:t>
            </w:r>
          </w:p>
        </w:tc>
        <w:tc>
          <w:tcPr>
            <w:tcW w:type="dxa" w:w="1224"/>
          </w:tcPr>
          <w:p>
            <w:pPr>
              <w:jc w:val="right"/>
            </w:pPr>
            <w:r>
              <w:rPr>
                <w:rFonts w:ascii="Calibri" w:hAnsi="Calibri"/>
                <w:b w:val="0"/>
                <w:i w:val="0"/>
                <w:sz w:val="17"/>
              </w:rPr>
              <w:t>2,735</w:t>
            </w:r>
          </w:p>
        </w:tc>
        <w:tc>
          <w:tcPr>
            <w:tcW w:type="dxa" w:w="1296"/>
          </w:tcPr>
          <w:p>
            <w:pPr>
              <w:jc w:val="right"/>
            </w:pPr>
            <w:r>
              <w:rPr>
                <w:rFonts w:ascii="Calibri" w:hAnsi="Calibri"/>
                <w:b w:val="0"/>
                <w:i w:val="0"/>
                <w:sz w:val="17"/>
              </w:rPr>
              <w:t>2,767</w:t>
            </w:r>
          </w:p>
        </w:tc>
        <w:tc>
          <w:tcPr>
            <w:tcW w:type="dxa" w:w="1224"/>
          </w:tcPr>
          <w:p>
            <w:pPr>
              <w:jc w:val="right"/>
            </w:pPr>
            <w:r>
              <w:rPr>
                <w:rFonts w:ascii="Calibri" w:hAnsi="Calibri"/>
                <w:b w:val="0"/>
                <w:i w:val="0"/>
                <w:sz w:val="17"/>
              </w:rPr>
              <w:t>2,075</w:t>
            </w:r>
          </w:p>
        </w:tc>
        <w:tc>
          <w:tcPr>
            <w:tcW w:type="dxa" w:w="864"/>
          </w:tcPr>
          <w:p>
            <w:pPr>
              <w:jc w:val="right"/>
            </w:pPr>
            <w:r>
              <w:rPr>
                <w:rFonts w:ascii="Calibri" w:hAnsi="Calibri"/>
                <w:b w:val="0"/>
                <w:i w:val="0"/>
                <w:sz w:val="17"/>
              </w:rPr>
              <w:t>6.0</w:t>
            </w:r>
          </w:p>
        </w:tc>
      </w:tr>
      <w:tr>
        <w:tc>
          <w:tcPr>
            <w:tcW w:type="dxa" w:w="1152"/>
            <w:shd w:val="clear" w:fill="F2F5FB"/>
          </w:tcPr>
          <w:p>
            <w:pPr>
              <w:jc w:val="left"/>
            </w:pPr>
            <w:r>
              <w:rPr>
                <w:rFonts w:ascii="Calibri" w:hAnsi="Calibri"/>
                <w:b w:val="0"/>
                <w:i w:val="0"/>
                <w:sz w:val="17"/>
              </w:rPr>
              <w:t>FY28E</w:t>
            </w:r>
          </w:p>
        </w:tc>
        <w:tc>
          <w:tcPr>
            <w:tcW w:type="dxa" w:w="1368"/>
            <w:shd w:val="clear" w:fill="F2F5FB"/>
          </w:tcPr>
          <w:p>
            <w:pPr>
              <w:jc w:val="right"/>
            </w:pPr>
            <w:r>
              <w:rPr>
                <w:rFonts w:ascii="Calibri" w:hAnsi="Calibri"/>
                <w:b w:val="0"/>
                <w:i w:val="0"/>
                <w:sz w:val="17"/>
              </w:rPr>
              <w:t>48,275</w:t>
            </w:r>
          </w:p>
        </w:tc>
        <w:tc>
          <w:tcPr>
            <w:tcW w:type="dxa" w:w="1224"/>
            <w:shd w:val="clear" w:fill="F2F5FB"/>
          </w:tcPr>
          <w:p>
            <w:pPr>
              <w:jc w:val="right"/>
            </w:pPr>
            <w:r>
              <w:rPr>
                <w:rFonts w:ascii="Calibri" w:hAnsi="Calibri"/>
                <w:b w:val="0"/>
                <w:i w:val="0"/>
                <w:sz w:val="17"/>
              </w:rPr>
              <w:t>4,103</w:t>
            </w:r>
          </w:p>
        </w:tc>
        <w:tc>
          <w:tcPr>
            <w:tcW w:type="dxa" w:w="1008"/>
            <w:shd w:val="clear" w:fill="F2F5FB"/>
          </w:tcPr>
          <w:p>
            <w:pPr>
              <w:jc w:val="right"/>
            </w:pPr>
            <w:r>
              <w:rPr>
                <w:rFonts w:ascii="Calibri" w:hAnsi="Calibri"/>
                <w:b w:val="0"/>
                <w:i w:val="0"/>
                <w:sz w:val="17"/>
              </w:rPr>
              <w:t>323</w:t>
            </w:r>
          </w:p>
        </w:tc>
        <w:tc>
          <w:tcPr>
            <w:tcW w:type="dxa" w:w="1224"/>
            <w:shd w:val="clear" w:fill="F2F5FB"/>
          </w:tcPr>
          <w:p>
            <w:pPr>
              <w:jc w:val="right"/>
            </w:pPr>
            <w:r>
              <w:rPr>
                <w:rFonts w:ascii="Calibri" w:hAnsi="Calibri"/>
                <w:b w:val="0"/>
                <w:i w:val="0"/>
                <w:sz w:val="17"/>
              </w:rPr>
              <w:t>3,780</w:t>
            </w:r>
          </w:p>
        </w:tc>
        <w:tc>
          <w:tcPr>
            <w:tcW w:type="dxa" w:w="1296"/>
            <w:shd w:val="clear" w:fill="F2F5FB"/>
          </w:tcPr>
          <w:p>
            <w:pPr>
              <w:jc w:val="right"/>
            </w:pPr>
            <w:r>
              <w:rPr>
                <w:rFonts w:ascii="Calibri" w:hAnsi="Calibri"/>
                <w:b w:val="0"/>
                <w:i w:val="0"/>
                <w:sz w:val="17"/>
              </w:rPr>
              <w:t>4,038</w:t>
            </w:r>
          </w:p>
        </w:tc>
        <w:tc>
          <w:tcPr>
            <w:tcW w:type="dxa" w:w="1224"/>
            <w:shd w:val="clear" w:fill="F2F5FB"/>
          </w:tcPr>
          <w:p>
            <w:pPr>
              <w:jc w:val="right"/>
            </w:pPr>
            <w:r>
              <w:rPr>
                <w:rFonts w:ascii="Calibri" w:hAnsi="Calibri"/>
                <w:b w:val="0"/>
                <w:i w:val="0"/>
                <w:sz w:val="17"/>
              </w:rPr>
              <w:t>3,029</w:t>
            </w:r>
          </w:p>
        </w:tc>
        <w:tc>
          <w:tcPr>
            <w:tcW w:type="dxa" w:w="864"/>
            <w:shd w:val="clear" w:fill="F2F5FB"/>
          </w:tcPr>
          <w:p>
            <w:pPr>
              <w:jc w:val="right"/>
            </w:pPr>
            <w:r>
              <w:rPr>
                <w:rFonts w:ascii="Calibri" w:hAnsi="Calibri"/>
                <w:b w:val="0"/>
                <w:i w:val="0"/>
                <w:sz w:val="17"/>
              </w:rPr>
              <w:t>8.7</w:t>
            </w:r>
          </w:p>
        </w:tc>
      </w:tr>
      <w:tr>
        <w:tc>
          <w:tcPr>
            <w:tcW w:type="dxa" w:w="1152"/>
          </w:tcPr>
          <w:p>
            <w:pPr>
              <w:jc w:val="left"/>
            </w:pPr>
            <w:r>
              <w:rPr>
                <w:rFonts w:ascii="Calibri" w:hAnsi="Calibri"/>
                <w:b w:val="0"/>
                <w:i w:val="0"/>
                <w:sz w:val="17"/>
              </w:rPr>
              <w:t>FY29E</w:t>
            </w:r>
          </w:p>
        </w:tc>
        <w:tc>
          <w:tcPr>
            <w:tcW w:type="dxa" w:w="1368"/>
          </w:tcPr>
          <w:p>
            <w:pPr>
              <w:jc w:val="right"/>
            </w:pPr>
            <w:r>
              <w:rPr>
                <w:rFonts w:ascii="Calibri" w:hAnsi="Calibri"/>
                <w:b w:val="0"/>
                <w:i w:val="0"/>
                <w:sz w:val="17"/>
              </w:rPr>
              <w:t>55,883</w:t>
            </w:r>
          </w:p>
        </w:tc>
        <w:tc>
          <w:tcPr>
            <w:tcW w:type="dxa" w:w="1224"/>
          </w:tcPr>
          <w:p>
            <w:pPr>
              <w:jc w:val="right"/>
            </w:pPr>
            <w:r>
              <w:rPr>
                <w:rFonts w:ascii="Calibri" w:hAnsi="Calibri"/>
                <w:b w:val="0"/>
                <w:i w:val="0"/>
                <w:sz w:val="17"/>
              </w:rPr>
              <w:t>5,309</w:t>
            </w:r>
          </w:p>
        </w:tc>
        <w:tc>
          <w:tcPr>
            <w:tcW w:type="dxa" w:w="1008"/>
          </w:tcPr>
          <w:p>
            <w:pPr>
              <w:jc w:val="right"/>
            </w:pPr>
            <w:r>
              <w:rPr>
                <w:rFonts w:ascii="Calibri" w:hAnsi="Calibri"/>
                <w:b w:val="0"/>
                <w:i w:val="0"/>
                <w:sz w:val="17"/>
              </w:rPr>
              <w:t>359</w:t>
            </w:r>
          </w:p>
        </w:tc>
        <w:tc>
          <w:tcPr>
            <w:tcW w:type="dxa" w:w="1224"/>
          </w:tcPr>
          <w:p>
            <w:pPr>
              <w:jc w:val="right"/>
            </w:pPr>
            <w:r>
              <w:rPr>
                <w:rFonts w:ascii="Calibri" w:hAnsi="Calibri"/>
                <w:b w:val="0"/>
                <w:i w:val="0"/>
                <w:sz w:val="17"/>
              </w:rPr>
              <w:t>4,950</w:t>
            </w:r>
          </w:p>
        </w:tc>
        <w:tc>
          <w:tcPr>
            <w:tcW w:type="dxa" w:w="1296"/>
          </w:tcPr>
          <w:p>
            <w:pPr>
              <w:jc w:val="right"/>
            </w:pPr>
            <w:r>
              <w:rPr>
                <w:rFonts w:ascii="Calibri" w:hAnsi="Calibri"/>
                <w:b w:val="0"/>
                <w:i w:val="0"/>
                <w:sz w:val="17"/>
              </w:rPr>
              <w:t>5,430</w:t>
            </w:r>
          </w:p>
        </w:tc>
        <w:tc>
          <w:tcPr>
            <w:tcW w:type="dxa" w:w="1224"/>
          </w:tcPr>
          <w:p>
            <w:pPr>
              <w:jc w:val="right"/>
            </w:pPr>
            <w:r>
              <w:rPr>
                <w:rFonts w:ascii="Calibri" w:hAnsi="Calibri"/>
                <w:b w:val="0"/>
                <w:i w:val="0"/>
                <w:sz w:val="17"/>
              </w:rPr>
              <w:t>4,073</w:t>
            </w:r>
          </w:p>
        </w:tc>
        <w:tc>
          <w:tcPr>
            <w:tcW w:type="dxa" w:w="864"/>
          </w:tcPr>
          <w:p>
            <w:pPr>
              <w:jc w:val="right"/>
            </w:pPr>
            <w:r>
              <w:rPr>
                <w:rFonts w:ascii="Calibri" w:hAnsi="Calibri"/>
                <w:b w:val="0"/>
                <w:i w:val="0"/>
                <w:sz w:val="17"/>
              </w:rPr>
              <w:t>11.7</w:t>
            </w:r>
          </w:p>
        </w:tc>
      </w:tr>
      <w:tr>
        <w:tc>
          <w:tcPr>
            <w:tcW w:type="dxa" w:w="1152"/>
            <w:shd w:val="clear" w:fill="F2F5FB"/>
          </w:tcPr>
          <w:p>
            <w:pPr>
              <w:jc w:val="left"/>
            </w:pPr>
            <w:r>
              <w:rPr>
                <w:rFonts w:ascii="Calibri" w:hAnsi="Calibri"/>
                <w:b w:val="0"/>
                <w:i w:val="0"/>
                <w:sz w:val="17"/>
              </w:rPr>
              <w:t>FY30E</w:t>
            </w:r>
          </w:p>
        </w:tc>
        <w:tc>
          <w:tcPr>
            <w:tcW w:type="dxa" w:w="1368"/>
            <w:shd w:val="clear" w:fill="F2F5FB"/>
          </w:tcPr>
          <w:p>
            <w:pPr>
              <w:jc w:val="right"/>
            </w:pPr>
            <w:r>
              <w:rPr>
                <w:rFonts w:ascii="Calibri" w:hAnsi="Calibri"/>
                <w:b w:val="0"/>
                <w:i w:val="0"/>
                <w:sz w:val="17"/>
              </w:rPr>
              <w:t>63,211</w:t>
            </w:r>
          </w:p>
        </w:tc>
        <w:tc>
          <w:tcPr>
            <w:tcW w:type="dxa" w:w="1224"/>
            <w:shd w:val="clear" w:fill="F2F5FB"/>
          </w:tcPr>
          <w:p>
            <w:pPr>
              <w:jc w:val="right"/>
            </w:pPr>
            <w:r>
              <w:rPr>
                <w:rFonts w:ascii="Calibri" w:hAnsi="Calibri"/>
                <w:b w:val="0"/>
                <w:i w:val="0"/>
                <w:sz w:val="17"/>
              </w:rPr>
              <w:t>6,637</w:t>
            </w:r>
          </w:p>
        </w:tc>
        <w:tc>
          <w:tcPr>
            <w:tcW w:type="dxa" w:w="1008"/>
            <w:shd w:val="clear" w:fill="F2F5FB"/>
          </w:tcPr>
          <w:p>
            <w:pPr>
              <w:jc w:val="right"/>
            </w:pPr>
            <w:r>
              <w:rPr>
                <w:rFonts w:ascii="Calibri" w:hAnsi="Calibri"/>
                <w:b w:val="0"/>
                <w:i w:val="0"/>
                <w:sz w:val="17"/>
              </w:rPr>
              <w:t>396</w:t>
            </w:r>
          </w:p>
        </w:tc>
        <w:tc>
          <w:tcPr>
            <w:tcW w:type="dxa" w:w="1224"/>
            <w:shd w:val="clear" w:fill="F2F5FB"/>
          </w:tcPr>
          <w:p>
            <w:pPr>
              <w:jc w:val="right"/>
            </w:pPr>
            <w:r>
              <w:rPr>
                <w:rFonts w:ascii="Calibri" w:hAnsi="Calibri"/>
                <w:b w:val="0"/>
                <w:i w:val="0"/>
                <w:sz w:val="17"/>
              </w:rPr>
              <w:t>6,241</w:t>
            </w:r>
          </w:p>
        </w:tc>
        <w:tc>
          <w:tcPr>
            <w:tcW w:type="dxa" w:w="1296"/>
            <w:shd w:val="clear" w:fill="F2F5FB"/>
          </w:tcPr>
          <w:p>
            <w:pPr>
              <w:jc w:val="right"/>
            </w:pPr>
            <w:r>
              <w:rPr>
                <w:rFonts w:ascii="Calibri" w:hAnsi="Calibri"/>
                <w:b w:val="0"/>
                <w:i w:val="0"/>
                <w:sz w:val="17"/>
              </w:rPr>
              <w:t>6,938</w:t>
            </w:r>
          </w:p>
        </w:tc>
        <w:tc>
          <w:tcPr>
            <w:tcW w:type="dxa" w:w="1224"/>
            <w:shd w:val="clear" w:fill="F2F5FB"/>
          </w:tcPr>
          <w:p>
            <w:pPr>
              <w:jc w:val="right"/>
            </w:pPr>
            <w:r>
              <w:rPr>
                <w:rFonts w:ascii="Calibri" w:hAnsi="Calibri"/>
                <w:b w:val="0"/>
                <w:i w:val="0"/>
                <w:sz w:val="17"/>
              </w:rPr>
              <w:t>5,204</w:t>
            </w:r>
          </w:p>
        </w:tc>
        <w:tc>
          <w:tcPr>
            <w:tcW w:type="dxa" w:w="864"/>
            <w:shd w:val="clear" w:fill="F2F5FB"/>
          </w:tcPr>
          <w:p>
            <w:pPr>
              <w:jc w:val="right"/>
            </w:pPr>
            <w:r>
              <w:rPr>
                <w:rFonts w:ascii="Calibri" w:hAnsi="Calibri"/>
                <w:b w:val="0"/>
                <w:i w:val="0"/>
                <w:sz w:val="17"/>
              </w:rPr>
              <w:t>15.0</w:t>
            </w:r>
          </w:p>
        </w:tc>
      </w:tr>
      <w:tr>
        <w:tc>
          <w:tcPr>
            <w:tcW w:type="dxa" w:w="1152"/>
          </w:tcPr>
          <w:p>
            <w:pPr>
              <w:jc w:val="left"/>
            </w:pPr>
            <w:r>
              <w:rPr>
                <w:rFonts w:ascii="Calibri" w:hAnsi="Calibri"/>
                <w:b w:val="0"/>
                <w:i w:val="0"/>
                <w:sz w:val="17"/>
              </w:rPr>
              <w:t>FY31E</w:t>
            </w:r>
          </w:p>
        </w:tc>
        <w:tc>
          <w:tcPr>
            <w:tcW w:type="dxa" w:w="1368"/>
          </w:tcPr>
          <w:p>
            <w:pPr>
              <w:jc w:val="right"/>
            </w:pPr>
            <w:r>
              <w:rPr>
                <w:rFonts w:ascii="Calibri" w:hAnsi="Calibri"/>
                <w:b w:val="0"/>
                <w:i w:val="0"/>
                <w:sz w:val="17"/>
              </w:rPr>
              <w:t>70,256</w:t>
            </w:r>
          </w:p>
        </w:tc>
        <w:tc>
          <w:tcPr>
            <w:tcW w:type="dxa" w:w="1224"/>
          </w:tcPr>
          <w:p>
            <w:pPr>
              <w:jc w:val="right"/>
            </w:pPr>
            <w:r>
              <w:rPr>
                <w:rFonts w:ascii="Calibri" w:hAnsi="Calibri"/>
                <w:b w:val="0"/>
                <w:i w:val="0"/>
                <w:sz w:val="17"/>
              </w:rPr>
              <w:t>7,728</w:t>
            </w:r>
          </w:p>
        </w:tc>
        <w:tc>
          <w:tcPr>
            <w:tcW w:type="dxa" w:w="1008"/>
          </w:tcPr>
          <w:p>
            <w:pPr>
              <w:jc w:val="right"/>
            </w:pPr>
            <w:r>
              <w:rPr>
                <w:rFonts w:ascii="Calibri" w:hAnsi="Calibri"/>
                <w:b w:val="0"/>
                <w:i w:val="0"/>
                <w:sz w:val="17"/>
              </w:rPr>
              <w:t>434</w:t>
            </w:r>
          </w:p>
        </w:tc>
        <w:tc>
          <w:tcPr>
            <w:tcW w:type="dxa" w:w="1224"/>
          </w:tcPr>
          <w:p>
            <w:pPr>
              <w:jc w:val="right"/>
            </w:pPr>
            <w:r>
              <w:rPr>
                <w:rFonts w:ascii="Calibri" w:hAnsi="Calibri"/>
                <w:b w:val="0"/>
                <w:i w:val="0"/>
                <w:sz w:val="17"/>
              </w:rPr>
              <w:t>7,294</w:t>
            </w:r>
          </w:p>
        </w:tc>
        <w:tc>
          <w:tcPr>
            <w:tcW w:type="dxa" w:w="1296"/>
          </w:tcPr>
          <w:p>
            <w:pPr>
              <w:jc w:val="right"/>
            </w:pPr>
            <w:r>
              <w:rPr>
                <w:rFonts w:ascii="Calibri" w:hAnsi="Calibri"/>
                <w:b w:val="0"/>
                <w:i w:val="0"/>
                <w:sz w:val="17"/>
              </w:rPr>
              <w:t>8,202</w:t>
            </w:r>
          </w:p>
        </w:tc>
        <w:tc>
          <w:tcPr>
            <w:tcW w:type="dxa" w:w="1224"/>
          </w:tcPr>
          <w:p>
            <w:pPr>
              <w:jc w:val="right"/>
            </w:pPr>
            <w:r>
              <w:rPr>
                <w:rFonts w:ascii="Calibri" w:hAnsi="Calibri"/>
                <w:b w:val="0"/>
                <w:i w:val="0"/>
                <w:sz w:val="17"/>
              </w:rPr>
              <w:t>6,152</w:t>
            </w:r>
          </w:p>
        </w:tc>
        <w:tc>
          <w:tcPr>
            <w:tcW w:type="dxa" w:w="864"/>
          </w:tcPr>
          <w:p>
            <w:pPr>
              <w:jc w:val="right"/>
            </w:pPr>
            <w:r>
              <w:rPr>
                <w:rFonts w:ascii="Calibri" w:hAnsi="Calibri"/>
                <w:b w:val="0"/>
                <w:i w:val="0"/>
                <w:sz w:val="17"/>
              </w:rPr>
              <w:t>17.7</w:t>
            </w:r>
          </w:p>
        </w:tc>
      </w:tr>
      <w:tr>
        <w:tc>
          <w:tcPr>
            <w:tcW w:type="dxa" w:w="1152"/>
            <w:shd w:val="clear" w:fill="F2F5FB"/>
          </w:tcPr>
          <w:p>
            <w:pPr>
              <w:jc w:val="left"/>
            </w:pPr>
            <w:r>
              <w:rPr>
                <w:rFonts w:ascii="Calibri" w:hAnsi="Calibri"/>
                <w:b w:val="0"/>
                <w:i w:val="0"/>
                <w:sz w:val="17"/>
              </w:rPr>
              <w:t>FY32E</w:t>
            </w:r>
          </w:p>
        </w:tc>
        <w:tc>
          <w:tcPr>
            <w:tcW w:type="dxa" w:w="1368"/>
            <w:shd w:val="clear" w:fill="F2F5FB"/>
          </w:tcPr>
          <w:p>
            <w:pPr>
              <w:jc w:val="right"/>
            </w:pPr>
            <w:r>
              <w:rPr>
                <w:rFonts w:ascii="Calibri" w:hAnsi="Calibri"/>
                <w:b w:val="0"/>
                <w:i w:val="0"/>
                <w:sz w:val="17"/>
              </w:rPr>
              <w:t>76,635</w:t>
            </w:r>
          </w:p>
        </w:tc>
        <w:tc>
          <w:tcPr>
            <w:tcW w:type="dxa" w:w="1224"/>
            <w:shd w:val="clear" w:fill="F2F5FB"/>
          </w:tcPr>
          <w:p>
            <w:pPr>
              <w:jc w:val="right"/>
            </w:pPr>
            <w:r>
              <w:rPr>
                <w:rFonts w:ascii="Calibri" w:hAnsi="Calibri"/>
                <w:b w:val="0"/>
                <w:i w:val="0"/>
                <w:sz w:val="17"/>
              </w:rPr>
              <w:t>8,813</w:t>
            </w:r>
          </w:p>
        </w:tc>
        <w:tc>
          <w:tcPr>
            <w:tcW w:type="dxa" w:w="1008"/>
            <w:shd w:val="clear" w:fill="F2F5FB"/>
          </w:tcPr>
          <w:p>
            <w:pPr>
              <w:jc w:val="right"/>
            </w:pPr>
            <w:r>
              <w:rPr>
                <w:rFonts w:ascii="Calibri" w:hAnsi="Calibri"/>
                <w:b w:val="0"/>
                <w:i w:val="0"/>
                <w:sz w:val="17"/>
              </w:rPr>
              <w:t>474</w:t>
            </w:r>
          </w:p>
        </w:tc>
        <w:tc>
          <w:tcPr>
            <w:tcW w:type="dxa" w:w="1224"/>
            <w:shd w:val="clear" w:fill="F2F5FB"/>
          </w:tcPr>
          <w:p>
            <w:pPr>
              <w:jc w:val="right"/>
            </w:pPr>
            <w:r>
              <w:rPr>
                <w:rFonts w:ascii="Calibri" w:hAnsi="Calibri"/>
                <w:b w:val="0"/>
                <w:i w:val="0"/>
                <w:sz w:val="17"/>
              </w:rPr>
              <w:t>8,339</w:t>
            </w:r>
          </w:p>
        </w:tc>
        <w:tc>
          <w:tcPr>
            <w:tcW w:type="dxa" w:w="1296"/>
            <w:shd w:val="clear" w:fill="F2F5FB"/>
          </w:tcPr>
          <w:p>
            <w:pPr>
              <w:jc w:val="right"/>
            </w:pPr>
            <w:r>
              <w:rPr>
                <w:rFonts w:ascii="Calibri" w:hAnsi="Calibri"/>
                <w:b w:val="0"/>
                <w:i w:val="0"/>
                <w:sz w:val="17"/>
              </w:rPr>
              <w:t>9,448</w:t>
            </w:r>
          </w:p>
        </w:tc>
        <w:tc>
          <w:tcPr>
            <w:tcW w:type="dxa" w:w="1224"/>
            <w:shd w:val="clear" w:fill="F2F5FB"/>
          </w:tcPr>
          <w:p>
            <w:pPr>
              <w:jc w:val="right"/>
            </w:pPr>
            <w:r>
              <w:rPr>
                <w:rFonts w:ascii="Calibri" w:hAnsi="Calibri"/>
                <w:b w:val="0"/>
                <w:i w:val="0"/>
                <w:sz w:val="17"/>
              </w:rPr>
              <w:t>7,086</w:t>
            </w:r>
          </w:p>
        </w:tc>
        <w:tc>
          <w:tcPr>
            <w:tcW w:type="dxa" w:w="864"/>
            <w:shd w:val="clear" w:fill="F2F5FB"/>
          </w:tcPr>
          <w:p>
            <w:pPr>
              <w:jc w:val="right"/>
            </w:pPr>
            <w:r>
              <w:rPr>
                <w:rFonts w:ascii="Calibri" w:hAnsi="Calibri"/>
                <w:b w:val="0"/>
                <w:i w:val="0"/>
                <w:sz w:val="17"/>
              </w:rPr>
              <w:t>20.4</w:t>
            </w:r>
          </w:p>
        </w:tc>
      </w:tr>
      <w:tr>
        <w:tc>
          <w:tcPr>
            <w:tcW w:type="dxa" w:w="1152"/>
          </w:tcPr>
          <w:p>
            <w:pPr>
              <w:jc w:val="left"/>
            </w:pPr>
            <w:r>
              <w:rPr>
                <w:rFonts w:ascii="Calibri" w:hAnsi="Calibri"/>
                <w:b w:val="0"/>
                <w:i w:val="0"/>
                <w:sz w:val="17"/>
              </w:rPr>
              <w:t>FY33E</w:t>
            </w:r>
          </w:p>
        </w:tc>
        <w:tc>
          <w:tcPr>
            <w:tcW w:type="dxa" w:w="1368"/>
          </w:tcPr>
          <w:p>
            <w:pPr>
              <w:jc w:val="right"/>
            </w:pPr>
            <w:r>
              <w:rPr>
                <w:rFonts w:ascii="Calibri" w:hAnsi="Calibri"/>
                <w:b w:val="0"/>
                <w:i w:val="0"/>
                <w:sz w:val="17"/>
              </w:rPr>
              <w:t>82,405</w:t>
            </w:r>
          </w:p>
        </w:tc>
        <w:tc>
          <w:tcPr>
            <w:tcW w:type="dxa" w:w="1224"/>
          </w:tcPr>
          <w:p>
            <w:pPr>
              <w:jc w:val="right"/>
            </w:pPr>
            <w:r>
              <w:rPr>
                <w:rFonts w:ascii="Calibri" w:hAnsi="Calibri"/>
                <w:b w:val="0"/>
                <w:i w:val="0"/>
                <w:sz w:val="17"/>
              </w:rPr>
              <w:t>9,889</w:t>
            </w:r>
          </w:p>
        </w:tc>
        <w:tc>
          <w:tcPr>
            <w:tcW w:type="dxa" w:w="1008"/>
          </w:tcPr>
          <w:p>
            <w:pPr>
              <w:jc w:val="right"/>
            </w:pPr>
            <w:r>
              <w:rPr>
                <w:rFonts w:ascii="Calibri" w:hAnsi="Calibri"/>
                <w:b w:val="0"/>
                <w:i w:val="0"/>
                <w:sz w:val="17"/>
              </w:rPr>
              <w:t>514</w:t>
            </w:r>
          </w:p>
        </w:tc>
        <w:tc>
          <w:tcPr>
            <w:tcW w:type="dxa" w:w="1224"/>
          </w:tcPr>
          <w:p>
            <w:pPr>
              <w:jc w:val="right"/>
            </w:pPr>
            <w:r>
              <w:rPr>
                <w:rFonts w:ascii="Calibri" w:hAnsi="Calibri"/>
                <w:b w:val="0"/>
                <w:i w:val="0"/>
                <w:sz w:val="17"/>
              </w:rPr>
              <w:t>9,374</w:t>
            </w:r>
          </w:p>
        </w:tc>
        <w:tc>
          <w:tcPr>
            <w:tcW w:type="dxa" w:w="1296"/>
          </w:tcPr>
          <w:p>
            <w:pPr>
              <w:jc w:val="right"/>
            </w:pPr>
            <w:r>
              <w:rPr>
                <w:rFonts w:ascii="Calibri" w:hAnsi="Calibri"/>
                <w:b w:val="0"/>
                <w:i w:val="0"/>
                <w:sz w:val="17"/>
              </w:rPr>
              <w:t>10,672</w:t>
            </w:r>
          </w:p>
        </w:tc>
        <w:tc>
          <w:tcPr>
            <w:tcW w:type="dxa" w:w="1224"/>
          </w:tcPr>
          <w:p>
            <w:pPr>
              <w:jc w:val="right"/>
            </w:pPr>
            <w:r>
              <w:rPr>
                <w:rFonts w:ascii="Calibri" w:hAnsi="Calibri"/>
                <w:b w:val="0"/>
                <w:i w:val="0"/>
                <w:sz w:val="17"/>
              </w:rPr>
              <w:t>8,004</w:t>
            </w:r>
          </w:p>
        </w:tc>
        <w:tc>
          <w:tcPr>
            <w:tcW w:type="dxa" w:w="864"/>
          </w:tcPr>
          <w:p>
            <w:pPr>
              <w:jc w:val="right"/>
            </w:pPr>
            <w:r>
              <w:rPr>
                <w:rFonts w:ascii="Calibri" w:hAnsi="Calibri"/>
                <w:b w:val="0"/>
                <w:i w:val="0"/>
                <w:sz w:val="17"/>
              </w:rPr>
              <w:t>23.0</w:t>
            </w:r>
          </w:p>
        </w:tc>
      </w:tr>
    </w:tbl>
    <w:p>
      <w:pPr>
        <w:spacing w:after="160" w:before="40"/>
      </w:pPr>
      <w:r>
        <w:rPr>
          <w:rFonts w:ascii="Calibri" w:hAnsi="Calibri"/>
          <w:b w:val="0"/>
          <w:i/>
          <w:color w:val="595959"/>
          <w:sz w:val="16"/>
        </w:rPr>
        <w:t>A = audited (FY20–26); E = estimate (FY27–33). Source: author’s integrated model.</w:t>
      </w:r>
    </w:p>
    <w:p>
      <w:r>
        <w:br w:type="page"/>
      </w:r>
    </w:p>
    <w:p>
      <w:pPr>
        <w:spacing w:after="160" w:before="40"/>
        <w:pBdr>
          <w:bottom w:val="single" w:sz="12" w:space="4" w:color="1F3864"/>
        </w:pBdr>
      </w:pPr>
      <w:r>
        <w:rPr>
          <w:rFonts w:ascii="Calibri" w:hAnsi="Calibri"/>
          <w:b/>
          <w:i w:val="0"/>
          <w:color w:val="1F3864"/>
          <w:sz w:val="32"/>
        </w:rPr>
        <w:t>Appendix B — Balance Sheet &amp; Ratios</w:t>
      </w:r>
    </w:p>
    <w:p>
      <w:pPr>
        <w:spacing w:after="80" w:before="200"/>
      </w:pPr>
      <w:r>
        <w:rPr>
          <w:rFonts w:ascii="Calibri" w:hAnsi="Calibri"/>
          <w:b/>
          <w:i w:val="0"/>
          <w:color w:val="2E5BA8"/>
          <w:sz w:val="25"/>
        </w:rPr>
        <w:t>Condensed balance sheet (₹ crore)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440"/>
            <w:shd w:val="clear" w:fill="1F3864"/>
          </w:tcPr>
          <w:p>
            <w:pPr>
              <w:jc w:val="left"/>
            </w:pPr>
            <w:r>
              <w:rPr>
                <w:rFonts w:ascii="Calibri" w:hAnsi="Calibri"/>
                <w:b/>
                <w:i w:val="0"/>
                <w:color w:val="FFFFFF"/>
                <w:sz w:val="17"/>
              </w:rPr>
              <w:t>Year</w:t>
            </w:r>
          </w:p>
        </w:tc>
        <w:tc>
          <w:tcPr>
            <w:tcW w:type="dxa" w:w="2304"/>
            <w:shd w:val="clear" w:fill="1F3864"/>
          </w:tcPr>
          <w:p>
            <w:pPr>
              <w:jc w:val="center"/>
            </w:pPr>
            <w:r>
              <w:rPr>
                <w:rFonts w:ascii="Calibri" w:hAnsi="Calibri"/>
                <w:b/>
                <w:i w:val="0"/>
                <w:color w:val="FFFFFF"/>
                <w:sz w:val="17"/>
              </w:rPr>
              <w:t>Total assets</w:t>
            </w:r>
          </w:p>
        </w:tc>
        <w:tc>
          <w:tcPr>
            <w:tcW w:type="dxa" w:w="2592"/>
            <w:shd w:val="clear" w:fill="1F3864"/>
          </w:tcPr>
          <w:p>
            <w:pPr>
              <w:jc w:val="center"/>
            </w:pPr>
            <w:r>
              <w:rPr>
                <w:rFonts w:ascii="Calibri" w:hAnsi="Calibri"/>
                <w:b/>
                <w:i w:val="0"/>
                <w:color w:val="FFFFFF"/>
                <w:sz w:val="17"/>
              </w:rPr>
              <w:t>Shareholders’ funds</w:t>
            </w:r>
          </w:p>
        </w:tc>
        <w:tc>
          <w:tcPr>
            <w:tcW w:type="dxa" w:w="2304"/>
            <w:shd w:val="clear" w:fill="1F3864"/>
          </w:tcPr>
          <w:p>
            <w:pPr>
              <w:jc w:val="center"/>
            </w:pPr>
            <w:r>
              <w:rPr>
                <w:rFonts w:ascii="Calibri" w:hAnsi="Calibri"/>
                <w:b/>
                <w:i w:val="0"/>
                <w:color w:val="FFFFFF"/>
                <w:sz w:val="17"/>
              </w:rPr>
              <w:t>Net debt/(cash)</w:t>
            </w:r>
          </w:p>
        </w:tc>
      </w:tr>
      <w:tr>
        <w:tc>
          <w:tcPr>
            <w:tcW w:type="dxa" w:w="1440"/>
            <w:shd w:val="clear" w:fill="F2F5FB"/>
          </w:tcPr>
          <w:p>
            <w:pPr>
              <w:jc w:val="left"/>
            </w:pPr>
            <w:r>
              <w:rPr>
                <w:rFonts w:ascii="Calibri" w:hAnsi="Calibri"/>
                <w:b w:val="0"/>
                <w:i w:val="0"/>
                <w:sz w:val="17"/>
              </w:rPr>
              <w:t>FY20</w:t>
            </w:r>
          </w:p>
        </w:tc>
        <w:tc>
          <w:tcPr>
            <w:tcW w:type="dxa" w:w="2304"/>
            <w:shd w:val="clear" w:fill="F2F5FB"/>
          </w:tcPr>
          <w:p>
            <w:pPr>
              <w:jc w:val="right"/>
            </w:pPr>
            <w:r>
              <w:rPr>
                <w:rFonts w:ascii="Calibri" w:hAnsi="Calibri"/>
                <w:b w:val="0"/>
                <w:i w:val="0"/>
                <w:sz w:val="17"/>
              </w:rPr>
              <w:t>59,749</w:t>
            </w:r>
          </w:p>
        </w:tc>
        <w:tc>
          <w:tcPr>
            <w:tcW w:type="dxa" w:w="2592"/>
            <w:shd w:val="clear" w:fill="F2F5FB"/>
          </w:tcPr>
          <w:p>
            <w:pPr>
              <w:jc w:val="right"/>
            </w:pPr>
            <w:r>
              <w:rPr>
                <w:rFonts w:ascii="Calibri" w:hAnsi="Calibri"/>
                <w:b w:val="0"/>
                <w:i w:val="0"/>
                <w:sz w:val="17"/>
              </w:rPr>
              <w:t>28,652</w:t>
            </w:r>
          </w:p>
        </w:tc>
        <w:tc>
          <w:tcPr>
            <w:tcW w:type="dxa" w:w="2304"/>
            <w:shd w:val="clear" w:fill="F2F5FB"/>
          </w:tcPr>
          <w:p>
            <w:pPr>
              <w:jc w:val="right"/>
            </w:pPr>
            <w:r>
              <w:rPr>
                <w:rFonts w:ascii="Calibri" w:hAnsi="Calibri"/>
                <w:b w:val="0"/>
                <w:i w:val="0"/>
                <w:sz w:val="17"/>
              </w:rPr>
              <w:t>(1,339)</w:t>
            </w:r>
          </w:p>
        </w:tc>
      </w:tr>
      <w:tr>
        <w:tc>
          <w:tcPr>
            <w:tcW w:type="dxa" w:w="1440"/>
          </w:tcPr>
          <w:p>
            <w:pPr>
              <w:jc w:val="left"/>
            </w:pPr>
            <w:r>
              <w:rPr>
                <w:rFonts w:ascii="Calibri" w:hAnsi="Calibri"/>
                <w:b w:val="0"/>
                <w:i w:val="0"/>
                <w:sz w:val="17"/>
              </w:rPr>
              <w:t>FY21</w:t>
            </w:r>
          </w:p>
        </w:tc>
        <w:tc>
          <w:tcPr>
            <w:tcW w:type="dxa" w:w="2304"/>
          </w:tcPr>
          <w:p>
            <w:pPr>
              <w:jc w:val="right"/>
            </w:pPr>
            <w:r>
              <w:rPr>
                <w:rFonts w:ascii="Calibri" w:hAnsi="Calibri"/>
                <w:b w:val="0"/>
                <w:i w:val="0"/>
                <w:sz w:val="17"/>
              </w:rPr>
              <w:t>55,240</w:t>
            </w:r>
          </w:p>
        </w:tc>
        <w:tc>
          <w:tcPr>
            <w:tcW w:type="dxa" w:w="2592"/>
          </w:tcPr>
          <w:p>
            <w:pPr>
              <w:jc w:val="right"/>
            </w:pPr>
            <w:r>
              <w:rPr>
                <w:rFonts w:ascii="Calibri" w:hAnsi="Calibri"/>
                <w:b w:val="0"/>
                <w:i w:val="0"/>
                <w:sz w:val="17"/>
              </w:rPr>
              <w:t>25,972</w:t>
            </w:r>
          </w:p>
        </w:tc>
        <w:tc>
          <w:tcPr>
            <w:tcW w:type="dxa" w:w="2304"/>
          </w:tcPr>
          <w:p>
            <w:pPr>
              <w:jc w:val="right"/>
            </w:pPr>
            <w:r>
              <w:rPr>
                <w:rFonts w:ascii="Calibri" w:hAnsi="Calibri"/>
                <w:b w:val="0"/>
                <w:i w:val="0"/>
                <w:sz w:val="17"/>
              </w:rPr>
              <w:t>(1,750)</w:t>
            </w:r>
          </w:p>
        </w:tc>
      </w:tr>
      <w:tr>
        <w:tc>
          <w:tcPr>
            <w:tcW w:type="dxa" w:w="1440"/>
            <w:shd w:val="clear" w:fill="F2F5FB"/>
          </w:tcPr>
          <w:p>
            <w:pPr>
              <w:jc w:val="left"/>
            </w:pPr>
            <w:r>
              <w:rPr>
                <w:rFonts w:ascii="Calibri" w:hAnsi="Calibri"/>
                <w:b w:val="0"/>
                <w:i w:val="0"/>
                <w:sz w:val="17"/>
              </w:rPr>
              <w:t>FY22</w:t>
            </w:r>
          </w:p>
        </w:tc>
        <w:tc>
          <w:tcPr>
            <w:tcW w:type="dxa" w:w="2304"/>
            <w:shd w:val="clear" w:fill="F2F5FB"/>
          </w:tcPr>
          <w:p>
            <w:pPr>
              <w:jc w:val="right"/>
            </w:pPr>
            <w:r>
              <w:rPr>
                <w:rFonts w:ascii="Calibri" w:hAnsi="Calibri"/>
                <w:b w:val="0"/>
                <w:i w:val="0"/>
                <w:sz w:val="17"/>
              </w:rPr>
              <w:t>56,244</w:t>
            </w:r>
          </w:p>
        </w:tc>
        <w:tc>
          <w:tcPr>
            <w:tcW w:type="dxa" w:w="2592"/>
            <w:shd w:val="clear" w:fill="F2F5FB"/>
          </w:tcPr>
          <w:p>
            <w:pPr>
              <w:jc w:val="right"/>
            </w:pPr>
            <w:r>
              <w:rPr>
                <w:rFonts w:ascii="Calibri" w:hAnsi="Calibri"/>
                <w:b w:val="0"/>
                <w:i w:val="0"/>
                <w:sz w:val="17"/>
              </w:rPr>
              <w:t>26,507</w:t>
            </w:r>
          </w:p>
        </w:tc>
        <w:tc>
          <w:tcPr>
            <w:tcW w:type="dxa" w:w="2304"/>
            <w:shd w:val="clear" w:fill="F2F5FB"/>
          </w:tcPr>
          <w:p>
            <w:pPr>
              <w:jc w:val="right"/>
            </w:pPr>
            <w:r>
              <w:rPr>
                <w:rFonts w:ascii="Calibri" w:hAnsi="Calibri"/>
                <w:b w:val="0"/>
                <w:i w:val="0"/>
                <w:sz w:val="17"/>
              </w:rPr>
              <w:t>(2,324)</w:t>
            </w:r>
          </w:p>
        </w:tc>
      </w:tr>
      <w:tr>
        <w:tc>
          <w:tcPr>
            <w:tcW w:type="dxa" w:w="1440"/>
          </w:tcPr>
          <w:p>
            <w:pPr>
              <w:jc w:val="left"/>
            </w:pPr>
            <w:r>
              <w:rPr>
                <w:rFonts w:ascii="Calibri" w:hAnsi="Calibri"/>
                <w:b w:val="0"/>
                <w:i w:val="0"/>
                <w:sz w:val="17"/>
              </w:rPr>
              <w:t>FY23</w:t>
            </w:r>
          </w:p>
        </w:tc>
        <w:tc>
          <w:tcPr>
            <w:tcW w:type="dxa" w:w="2304"/>
          </w:tcPr>
          <w:p>
            <w:pPr>
              <w:jc w:val="right"/>
            </w:pPr>
            <w:r>
              <w:rPr>
                <w:rFonts w:ascii="Calibri" w:hAnsi="Calibri"/>
                <w:b w:val="0"/>
                <w:i w:val="0"/>
                <w:sz w:val="17"/>
              </w:rPr>
              <w:t>59,370</w:t>
            </w:r>
          </w:p>
        </w:tc>
        <w:tc>
          <w:tcPr>
            <w:tcW w:type="dxa" w:w="2592"/>
          </w:tcPr>
          <w:p>
            <w:pPr>
              <w:jc w:val="right"/>
            </w:pPr>
            <w:r>
              <w:rPr>
                <w:rFonts w:ascii="Calibri" w:hAnsi="Calibri"/>
                <w:b w:val="0"/>
                <w:i w:val="0"/>
                <w:sz w:val="17"/>
              </w:rPr>
              <w:t>26,828</w:t>
            </w:r>
          </w:p>
        </w:tc>
        <w:tc>
          <w:tcPr>
            <w:tcW w:type="dxa" w:w="2304"/>
          </w:tcPr>
          <w:p>
            <w:pPr>
              <w:jc w:val="right"/>
            </w:pPr>
            <w:r>
              <w:rPr>
                <w:rFonts w:ascii="Calibri" w:hAnsi="Calibri"/>
                <w:b w:val="0"/>
                <w:i w:val="0"/>
                <w:sz w:val="17"/>
              </w:rPr>
              <w:t>(1,189)</w:t>
            </w:r>
          </w:p>
        </w:tc>
      </w:tr>
      <w:tr>
        <w:tc>
          <w:tcPr>
            <w:tcW w:type="dxa" w:w="1440"/>
            <w:shd w:val="clear" w:fill="F2F5FB"/>
          </w:tcPr>
          <w:p>
            <w:pPr>
              <w:jc w:val="left"/>
            </w:pPr>
            <w:r>
              <w:rPr>
                <w:rFonts w:ascii="Calibri" w:hAnsi="Calibri"/>
                <w:b w:val="0"/>
                <w:i w:val="0"/>
                <w:sz w:val="17"/>
              </w:rPr>
              <w:t>FY24</w:t>
            </w:r>
          </w:p>
        </w:tc>
        <w:tc>
          <w:tcPr>
            <w:tcW w:type="dxa" w:w="2304"/>
            <w:shd w:val="clear" w:fill="F2F5FB"/>
          </w:tcPr>
          <w:p>
            <w:pPr>
              <w:jc w:val="right"/>
            </w:pPr>
            <w:r>
              <w:rPr>
                <w:rFonts w:ascii="Calibri" w:hAnsi="Calibri"/>
                <w:b w:val="0"/>
                <w:i w:val="0"/>
                <w:sz w:val="17"/>
              </w:rPr>
              <w:t>59,002</w:t>
            </w:r>
          </w:p>
        </w:tc>
        <w:tc>
          <w:tcPr>
            <w:tcW w:type="dxa" w:w="2592"/>
            <w:shd w:val="clear" w:fill="F2F5FB"/>
          </w:tcPr>
          <w:p>
            <w:pPr>
              <w:jc w:val="right"/>
            </w:pPr>
            <w:r>
              <w:rPr>
                <w:rFonts w:ascii="Calibri" w:hAnsi="Calibri"/>
                <w:b w:val="0"/>
                <w:i w:val="0"/>
                <w:sz w:val="17"/>
              </w:rPr>
              <w:t>24,439</w:t>
            </w:r>
          </w:p>
        </w:tc>
        <w:tc>
          <w:tcPr>
            <w:tcW w:type="dxa" w:w="2304"/>
            <w:shd w:val="clear" w:fill="F2F5FB"/>
          </w:tcPr>
          <w:p>
            <w:pPr>
              <w:jc w:val="right"/>
            </w:pPr>
            <w:r>
              <w:rPr>
                <w:rFonts w:ascii="Calibri" w:hAnsi="Calibri"/>
                <w:b w:val="0"/>
                <w:i w:val="0"/>
                <w:sz w:val="17"/>
              </w:rPr>
              <w:t>2,699</w:t>
            </w:r>
          </w:p>
        </w:tc>
      </w:tr>
      <w:tr>
        <w:tc>
          <w:tcPr>
            <w:tcW w:type="dxa" w:w="1440"/>
          </w:tcPr>
          <w:p>
            <w:pPr>
              <w:jc w:val="left"/>
            </w:pPr>
            <w:r>
              <w:rPr>
                <w:rFonts w:ascii="Calibri" w:hAnsi="Calibri"/>
                <w:b w:val="0"/>
                <w:i w:val="0"/>
                <w:sz w:val="17"/>
              </w:rPr>
              <w:t>FY25</w:t>
            </w:r>
          </w:p>
        </w:tc>
        <w:tc>
          <w:tcPr>
            <w:tcW w:type="dxa" w:w="2304"/>
          </w:tcPr>
          <w:p>
            <w:pPr>
              <w:jc w:val="right"/>
            </w:pPr>
            <w:r>
              <w:rPr>
                <w:rFonts w:ascii="Calibri" w:hAnsi="Calibri"/>
                <w:b w:val="0"/>
                <w:i w:val="0"/>
                <w:sz w:val="17"/>
              </w:rPr>
              <w:t>68,083</w:t>
            </w:r>
          </w:p>
        </w:tc>
        <w:tc>
          <w:tcPr>
            <w:tcW w:type="dxa" w:w="2592"/>
          </w:tcPr>
          <w:p>
            <w:pPr>
              <w:jc w:val="right"/>
            </w:pPr>
            <w:r>
              <w:rPr>
                <w:rFonts w:ascii="Calibri" w:hAnsi="Calibri"/>
                <w:b w:val="0"/>
                <w:i w:val="0"/>
                <w:sz w:val="17"/>
              </w:rPr>
              <w:t>24,722</w:t>
            </w:r>
          </w:p>
        </w:tc>
        <w:tc>
          <w:tcPr>
            <w:tcW w:type="dxa" w:w="2304"/>
          </w:tcPr>
          <w:p>
            <w:pPr>
              <w:jc w:val="right"/>
            </w:pPr>
            <w:r>
              <w:rPr>
                <w:rFonts w:ascii="Calibri" w:hAnsi="Calibri"/>
                <w:b w:val="0"/>
                <w:i w:val="0"/>
                <w:sz w:val="17"/>
              </w:rPr>
              <w:t>1,403</w:t>
            </w:r>
          </w:p>
        </w:tc>
      </w:tr>
      <w:tr>
        <w:tc>
          <w:tcPr>
            <w:tcW w:type="dxa" w:w="1440"/>
            <w:shd w:val="clear" w:fill="F2F5FB"/>
          </w:tcPr>
          <w:p>
            <w:pPr>
              <w:jc w:val="left"/>
            </w:pPr>
            <w:r>
              <w:rPr>
                <w:rFonts w:ascii="Calibri" w:hAnsi="Calibri"/>
                <w:b w:val="0"/>
                <w:i w:val="0"/>
                <w:sz w:val="17"/>
              </w:rPr>
              <w:t>FY26</w:t>
            </w:r>
          </w:p>
        </w:tc>
        <w:tc>
          <w:tcPr>
            <w:tcW w:type="dxa" w:w="2304"/>
            <w:shd w:val="clear" w:fill="F2F5FB"/>
          </w:tcPr>
          <w:p>
            <w:pPr>
              <w:jc w:val="right"/>
            </w:pPr>
            <w:r>
              <w:rPr>
                <w:rFonts w:ascii="Calibri" w:hAnsi="Calibri"/>
                <w:b w:val="0"/>
                <w:i w:val="0"/>
                <w:sz w:val="17"/>
              </w:rPr>
              <w:t>76,186</w:t>
            </w:r>
          </w:p>
        </w:tc>
        <w:tc>
          <w:tcPr>
            <w:tcW w:type="dxa" w:w="2592"/>
            <w:shd w:val="clear" w:fill="F2F5FB"/>
          </w:tcPr>
          <w:p>
            <w:pPr>
              <w:jc w:val="right"/>
            </w:pPr>
            <w:r>
              <w:rPr>
                <w:rFonts w:ascii="Calibri" w:hAnsi="Calibri"/>
                <w:b w:val="0"/>
                <w:i w:val="0"/>
                <w:sz w:val="17"/>
              </w:rPr>
              <w:t>26,147</w:t>
            </w:r>
          </w:p>
        </w:tc>
        <w:tc>
          <w:tcPr>
            <w:tcW w:type="dxa" w:w="2304"/>
            <w:shd w:val="clear" w:fill="F2F5FB"/>
          </w:tcPr>
          <w:p>
            <w:pPr>
              <w:jc w:val="right"/>
            </w:pPr>
            <w:r>
              <w:rPr>
                <w:rFonts w:ascii="Calibri" w:hAnsi="Calibri"/>
                <w:b w:val="0"/>
                <w:i w:val="0"/>
                <w:sz w:val="17"/>
              </w:rPr>
              <w:t>(3,680)</w:t>
            </w:r>
          </w:p>
        </w:tc>
      </w:tr>
      <w:tr>
        <w:tc>
          <w:tcPr>
            <w:tcW w:type="dxa" w:w="1440"/>
          </w:tcPr>
          <w:p>
            <w:pPr>
              <w:jc w:val="left"/>
            </w:pPr>
            <w:r>
              <w:rPr>
                <w:rFonts w:ascii="Calibri" w:hAnsi="Calibri"/>
                <w:b w:val="0"/>
                <w:i w:val="0"/>
                <w:sz w:val="17"/>
              </w:rPr>
              <w:t>FY27E</w:t>
            </w:r>
          </w:p>
        </w:tc>
        <w:tc>
          <w:tcPr>
            <w:tcW w:type="dxa" w:w="2304"/>
          </w:tcPr>
          <w:p>
            <w:pPr>
              <w:jc w:val="right"/>
            </w:pPr>
            <w:r>
              <w:rPr>
                <w:rFonts w:ascii="Calibri" w:hAnsi="Calibri"/>
                <w:b w:val="0"/>
                <w:i w:val="0"/>
                <w:sz w:val="17"/>
              </w:rPr>
              <w:t>83,462</w:t>
            </w:r>
          </w:p>
        </w:tc>
        <w:tc>
          <w:tcPr>
            <w:tcW w:type="dxa" w:w="2592"/>
          </w:tcPr>
          <w:p>
            <w:pPr>
              <w:jc w:val="right"/>
            </w:pPr>
            <w:r>
              <w:rPr>
                <w:rFonts w:ascii="Calibri" w:hAnsi="Calibri"/>
                <w:b w:val="0"/>
                <w:i w:val="0"/>
                <w:sz w:val="17"/>
              </w:rPr>
              <w:t>27,599</w:t>
            </w:r>
          </w:p>
        </w:tc>
        <w:tc>
          <w:tcPr>
            <w:tcW w:type="dxa" w:w="2304"/>
          </w:tcPr>
          <w:p>
            <w:pPr>
              <w:jc w:val="right"/>
            </w:pPr>
            <w:r>
              <w:rPr>
                <w:rFonts w:ascii="Calibri" w:hAnsi="Calibri"/>
                <w:b w:val="0"/>
                <w:i w:val="0"/>
                <w:sz w:val="17"/>
              </w:rPr>
              <w:t>(2,900)</w:t>
            </w:r>
          </w:p>
        </w:tc>
      </w:tr>
      <w:tr>
        <w:tc>
          <w:tcPr>
            <w:tcW w:type="dxa" w:w="1440"/>
            <w:shd w:val="clear" w:fill="F2F5FB"/>
          </w:tcPr>
          <w:p>
            <w:pPr>
              <w:jc w:val="left"/>
            </w:pPr>
            <w:r>
              <w:rPr>
                <w:rFonts w:ascii="Calibri" w:hAnsi="Calibri"/>
                <w:b w:val="0"/>
                <w:i w:val="0"/>
                <w:sz w:val="17"/>
              </w:rPr>
              <w:t>FY28E</w:t>
            </w:r>
          </w:p>
        </w:tc>
        <w:tc>
          <w:tcPr>
            <w:tcW w:type="dxa" w:w="2304"/>
            <w:shd w:val="clear" w:fill="F2F5FB"/>
          </w:tcPr>
          <w:p>
            <w:pPr>
              <w:jc w:val="right"/>
            </w:pPr>
            <w:r>
              <w:rPr>
                <w:rFonts w:ascii="Calibri" w:hAnsi="Calibri"/>
                <w:b w:val="0"/>
                <w:i w:val="0"/>
                <w:sz w:val="17"/>
              </w:rPr>
              <w:t>91,000</w:t>
            </w:r>
          </w:p>
        </w:tc>
        <w:tc>
          <w:tcPr>
            <w:tcW w:type="dxa" w:w="2592"/>
            <w:shd w:val="clear" w:fill="F2F5FB"/>
          </w:tcPr>
          <w:p>
            <w:pPr>
              <w:jc w:val="right"/>
            </w:pPr>
            <w:r>
              <w:rPr>
                <w:rFonts w:ascii="Calibri" w:hAnsi="Calibri"/>
                <w:b w:val="0"/>
                <w:i w:val="0"/>
                <w:sz w:val="17"/>
              </w:rPr>
              <w:t>29,719</w:t>
            </w:r>
          </w:p>
        </w:tc>
        <w:tc>
          <w:tcPr>
            <w:tcW w:type="dxa" w:w="2304"/>
            <w:shd w:val="clear" w:fill="F2F5FB"/>
          </w:tcPr>
          <w:p>
            <w:pPr>
              <w:jc w:val="right"/>
            </w:pPr>
            <w:r>
              <w:rPr>
                <w:rFonts w:ascii="Calibri" w:hAnsi="Calibri"/>
                <w:b w:val="0"/>
                <w:i w:val="0"/>
                <w:sz w:val="17"/>
              </w:rPr>
              <w:t>(4,400)</w:t>
            </w:r>
          </w:p>
        </w:tc>
      </w:tr>
      <w:tr>
        <w:tc>
          <w:tcPr>
            <w:tcW w:type="dxa" w:w="1440"/>
          </w:tcPr>
          <w:p>
            <w:pPr>
              <w:jc w:val="left"/>
            </w:pPr>
            <w:r>
              <w:rPr>
                <w:rFonts w:ascii="Calibri" w:hAnsi="Calibri"/>
                <w:b w:val="0"/>
                <w:i w:val="0"/>
                <w:sz w:val="17"/>
              </w:rPr>
              <w:t>FY29E</w:t>
            </w:r>
          </w:p>
        </w:tc>
        <w:tc>
          <w:tcPr>
            <w:tcW w:type="dxa" w:w="2304"/>
          </w:tcPr>
          <w:p>
            <w:pPr>
              <w:jc w:val="right"/>
            </w:pPr>
            <w:r>
              <w:rPr>
                <w:rFonts w:ascii="Calibri" w:hAnsi="Calibri"/>
                <w:b w:val="0"/>
                <w:i w:val="0"/>
                <w:sz w:val="17"/>
              </w:rPr>
              <w:t>99,500</w:t>
            </w:r>
          </w:p>
        </w:tc>
        <w:tc>
          <w:tcPr>
            <w:tcW w:type="dxa" w:w="2592"/>
          </w:tcPr>
          <w:p>
            <w:pPr>
              <w:jc w:val="right"/>
            </w:pPr>
            <w:r>
              <w:rPr>
                <w:rFonts w:ascii="Calibri" w:hAnsi="Calibri"/>
                <w:b w:val="0"/>
                <w:i w:val="0"/>
                <w:sz w:val="17"/>
              </w:rPr>
              <w:t>32,591</w:t>
            </w:r>
          </w:p>
        </w:tc>
        <w:tc>
          <w:tcPr>
            <w:tcW w:type="dxa" w:w="2304"/>
          </w:tcPr>
          <w:p>
            <w:pPr>
              <w:jc w:val="right"/>
            </w:pPr>
            <w:r>
              <w:rPr>
                <w:rFonts w:ascii="Calibri" w:hAnsi="Calibri"/>
                <w:b w:val="0"/>
                <w:i w:val="0"/>
                <w:sz w:val="17"/>
              </w:rPr>
              <w:t>(6,600)</w:t>
            </w:r>
          </w:p>
        </w:tc>
      </w:tr>
      <w:tr>
        <w:tc>
          <w:tcPr>
            <w:tcW w:type="dxa" w:w="1440"/>
            <w:shd w:val="clear" w:fill="F2F5FB"/>
          </w:tcPr>
          <w:p>
            <w:pPr>
              <w:jc w:val="left"/>
            </w:pPr>
            <w:r>
              <w:rPr>
                <w:rFonts w:ascii="Calibri" w:hAnsi="Calibri"/>
                <w:b w:val="0"/>
                <w:i w:val="0"/>
                <w:sz w:val="17"/>
              </w:rPr>
              <w:t>FY30E</w:t>
            </w:r>
          </w:p>
        </w:tc>
        <w:tc>
          <w:tcPr>
            <w:tcW w:type="dxa" w:w="2304"/>
            <w:shd w:val="clear" w:fill="F2F5FB"/>
          </w:tcPr>
          <w:p>
            <w:pPr>
              <w:jc w:val="right"/>
            </w:pPr>
            <w:r>
              <w:rPr>
                <w:rFonts w:ascii="Calibri" w:hAnsi="Calibri"/>
                <w:b w:val="0"/>
                <w:i w:val="0"/>
                <w:sz w:val="17"/>
              </w:rPr>
              <w:t>109,000</w:t>
            </w:r>
          </w:p>
        </w:tc>
        <w:tc>
          <w:tcPr>
            <w:tcW w:type="dxa" w:w="2592"/>
            <w:shd w:val="clear" w:fill="F2F5FB"/>
          </w:tcPr>
          <w:p>
            <w:pPr>
              <w:jc w:val="right"/>
            </w:pPr>
            <w:r>
              <w:rPr>
                <w:rFonts w:ascii="Calibri" w:hAnsi="Calibri"/>
                <w:b w:val="0"/>
                <w:i w:val="0"/>
                <w:sz w:val="17"/>
              </w:rPr>
              <w:t>36,234</w:t>
            </w:r>
          </w:p>
        </w:tc>
        <w:tc>
          <w:tcPr>
            <w:tcW w:type="dxa" w:w="2304"/>
            <w:shd w:val="clear" w:fill="F2F5FB"/>
          </w:tcPr>
          <w:p>
            <w:pPr>
              <w:jc w:val="right"/>
            </w:pPr>
            <w:r>
              <w:rPr>
                <w:rFonts w:ascii="Calibri" w:hAnsi="Calibri"/>
                <w:b w:val="0"/>
                <w:i w:val="0"/>
                <w:sz w:val="17"/>
              </w:rPr>
              <w:t>(9,400)</w:t>
            </w:r>
          </w:p>
        </w:tc>
      </w:tr>
      <w:tr>
        <w:tc>
          <w:tcPr>
            <w:tcW w:type="dxa" w:w="1440"/>
          </w:tcPr>
          <w:p>
            <w:pPr>
              <w:jc w:val="left"/>
            </w:pPr>
            <w:r>
              <w:rPr>
                <w:rFonts w:ascii="Calibri" w:hAnsi="Calibri"/>
                <w:b w:val="0"/>
                <w:i w:val="0"/>
                <w:sz w:val="17"/>
              </w:rPr>
              <w:t>FY31E</w:t>
            </w:r>
          </w:p>
        </w:tc>
        <w:tc>
          <w:tcPr>
            <w:tcW w:type="dxa" w:w="2304"/>
          </w:tcPr>
          <w:p>
            <w:pPr>
              <w:jc w:val="right"/>
            </w:pPr>
            <w:r>
              <w:rPr>
                <w:rFonts w:ascii="Calibri" w:hAnsi="Calibri"/>
                <w:b w:val="0"/>
                <w:i w:val="0"/>
                <w:sz w:val="17"/>
              </w:rPr>
              <w:t>119,000</w:t>
            </w:r>
          </w:p>
        </w:tc>
        <w:tc>
          <w:tcPr>
            <w:tcW w:type="dxa" w:w="2592"/>
          </w:tcPr>
          <w:p>
            <w:pPr>
              <w:jc w:val="right"/>
            </w:pPr>
            <w:r>
              <w:rPr>
                <w:rFonts w:ascii="Calibri" w:hAnsi="Calibri"/>
                <w:b w:val="0"/>
                <w:i w:val="0"/>
                <w:sz w:val="17"/>
              </w:rPr>
              <w:t>40,090</w:t>
            </w:r>
          </w:p>
        </w:tc>
        <w:tc>
          <w:tcPr>
            <w:tcW w:type="dxa" w:w="2304"/>
          </w:tcPr>
          <w:p>
            <w:pPr>
              <w:jc w:val="right"/>
            </w:pPr>
            <w:r>
              <w:rPr>
                <w:rFonts w:ascii="Calibri" w:hAnsi="Calibri"/>
                <w:b w:val="0"/>
                <w:i w:val="0"/>
                <w:sz w:val="17"/>
              </w:rPr>
              <w:t>(12,900)</w:t>
            </w:r>
          </w:p>
        </w:tc>
      </w:tr>
      <w:tr>
        <w:tc>
          <w:tcPr>
            <w:tcW w:type="dxa" w:w="1440"/>
            <w:shd w:val="clear" w:fill="F2F5FB"/>
          </w:tcPr>
          <w:p>
            <w:pPr>
              <w:jc w:val="left"/>
            </w:pPr>
            <w:r>
              <w:rPr>
                <w:rFonts w:ascii="Calibri" w:hAnsi="Calibri"/>
                <w:b w:val="0"/>
                <w:i w:val="0"/>
                <w:sz w:val="17"/>
              </w:rPr>
              <w:t>FY32E</w:t>
            </w:r>
          </w:p>
        </w:tc>
        <w:tc>
          <w:tcPr>
            <w:tcW w:type="dxa" w:w="2304"/>
            <w:shd w:val="clear" w:fill="F2F5FB"/>
          </w:tcPr>
          <w:p>
            <w:pPr>
              <w:jc w:val="right"/>
            </w:pPr>
            <w:r>
              <w:rPr>
                <w:rFonts w:ascii="Calibri" w:hAnsi="Calibri"/>
                <w:b w:val="0"/>
                <w:i w:val="0"/>
                <w:sz w:val="17"/>
              </w:rPr>
              <w:t>129,500</w:t>
            </w:r>
          </w:p>
        </w:tc>
        <w:tc>
          <w:tcPr>
            <w:tcW w:type="dxa" w:w="2592"/>
            <w:shd w:val="clear" w:fill="F2F5FB"/>
          </w:tcPr>
          <w:p>
            <w:pPr>
              <w:jc w:val="right"/>
            </w:pPr>
            <w:r>
              <w:rPr>
                <w:rFonts w:ascii="Calibri" w:hAnsi="Calibri"/>
                <w:b w:val="0"/>
                <w:i w:val="0"/>
                <w:sz w:val="17"/>
              </w:rPr>
              <w:t>44,326</w:t>
            </w:r>
          </w:p>
        </w:tc>
        <w:tc>
          <w:tcPr>
            <w:tcW w:type="dxa" w:w="2304"/>
            <w:shd w:val="clear" w:fill="F2F5FB"/>
          </w:tcPr>
          <w:p>
            <w:pPr>
              <w:jc w:val="right"/>
            </w:pPr>
            <w:r>
              <w:rPr>
                <w:rFonts w:ascii="Calibri" w:hAnsi="Calibri"/>
                <w:b w:val="0"/>
                <w:i w:val="0"/>
                <w:sz w:val="17"/>
              </w:rPr>
              <w:t>(17,200)</w:t>
            </w:r>
          </w:p>
        </w:tc>
      </w:tr>
      <w:tr>
        <w:tc>
          <w:tcPr>
            <w:tcW w:type="dxa" w:w="1440"/>
          </w:tcPr>
          <w:p>
            <w:pPr>
              <w:jc w:val="left"/>
            </w:pPr>
            <w:r>
              <w:rPr>
                <w:rFonts w:ascii="Calibri" w:hAnsi="Calibri"/>
                <w:b w:val="0"/>
                <w:i w:val="0"/>
                <w:sz w:val="17"/>
              </w:rPr>
              <w:t>FY33E</w:t>
            </w:r>
          </w:p>
        </w:tc>
        <w:tc>
          <w:tcPr>
            <w:tcW w:type="dxa" w:w="2304"/>
          </w:tcPr>
          <w:p>
            <w:pPr>
              <w:jc w:val="right"/>
            </w:pPr>
            <w:r>
              <w:rPr>
                <w:rFonts w:ascii="Calibri" w:hAnsi="Calibri"/>
                <w:b w:val="0"/>
                <w:i w:val="0"/>
                <w:sz w:val="17"/>
              </w:rPr>
              <w:t>140,500</w:t>
            </w:r>
          </w:p>
        </w:tc>
        <w:tc>
          <w:tcPr>
            <w:tcW w:type="dxa" w:w="2592"/>
          </w:tcPr>
          <w:p>
            <w:pPr>
              <w:jc w:val="right"/>
            </w:pPr>
            <w:r>
              <w:rPr>
                <w:rFonts w:ascii="Calibri" w:hAnsi="Calibri"/>
                <w:b w:val="0"/>
                <w:i w:val="0"/>
                <w:sz w:val="17"/>
              </w:rPr>
              <w:t>48,529</w:t>
            </w:r>
          </w:p>
        </w:tc>
        <w:tc>
          <w:tcPr>
            <w:tcW w:type="dxa" w:w="2304"/>
          </w:tcPr>
          <w:p>
            <w:pPr>
              <w:jc w:val="right"/>
            </w:pPr>
            <w:r>
              <w:rPr>
                <w:rFonts w:ascii="Calibri" w:hAnsi="Calibri"/>
                <w:b w:val="0"/>
                <w:i w:val="0"/>
                <w:sz w:val="17"/>
              </w:rPr>
              <w:t>(22,000)</w:t>
            </w:r>
          </w:p>
        </w:tc>
      </w:tr>
    </w:tbl>
    <w:p>
      <w:pPr>
        <w:spacing w:after="160" w:before="40"/>
      </w:pPr>
      <w:r>
        <w:rPr>
          <w:rFonts w:ascii="Calibri" w:hAnsi="Calibri"/>
          <w:b w:val="0"/>
          <w:i/>
          <w:color w:val="595959"/>
          <w:sz w:val="16"/>
        </w:rPr>
        <w:t>Forecast total assets/equity rounded; net cash builds materially over the horizon. Source: author’s model.</w:t>
      </w:r>
    </w:p>
    <w:p>
      <w:pPr>
        <w:spacing w:after="80" w:before="200"/>
      </w:pPr>
      <w:r>
        <w:rPr>
          <w:rFonts w:ascii="Calibri" w:hAnsi="Calibri"/>
          <w:b/>
          <w:i w:val="0"/>
          <w:color w:val="2E5BA8"/>
          <w:sz w:val="25"/>
        </w:rPr>
        <w:t>Key ratios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584"/>
            <w:shd w:val="clear" w:fill="1F3864"/>
          </w:tcPr>
          <w:p>
            <w:pPr>
              <w:jc w:val="left"/>
            </w:pPr>
            <w:r>
              <w:rPr>
                <w:rFonts w:ascii="Calibri" w:hAnsi="Calibri"/>
                <w:b/>
                <w:i w:val="0"/>
                <w:color w:val="FFFFFF"/>
                <w:sz w:val="17"/>
              </w:rPr>
              <w:t>Year</w:t>
            </w:r>
          </w:p>
        </w:tc>
        <w:tc>
          <w:tcPr>
            <w:tcW w:type="dxa" w:w="1872"/>
            <w:shd w:val="clear" w:fill="1F3864"/>
          </w:tcPr>
          <w:p>
            <w:pPr>
              <w:jc w:val="center"/>
            </w:pPr>
            <w:r>
              <w:rPr>
                <w:rFonts w:ascii="Calibri" w:hAnsi="Calibri"/>
                <w:b/>
                <w:i w:val="0"/>
                <w:color w:val="FFFFFF"/>
                <w:sz w:val="17"/>
              </w:rPr>
              <w:t>EBITDA %</w:t>
            </w:r>
          </w:p>
        </w:tc>
        <w:tc>
          <w:tcPr>
            <w:tcW w:type="dxa" w:w="1584"/>
            <w:shd w:val="clear" w:fill="1F3864"/>
          </w:tcPr>
          <w:p>
            <w:pPr>
              <w:jc w:val="center"/>
            </w:pPr>
            <w:r>
              <w:rPr>
                <w:rFonts w:ascii="Calibri" w:hAnsi="Calibri"/>
                <w:b/>
                <w:i w:val="0"/>
                <w:color w:val="FFFFFF"/>
                <w:sz w:val="17"/>
              </w:rPr>
              <w:t>ROE %</w:t>
            </w:r>
          </w:p>
        </w:tc>
        <w:tc>
          <w:tcPr>
            <w:tcW w:type="dxa" w:w="1584"/>
            <w:shd w:val="clear" w:fill="1F3864"/>
          </w:tcPr>
          <w:p>
            <w:pPr>
              <w:jc w:val="center"/>
            </w:pPr>
            <w:r>
              <w:rPr>
                <w:rFonts w:ascii="Calibri" w:hAnsi="Calibri"/>
                <w:b/>
                <w:i w:val="0"/>
                <w:color w:val="FFFFFF"/>
                <w:sz w:val="17"/>
              </w:rPr>
              <w:t>ROCE %</w:t>
            </w:r>
          </w:p>
        </w:tc>
        <w:tc>
          <w:tcPr>
            <w:tcW w:type="dxa" w:w="1584"/>
            <w:shd w:val="clear" w:fill="1F3864"/>
          </w:tcPr>
          <w:p>
            <w:pPr>
              <w:jc w:val="center"/>
            </w:pPr>
            <w:r>
              <w:rPr>
                <w:rFonts w:ascii="Calibri" w:hAnsi="Calibri"/>
                <w:b/>
                <w:i w:val="0"/>
                <w:color w:val="FFFFFF"/>
                <w:sz w:val="17"/>
              </w:rPr>
              <w:t>D/E (x)</w:t>
            </w:r>
          </w:p>
        </w:tc>
      </w:tr>
      <w:tr>
        <w:tc>
          <w:tcPr>
            <w:tcW w:type="dxa" w:w="1584"/>
            <w:shd w:val="clear" w:fill="F2F5FB"/>
          </w:tcPr>
          <w:p>
            <w:pPr>
              <w:jc w:val="left"/>
            </w:pPr>
            <w:r>
              <w:rPr>
                <w:rFonts w:ascii="Calibri" w:hAnsi="Calibri"/>
                <w:b w:val="0"/>
                <w:i w:val="0"/>
                <w:sz w:val="17"/>
              </w:rPr>
              <w:t>FY20</w:t>
            </w:r>
          </w:p>
        </w:tc>
        <w:tc>
          <w:tcPr>
            <w:tcW w:type="dxa" w:w="1872"/>
            <w:shd w:val="clear" w:fill="F2F5FB"/>
          </w:tcPr>
          <w:p>
            <w:pPr>
              <w:jc w:val="right"/>
            </w:pPr>
            <w:r>
              <w:rPr>
                <w:rFonts w:ascii="Calibri" w:hAnsi="Calibri"/>
                <w:b w:val="0"/>
                <w:i w:val="0"/>
                <w:sz w:val="17"/>
              </w:rPr>
              <w:t>-0.6%</w:t>
            </w:r>
          </w:p>
        </w:tc>
        <w:tc>
          <w:tcPr>
            <w:tcW w:type="dxa" w:w="1584"/>
            <w:shd w:val="clear" w:fill="F2F5FB"/>
          </w:tcPr>
          <w:p>
            <w:pPr>
              <w:jc w:val="right"/>
            </w:pPr>
            <w:r>
              <w:rPr>
                <w:rFonts w:ascii="Calibri" w:hAnsi="Calibri"/>
                <w:b w:val="0"/>
                <w:i w:val="0"/>
                <w:sz w:val="17"/>
              </w:rPr>
              <w:t>0%</w:t>
            </w:r>
          </w:p>
        </w:tc>
        <w:tc>
          <w:tcPr>
            <w:tcW w:type="dxa" w:w="1584"/>
            <w:shd w:val="clear" w:fill="F2F5FB"/>
          </w:tcPr>
          <w:p>
            <w:pPr>
              <w:jc w:val="right"/>
            </w:pPr>
            <w:r>
              <w:rPr>
                <w:rFonts w:ascii="Calibri" w:hAnsi="Calibri"/>
                <w:b w:val="0"/>
                <w:i w:val="0"/>
                <w:sz w:val="17"/>
              </w:rPr>
              <w:t>-2%</w:t>
            </w:r>
          </w:p>
        </w:tc>
        <w:tc>
          <w:tcPr>
            <w:tcW w:type="dxa" w:w="1584"/>
            <w:shd w:val="clear" w:fill="F2F5FB"/>
          </w:tcPr>
          <w:p>
            <w:pPr>
              <w:jc w:val="right"/>
            </w:pPr>
            <w:r>
              <w:rPr>
                <w:rFonts w:ascii="Calibri" w:hAnsi="Calibri"/>
                <w:b w:val="0"/>
                <w:i w:val="0"/>
                <w:sz w:val="17"/>
              </w:rPr>
              <w:t>0.18</w:t>
            </w:r>
          </w:p>
        </w:tc>
      </w:tr>
      <w:tr>
        <w:tc>
          <w:tcPr>
            <w:tcW w:type="dxa" w:w="1584"/>
          </w:tcPr>
          <w:p>
            <w:pPr>
              <w:jc w:val="left"/>
            </w:pPr>
            <w:r>
              <w:rPr>
                <w:rFonts w:ascii="Calibri" w:hAnsi="Calibri"/>
                <w:b w:val="0"/>
                <w:i w:val="0"/>
                <w:sz w:val="17"/>
              </w:rPr>
              <w:t>FY21</w:t>
            </w:r>
          </w:p>
        </w:tc>
        <w:tc>
          <w:tcPr>
            <w:tcW w:type="dxa" w:w="1872"/>
          </w:tcPr>
          <w:p>
            <w:pPr>
              <w:jc w:val="right"/>
            </w:pPr>
            <w:r>
              <w:rPr>
                <w:rFonts w:ascii="Calibri" w:hAnsi="Calibri"/>
                <w:b w:val="0"/>
                <w:i w:val="0"/>
                <w:sz w:val="17"/>
              </w:rPr>
              <w:t>-17.6%</w:t>
            </w:r>
          </w:p>
        </w:tc>
        <w:tc>
          <w:tcPr>
            <w:tcW w:type="dxa" w:w="1584"/>
          </w:tcPr>
          <w:p>
            <w:pPr>
              <w:jc w:val="right"/>
            </w:pPr>
            <w:r>
              <w:rPr>
                <w:rFonts w:ascii="Calibri" w:hAnsi="Calibri"/>
                <w:b w:val="0"/>
                <w:i w:val="0"/>
                <w:sz w:val="17"/>
              </w:rPr>
              <w:t>-10%</w:t>
            </w:r>
          </w:p>
        </w:tc>
        <w:tc>
          <w:tcPr>
            <w:tcW w:type="dxa" w:w="1584"/>
          </w:tcPr>
          <w:p>
            <w:pPr>
              <w:jc w:val="right"/>
            </w:pPr>
            <w:r>
              <w:rPr>
                <w:rFonts w:ascii="Calibri" w:hAnsi="Calibri"/>
                <w:b w:val="0"/>
                <w:i w:val="0"/>
                <w:sz w:val="17"/>
              </w:rPr>
              <w:t>-11%</w:t>
            </w:r>
          </w:p>
        </w:tc>
        <w:tc>
          <w:tcPr>
            <w:tcW w:type="dxa" w:w="1584"/>
          </w:tcPr>
          <w:p>
            <w:pPr>
              <w:jc w:val="right"/>
            </w:pPr>
            <w:r>
              <w:rPr>
                <w:rFonts w:ascii="Calibri" w:hAnsi="Calibri"/>
                <w:b w:val="0"/>
                <w:i w:val="0"/>
                <w:sz w:val="17"/>
              </w:rPr>
              <w:t>0.19</w:t>
            </w:r>
          </w:p>
        </w:tc>
      </w:tr>
      <w:tr>
        <w:tc>
          <w:tcPr>
            <w:tcW w:type="dxa" w:w="1584"/>
            <w:shd w:val="clear" w:fill="F2F5FB"/>
          </w:tcPr>
          <w:p>
            <w:pPr>
              <w:jc w:val="left"/>
            </w:pPr>
            <w:r>
              <w:rPr>
                <w:rFonts w:ascii="Calibri" w:hAnsi="Calibri"/>
                <w:b w:val="0"/>
                <w:i w:val="0"/>
                <w:sz w:val="17"/>
              </w:rPr>
              <w:t>FY22</w:t>
            </w:r>
          </w:p>
        </w:tc>
        <w:tc>
          <w:tcPr>
            <w:tcW w:type="dxa" w:w="1872"/>
            <w:shd w:val="clear" w:fill="F2F5FB"/>
          </w:tcPr>
          <w:p>
            <w:pPr>
              <w:jc w:val="right"/>
            </w:pPr>
            <w:r>
              <w:rPr>
                <w:rFonts w:ascii="Calibri" w:hAnsi="Calibri"/>
                <w:b w:val="0"/>
                <w:i w:val="0"/>
                <w:sz w:val="17"/>
              </w:rPr>
              <w:t>3.9%</w:t>
            </w:r>
          </w:p>
        </w:tc>
        <w:tc>
          <w:tcPr>
            <w:tcW w:type="dxa" w:w="1584"/>
            <w:shd w:val="clear" w:fill="F2F5FB"/>
          </w:tcPr>
          <w:p>
            <w:pPr>
              <w:jc w:val="right"/>
            </w:pPr>
            <w:r>
              <w:rPr>
                <w:rFonts w:ascii="Calibri" w:hAnsi="Calibri"/>
                <w:b w:val="0"/>
                <w:i w:val="0"/>
                <w:sz w:val="17"/>
              </w:rPr>
              <w:t>2%</w:t>
            </w:r>
          </w:p>
        </w:tc>
        <w:tc>
          <w:tcPr>
            <w:tcW w:type="dxa" w:w="1584"/>
            <w:shd w:val="clear" w:fill="F2F5FB"/>
          </w:tcPr>
          <w:p>
            <w:pPr>
              <w:jc w:val="right"/>
            </w:pPr>
            <w:r>
              <w:rPr>
                <w:rFonts w:ascii="Calibri" w:hAnsi="Calibri"/>
                <w:b w:val="0"/>
                <w:i w:val="0"/>
                <w:sz w:val="17"/>
              </w:rPr>
              <w:t>2%</w:t>
            </w:r>
          </w:p>
        </w:tc>
        <w:tc>
          <w:tcPr>
            <w:tcW w:type="dxa" w:w="1584"/>
            <w:shd w:val="clear" w:fill="F2F5FB"/>
          </w:tcPr>
          <w:p>
            <w:pPr>
              <w:jc w:val="right"/>
            </w:pPr>
            <w:r>
              <w:rPr>
                <w:rFonts w:ascii="Calibri" w:hAnsi="Calibri"/>
                <w:b w:val="0"/>
                <w:i w:val="0"/>
                <w:sz w:val="17"/>
              </w:rPr>
              <w:t>0.18</w:t>
            </w:r>
          </w:p>
        </w:tc>
      </w:tr>
      <w:tr>
        <w:tc>
          <w:tcPr>
            <w:tcW w:type="dxa" w:w="1584"/>
          </w:tcPr>
          <w:p>
            <w:pPr>
              <w:jc w:val="left"/>
            </w:pPr>
            <w:r>
              <w:rPr>
                <w:rFonts w:ascii="Calibri" w:hAnsi="Calibri"/>
                <w:b w:val="0"/>
                <w:i w:val="0"/>
                <w:sz w:val="17"/>
              </w:rPr>
              <w:t>FY23</w:t>
            </w:r>
          </w:p>
        </w:tc>
        <w:tc>
          <w:tcPr>
            <w:tcW w:type="dxa" w:w="1872"/>
          </w:tcPr>
          <w:p>
            <w:pPr>
              <w:jc w:val="right"/>
            </w:pPr>
            <w:r>
              <w:rPr>
                <w:rFonts w:ascii="Calibri" w:hAnsi="Calibri"/>
                <w:b w:val="0"/>
                <w:i w:val="0"/>
                <w:sz w:val="17"/>
              </w:rPr>
              <w:t>4.5%</w:t>
            </w:r>
          </w:p>
        </w:tc>
        <w:tc>
          <w:tcPr>
            <w:tcW w:type="dxa" w:w="1584"/>
          </w:tcPr>
          <w:p>
            <w:pPr>
              <w:jc w:val="right"/>
            </w:pPr>
            <w:r>
              <w:rPr>
                <w:rFonts w:ascii="Calibri" w:hAnsi="Calibri"/>
                <w:b w:val="0"/>
                <w:i w:val="0"/>
                <w:sz w:val="17"/>
              </w:rPr>
              <w:t>2%</w:t>
            </w:r>
          </w:p>
        </w:tc>
        <w:tc>
          <w:tcPr>
            <w:tcW w:type="dxa" w:w="1584"/>
          </w:tcPr>
          <w:p>
            <w:pPr>
              <w:jc w:val="right"/>
            </w:pPr>
            <w:r>
              <w:rPr>
                <w:rFonts w:ascii="Calibri" w:hAnsi="Calibri"/>
                <w:b w:val="0"/>
                <w:i w:val="0"/>
                <w:sz w:val="17"/>
              </w:rPr>
              <w:t>2%</w:t>
            </w:r>
          </w:p>
        </w:tc>
        <w:tc>
          <w:tcPr>
            <w:tcW w:type="dxa" w:w="1584"/>
          </w:tcPr>
          <w:p>
            <w:pPr>
              <w:jc w:val="right"/>
            </w:pPr>
            <w:r>
              <w:rPr>
                <w:rFonts w:ascii="Calibri" w:hAnsi="Calibri"/>
                <w:b w:val="0"/>
                <w:i w:val="0"/>
                <w:sz w:val="17"/>
              </w:rPr>
              <w:t>0.20</w:t>
            </w:r>
          </w:p>
        </w:tc>
      </w:tr>
      <w:tr>
        <w:tc>
          <w:tcPr>
            <w:tcW w:type="dxa" w:w="1584"/>
            <w:shd w:val="clear" w:fill="F2F5FB"/>
          </w:tcPr>
          <w:p>
            <w:pPr>
              <w:jc w:val="left"/>
            </w:pPr>
            <w:r>
              <w:rPr>
                <w:rFonts w:ascii="Calibri" w:hAnsi="Calibri"/>
                <w:b w:val="0"/>
                <w:i w:val="0"/>
                <w:sz w:val="17"/>
              </w:rPr>
              <w:t>FY24</w:t>
            </w:r>
          </w:p>
        </w:tc>
        <w:tc>
          <w:tcPr>
            <w:tcW w:type="dxa" w:w="1872"/>
            <w:shd w:val="clear" w:fill="F2F5FB"/>
          </w:tcPr>
          <w:p>
            <w:pPr>
              <w:jc w:val="right"/>
            </w:pPr>
            <w:r>
              <w:rPr>
                <w:rFonts w:ascii="Calibri" w:hAnsi="Calibri"/>
                <w:b w:val="0"/>
                <w:i w:val="0"/>
                <w:sz w:val="17"/>
              </w:rPr>
              <w:t>3.0%</w:t>
            </w:r>
          </w:p>
        </w:tc>
        <w:tc>
          <w:tcPr>
            <w:tcW w:type="dxa" w:w="1584"/>
            <w:shd w:val="clear" w:fill="F2F5FB"/>
          </w:tcPr>
          <w:p>
            <w:pPr>
              <w:jc w:val="right"/>
            </w:pPr>
            <w:r>
              <w:rPr>
                <w:rFonts w:ascii="Calibri" w:hAnsi="Calibri"/>
                <w:b w:val="0"/>
                <w:i w:val="0"/>
                <w:sz w:val="17"/>
              </w:rPr>
              <w:t>1%</w:t>
            </w:r>
          </w:p>
        </w:tc>
        <w:tc>
          <w:tcPr>
            <w:tcW w:type="dxa" w:w="1584"/>
            <w:shd w:val="clear" w:fill="F2F5FB"/>
          </w:tcPr>
          <w:p>
            <w:pPr>
              <w:jc w:val="right"/>
            </w:pPr>
            <w:r>
              <w:rPr>
                <w:rFonts w:ascii="Calibri" w:hAnsi="Calibri"/>
                <w:b w:val="0"/>
                <w:i w:val="0"/>
                <w:sz w:val="17"/>
              </w:rPr>
              <w:t>1%</w:t>
            </w:r>
          </w:p>
        </w:tc>
        <w:tc>
          <w:tcPr>
            <w:tcW w:type="dxa" w:w="1584"/>
            <w:shd w:val="clear" w:fill="F2F5FB"/>
          </w:tcPr>
          <w:p>
            <w:pPr>
              <w:jc w:val="right"/>
            </w:pPr>
            <w:r>
              <w:rPr>
                <w:rFonts w:ascii="Calibri" w:hAnsi="Calibri"/>
                <w:b w:val="0"/>
                <w:i w:val="0"/>
                <w:sz w:val="17"/>
              </w:rPr>
              <w:t>0.36</w:t>
            </w:r>
          </w:p>
        </w:tc>
      </w:tr>
      <w:tr>
        <w:tc>
          <w:tcPr>
            <w:tcW w:type="dxa" w:w="1584"/>
          </w:tcPr>
          <w:p>
            <w:pPr>
              <w:jc w:val="left"/>
            </w:pPr>
            <w:r>
              <w:rPr>
                <w:rFonts w:ascii="Calibri" w:hAnsi="Calibri"/>
                <w:b w:val="0"/>
                <w:i w:val="0"/>
                <w:sz w:val="17"/>
              </w:rPr>
              <w:t>FY25</w:t>
            </w:r>
          </w:p>
        </w:tc>
        <w:tc>
          <w:tcPr>
            <w:tcW w:type="dxa" w:w="1872"/>
          </w:tcPr>
          <w:p>
            <w:pPr>
              <w:jc w:val="right"/>
            </w:pPr>
            <w:r>
              <w:rPr>
                <w:rFonts w:ascii="Calibri" w:hAnsi="Calibri"/>
                <w:b w:val="0"/>
                <w:i w:val="0"/>
                <w:sz w:val="17"/>
              </w:rPr>
              <w:t>4.9%</w:t>
            </w:r>
          </w:p>
        </w:tc>
        <w:tc>
          <w:tcPr>
            <w:tcW w:type="dxa" w:w="1584"/>
          </w:tcPr>
          <w:p>
            <w:pPr>
              <w:jc w:val="right"/>
            </w:pPr>
            <w:r>
              <w:rPr>
                <w:rFonts w:ascii="Calibri" w:hAnsi="Calibri"/>
                <w:b w:val="0"/>
                <w:i w:val="0"/>
                <w:sz w:val="17"/>
              </w:rPr>
              <w:t>2%</w:t>
            </w:r>
          </w:p>
        </w:tc>
        <w:tc>
          <w:tcPr>
            <w:tcW w:type="dxa" w:w="1584"/>
          </w:tcPr>
          <w:p>
            <w:pPr>
              <w:jc w:val="right"/>
            </w:pPr>
            <w:r>
              <w:rPr>
                <w:rFonts w:ascii="Calibri" w:hAnsi="Calibri"/>
                <w:b w:val="0"/>
                <w:i w:val="0"/>
                <w:sz w:val="17"/>
              </w:rPr>
              <w:t>3%</w:t>
            </w:r>
          </w:p>
        </w:tc>
        <w:tc>
          <w:tcPr>
            <w:tcW w:type="dxa" w:w="1584"/>
          </w:tcPr>
          <w:p>
            <w:pPr>
              <w:jc w:val="right"/>
            </w:pPr>
            <w:r>
              <w:rPr>
                <w:rFonts w:ascii="Calibri" w:hAnsi="Calibri"/>
                <w:b w:val="0"/>
                <w:i w:val="0"/>
                <w:sz w:val="17"/>
              </w:rPr>
              <w:t>0.36</w:t>
            </w:r>
          </w:p>
        </w:tc>
      </w:tr>
      <w:tr>
        <w:tc>
          <w:tcPr>
            <w:tcW w:type="dxa" w:w="1584"/>
            <w:shd w:val="clear" w:fill="F2F5FB"/>
          </w:tcPr>
          <w:p>
            <w:pPr>
              <w:jc w:val="left"/>
            </w:pPr>
            <w:r>
              <w:rPr>
                <w:rFonts w:ascii="Calibri" w:hAnsi="Calibri"/>
                <w:b w:val="0"/>
                <w:i w:val="0"/>
                <w:sz w:val="17"/>
              </w:rPr>
              <w:t>FY26</w:t>
            </w:r>
          </w:p>
        </w:tc>
        <w:tc>
          <w:tcPr>
            <w:tcW w:type="dxa" w:w="1872"/>
            <w:shd w:val="clear" w:fill="F2F5FB"/>
          </w:tcPr>
          <w:p>
            <w:pPr>
              <w:jc w:val="right"/>
            </w:pPr>
            <w:r>
              <w:rPr>
                <w:rFonts w:ascii="Calibri" w:hAnsi="Calibri"/>
                <w:b w:val="0"/>
                <w:i w:val="0"/>
                <w:sz w:val="17"/>
              </w:rPr>
              <w:t>6.9%</w:t>
            </w:r>
          </w:p>
        </w:tc>
        <w:tc>
          <w:tcPr>
            <w:tcW w:type="dxa" w:w="1584"/>
            <w:shd w:val="clear" w:fill="F2F5FB"/>
          </w:tcPr>
          <w:p>
            <w:pPr>
              <w:jc w:val="right"/>
            </w:pPr>
            <w:r>
              <w:rPr>
                <w:rFonts w:ascii="Calibri" w:hAnsi="Calibri"/>
                <w:b w:val="0"/>
                <w:i w:val="0"/>
                <w:sz w:val="17"/>
              </w:rPr>
              <w:t>6%</w:t>
            </w:r>
          </w:p>
        </w:tc>
        <w:tc>
          <w:tcPr>
            <w:tcW w:type="dxa" w:w="1584"/>
            <w:shd w:val="clear" w:fill="F2F5FB"/>
          </w:tcPr>
          <w:p>
            <w:pPr>
              <w:jc w:val="right"/>
            </w:pPr>
            <w:r>
              <w:rPr>
                <w:rFonts w:ascii="Calibri" w:hAnsi="Calibri"/>
                <w:b w:val="0"/>
                <w:i w:val="0"/>
                <w:sz w:val="17"/>
              </w:rPr>
              <w:t>6%</w:t>
            </w:r>
          </w:p>
        </w:tc>
        <w:tc>
          <w:tcPr>
            <w:tcW w:type="dxa" w:w="1584"/>
            <w:shd w:val="clear" w:fill="F2F5FB"/>
          </w:tcPr>
          <w:p>
            <w:pPr>
              <w:jc w:val="right"/>
            </w:pPr>
            <w:r>
              <w:rPr>
                <w:rFonts w:ascii="Calibri" w:hAnsi="Calibri"/>
                <w:b w:val="0"/>
                <w:i w:val="0"/>
                <w:sz w:val="17"/>
              </w:rPr>
              <w:t>0.31</w:t>
            </w:r>
          </w:p>
        </w:tc>
      </w:tr>
      <w:tr>
        <w:tc>
          <w:tcPr>
            <w:tcW w:type="dxa" w:w="1584"/>
          </w:tcPr>
          <w:p>
            <w:pPr>
              <w:jc w:val="left"/>
            </w:pPr>
            <w:r>
              <w:rPr>
                <w:rFonts w:ascii="Calibri" w:hAnsi="Calibri"/>
                <w:b w:val="0"/>
                <w:i w:val="0"/>
                <w:sz w:val="17"/>
              </w:rPr>
              <w:t>FY27E</w:t>
            </w:r>
          </w:p>
        </w:tc>
        <w:tc>
          <w:tcPr>
            <w:tcW w:type="dxa" w:w="1872"/>
          </w:tcPr>
          <w:p>
            <w:pPr>
              <w:jc w:val="right"/>
            </w:pPr>
            <w:r>
              <w:rPr>
                <w:rFonts w:ascii="Calibri" w:hAnsi="Calibri"/>
                <w:b w:val="0"/>
                <w:i w:val="0"/>
                <w:sz w:val="17"/>
              </w:rPr>
              <w:t>7.5%</w:t>
            </w:r>
          </w:p>
        </w:tc>
        <w:tc>
          <w:tcPr>
            <w:tcW w:type="dxa" w:w="1584"/>
          </w:tcPr>
          <w:p>
            <w:pPr>
              <w:jc w:val="right"/>
            </w:pPr>
            <w:r>
              <w:rPr>
                <w:rFonts w:ascii="Calibri" w:hAnsi="Calibri"/>
                <w:b w:val="0"/>
                <w:i w:val="0"/>
                <w:sz w:val="17"/>
              </w:rPr>
              <w:t>8%</w:t>
            </w:r>
          </w:p>
        </w:tc>
        <w:tc>
          <w:tcPr>
            <w:tcW w:type="dxa" w:w="1584"/>
          </w:tcPr>
          <w:p>
            <w:pPr>
              <w:jc w:val="right"/>
            </w:pPr>
            <w:r>
              <w:rPr>
                <w:rFonts w:ascii="Calibri" w:hAnsi="Calibri"/>
                <w:b w:val="0"/>
                <w:i w:val="0"/>
                <w:sz w:val="17"/>
              </w:rPr>
              <w:t>8%</w:t>
            </w:r>
          </w:p>
        </w:tc>
        <w:tc>
          <w:tcPr>
            <w:tcW w:type="dxa" w:w="1584"/>
          </w:tcPr>
          <w:p>
            <w:pPr>
              <w:jc w:val="right"/>
            </w:pPr>
            <w:r>
              <w:rPr>
                <w:rFonts w:ascii="Calibri" w:hAnsi="Calibri"/>
                <w:b w:val="0"/>
                <w:i w:val="0"/>
                <w:sz w:val="17"/>
              </w:rPr>
              <w:t>0.26</w:t>
            </w:r>
          </w:p>
        </w:tc>
      </w:tr>
      <w:tr>
        <w:tc>
          <w:tcPr>
            <w:tcW w:type="dxa" w:w="1584"/>
            <w:shd w:val="clear" w:fill="F2F5FB"/>
          </w:tcPr>
          <w:p>
            <w:pPr>
              <w:jc w:val="left"/>
            </w:pPr>
            <w:r>
              <w:rPr>
                <w:rFonts w:ascii="Calibri" w:hAnsi="Calibri"/>
                <w:b w:val="0"/>
                <w:i w:val="0"/>
                <w:sz w:val="17"/>
              </w:rPr>
              <w:t>FY28E</w:t>
            </w:r>
          </w:p>
        </w:tc>
        <w:tc>
          <w:tcPr>
            <w:tcW w:type="dxa" w:w="1872"/>
            <w:shd w:val="clear" w:fill="F2F5FB"/>
          </w:tcPr>
          <w:p>
            <w:pPr>
              <w:jc w:val="right"/>
            </w:pPr>
            <w:r>
              <w:rPr>
                <w:rFonts w:ascii="Calibri" w:hAnsi="Calibri"/>
                <w:b w:val="0"/>
                <w:i w:val="0"/>
                <w:sz w:val="17"/>
              </w:rPr>
              <w:t>8.5%</w:t>
            </w:r>
          </w:p>
        </w:tc>
        <w:tc>
          <w:tcPr>
            <w:tcW w:type="dxa" w:w="1584"/>
            <w:shd w:val="clear" w:fill="F2F5FB"/>
          </w:tcPr>
          <w:p>
            <w:pPr>
              <w:jc w:val="right"/>
            </w:pPr>
            <w:r>
              <w:rPr>
                <w:rFonts w:ascii="Calibri" w:hAnsi="Calibri"/>
                <w:b w:val="0"/>
                <w:i w:val="0"/>
                <w:sz w:val="17"/>
              </w:rPr>
              <w:t>11%</w:t>
            </w:r>
          </w:p>
        </w:tc>
        <w:tc>
          <w:tcPr>
            <w:tcW w:type="dxa" w:w="1584"/>
            <w:shd w:val="clear" w:fill="F2F5FB"/>
          </w:tcPr>
          <w:p>
            <w:pPr>
              <w:jc w:val="right"/>
            </w:pPr>
            <w:r>
              <w:rPr>
                <w:rFonts w:ascii="Calibri" w:hAnsi="Calibri"/>
                <w:b w:val="0"/>
                <w:i w:val="0"/>
                <w:sz w:val="17"/>
              </w:rPr>
              <w:t>11%</w:t>
            </w:r>
          </w:p>
        </w:tc>
        <w:tc>
          <w:tcPr>
            <w:tcW w:type="dxa" w:w="1584"/>
            <w:shd w:val="clear" w:fill="F2F5FB"/>
          </w:tcPr>
          <w:p>
            <w:pPr>
              <w:jc w:val="right"/>
            </w:pPr>
            <w:r>
              <w:rPr>
                <w:rFonts w:ascii="Calibri" w:hAnsi="Calibri"/>
                <w:b w:val="0"/>
                <w:i w:val="0"/>
                <w:sz w:val="17"/>
              </w:rPr>
              <w:t>0.21</w:t>
            </w:r>
          </w:p>
        </w:tc>
      </w:tr>
      <w:tr>
        <w:tc>
          <w:tcPr>
            <w:tcW w:type="dxa" w:w="1584"/>
          </w:tcPr>
          <w:p>
            <w:pPr>
              <w:jc w:val="left"/>
            </w:pPr>
            <w:r>
              <w:rPr>
                <w:rFonts w:ascii="Calibri" w:hAnsi="Calibri"/>
                <w:b w:val="0"/>
                <w:i w:val="0"/>
                <w:sz w:val="17"/>
              </w:rPr>
              <w:t>FY29E</w:t>
            </w:r>
          </w:p>
        </w:tc>
        <w:tc>
          <w:tcPr>
            <w:tcW w:type="dxa" w:w="1872"/>
          </w:tcPr>
          <w:p>
            <w:pPr>
              <w:jc w:val="right"/>
            </w:pPr>
            <w:r>
              <w:rPr>
                <w:rFonts w:ascii="Calibri" w:hAnsi="Calibri"/>
                <w:b w:val="0"/>
                <w:i w:val="0"/>
                <w:sz w:val="17"/>
              </w:rPr>
              <w:t>9.5%</w:t>
            </w:r>
          </w:p>
        </w:tc>
        <w:tc>
          <w:tcPr>
            <w:tcW w:type="dxa" w:w="1584"/>
          </w:tcPr>
          <w:p>
            <w:pPr>
              <w:jc w:val="right"/>
            </w:pPr>
            <w:r>
              <w:rPr>
                <w:rFonts w:ascii="Calibri" w:hAnsi="Calibri"/>
                <w:b w:val="0"/>
                <w:i w:val="0"/>
                <w:sz w:val="17"/>
              </w:rPr>
              <w:t>13%</w:t>
            </w:r>
          </w:p>
        </w:tc>
        <w:tc>
          <w:tcPr>
            <w:tcW w:type="dxa" w:w="1584"/>
          </w:tcPr>
          <w:p>
            <w:pPr>
              <w:jc w:val="right"/>
            </w:pPr>
            <w:r>
              <w:rPr>
                <w:rFonts w:ascii="Calibri" w:hAnsi="Calibri"/>
                <w:b w:val="0"/>
                <w:i w:val="0"/>
                <w:sz w:val="17"/>
              </w:rPr>
              <w:t>13%</w:t>
            </w:r>
          </w:p>
        </w:tc>
        <w:tc>
          <w:tcPr>
            <w:tcW w:type="dxa" w:w="1584"/>
          </w:tcPr>
          <w:p>
            <w:pPr>
              <w:jc w:val="right"/>
            </w:pPr>
            <w:r>
              <w:rPr>
                <w:rFonts w:ascii="Calibri" w:hAnsi="Calibri"/>
                <w:b w:val="0"/>
                <w:i w:val="0"/>
                <w:sz w:val="17"/>
              </w:rPr>
              <w:t>0.16</w:t>
            </w:r>
          </w:p>
        </w:tc>
      </w:tr>
      <w:tr>
        <w:tc>
          <w:tcPr>
            <w:tcW w:type="dxa" w:w="1584"/>
            <w:shd w:val="clear" w:fill="F2F5FB"/>
          </w:tcPr>
          <w:p>
            <w:pPr>
              <w:jc w:val="left"/>
            </w:pPr>
            <w:r>
              <w:rPr>
                <w:rFonts w:ascii="Calibri" w:hAnsi="Calibri"/>
                <w:b w:val="0"/>
                <w:i w:val="0"/>
                <w:sz w:val="17"/>
              </w:rPr>
              <w:t>FY30E</w:t>
            </w:r>
          </w:p>
        </w:tc>
        <w:tc>
          <w:tcPr>
            <w:tcW w:type="dxa" w:w="1872"/>
            <w:shd w:val="clear" w:fill="F2F5FB"/>
          </w:tcPr>
          <w:p>
            <w:pPr>
              <w:jc w:val="right"/>
            </w:pPr>
            <w:r>
              <w:rPr>
                <w:rFonts w:ascii="Calibri" w:hAnsi="Calibri"/>
                <w:b w:val="0"/>
                <w:i w:val="0"/>
                <w:sz w:val="17"/>
              </w:rPr>
              <w:t>10.5%</w:t>
            </w:r>
          </w:p>
        </w:tc>
        <w:tc>
          <w:tcPr>
            <w:tcW w:type="dxa" w:w="1584"/>
            <w:shd w:val="clear" w:fill="F2F5FB"/>
          </w:tcPr>
          <w:p>
            <w:pPr>
              <w:jc w:val="right"/>
            </w:pPr>
            <w:r>
              <w:rPr>
                <w:rFonts w:ascii="Calibri" w:hAnsi="Calibri"/>
                <w:b w:val="0"/>
                <w:i w:val="0"/>
                <w:sz w:val="17"/>
              </w:rPr>
              <w:t>15%</w:t>
            </w:r>
          </w:p>
        </w:tc>
        <w:tc>
          <w:tcPr>
            <w:tcW w:type="dxa" w:w="1584"/>
            <w:shd w:val="clear" w:fill="F2F5FB"/>
          </w:tcPr>
          <w:p>
            <w:pPr>
              <w:jc w:val="right"/>
            </w:pPr>
            <w:r>
              <w:rPr>
                <w:rFonts w:ascii="Calibri" w:hAnsi="Calibri"/>
                <w:b w:val="0"/>
                <w:i w:val="0"/>
                <w:sz w:val="17"/>
              </w:rPr>
              <w:t>15%</w:t>
            </w:r>
          </w:p>
        </w:tc>
        <w:tc>
          <w:tcPr>
            <w:tcW w:type="dxa" w:w="1584"/>
            <w:shd w:val="clear" w:fill="F2F5FB"/>
          </w:tcPr>
          <w:p>
            <w:pPr>
              <w:jc w:val="right"/>
            </w:pPr>
            <w:r>
              <w:rPr>
                <w:rFonts w:ascii="Calibri" w:hAnsi="Calibri"/>
                <w:b w:val="0"/>
                <w:i w:val="0"/>
                <w:sz w:val="17"/>
              </w:rPr>
              <w:t>0.12</w:t>
            </w:r>
          </w:p>
        </w:tc>
      </w:tr>
      <w:tr>
        <w:tc>
          <w:tcPr>
            <w:tcW w:type="dxa" w:w="1584"/>
          </w:tcPr>
          <w:p>
            <w:pPr>
              <w:jc w:val="left"/>
            </w:pPr>
            <w:r>
              <w:rPr>
                <w:rFonts w:ascii="Calibri" w:hAnsi="Calibri"/>
                <w:b w:val="0"/>
                <w:i w:val="0"/>
                <w:sz w:val="17"/>
              </w:rPr>
              <w:t>FY31E</w:t>
            </w:r>
          </w:p>
        </w:tc>
        <w:tc>
          <w:tcPr>
            <w:tcW w:type="dxa" w:w="1872"/>
          </w:tcPr>
          <w:p>
            <w:pPr>
              <w:jc w:val="right"/>
            </w:pPr>
            <w:r>
              <w:rPr>
                <w:rFonts w:ascii="Calibri" w:hAnsi="Calibri"/>
                <w:b w:val="0"/>
                <w:i w:val="0"/>
                <w:sz w:val="17"/>
              </w:rPr>
              <w:t>11.0%</w:t>
            </w:r>
          </w:p>
        </w:tc>
        <w:tc>
          <w:tcPr>
            <w:tcW w:type="dxa" w:w="1584"/>
          </w:tcPr>
          <w:p>
            <w:pPr>
              <w:jc w:val="right"/>
            </w:pPr>
            <w:r>
              <w:rPr>
                <w:rFonts w:ascii="Calibri" w:hAnsi="Calibri"/>
                <w:b w:val="0"/>
                <w:i w:val="0"/>
                <w:sz w:val="17"/>
              </w:rPr>
              <w:t>16%</w:t>
            </w:r>
          </w:p>
        </w:tc>
        <w:tc>
          <w:tcPr>
            <w:tcW w:type="dxa" w:w="1584"/>
          </w:tcPr>
          <w:p>
            <w:pPr>
              <w:jc w:val="right"/>
            </w:pPr>
            <w:r>
              <w:rPr>
                <w:rFonts w:ascii="Calibri" w:hAnsi="Calibri"/>
                <w:b w:val="0"/>
                <w:i w:val="0"/>
                <w:sz w:val="17"/>
              </w:rPr>
              <w:t>17%</w:t>
            </w:r>
          </w:p>
        </w:tc>
        <w:tc>
          <w:tcPr>
            <w:tcW w:type="dxa" w:w="1584"/>
          </w:tcPr>
          <w:p>
            <w:pPr>
              <w:jc w:val="right"/>
            </w:pPr>
            <w:r>
              <w:rPr>
                <w:rFonts w:ascii="Calibri" w:hAnsi="Calibri"/>
                <w:b w:val="0"/>
                <w:i w:val="0"/>
                <w:sz w:val="17"/>
              </w:rPr>
              <w:t>0.08</w:t>
            </w:r>
          </w:p>
        </w:tc>
      </w:tr>
      <w:tr>
        <w:tc>
          <w:tcPr>
            <w:tcW w:type="dxa" w:w="1584"/>
            <w:shd w:val="clear" w:fill="F2F5FB"/>
          </w:tcPr>
          <w:p>
            <w:pPr>
              <w:jc w:val="left"/>
            </w:pPr>
            <w:r>
              <w:rPr>
                <w:rFonts w:ascii="Calibri" w:hAnsi="Calibri"/>
                <w:b w:val="0"/>
                <w:i w:val="0"/>
                <w:sz w:val="17"/>
              </w:rPr>
              <w:t>FY32E</w:t>
            </w:r>
          </w:p>
        </w:tc>
        <w:tc>
          <w:tcPr>
            <w:tcW w:type="dxa" w:w="1872"/>
            <w:shd w:val="clear" w:fill="F2F5FB"/>
          </w:tcPr>
          <w:p>
            <w:pPr>
              <w:jc w:val="right"/>
            </w:pPr>
            <w:r>
              <w:rPr>
                <w:rFonts w:ascii="Calibri" w:hAnsi="Calibri"/>
                <w:b w:val="0"/>
                <w:i w:val="0"/>
                <w:sz w:val="17"/>
              </w:rPr>
              <w:t>11.5%</w:t>
            </w:r>
          </w:p>
        </w:tc>
        <w:tc>
          <w:tcPr>
            <w:tcW w:type="dxa" w:w="1584"/>
            <w:shd w:val="clear" w:fill="F2F5FB"/>
          </w:tcPr>
          <w:p>
            <w:pPr>
              <w:jc w:val="right"/>
            </w:pPr>
            <w:r>
              <w:rPr>
                <w:rFonts w:ascii="Calibri" w:hAnsi="Calibri"/>
                <w:b w:val="0"/>
                <w:i w:val="0"/>
                <w:sz w:val="17"/>
              </w:rPr>
              <w:t>16%</w:t>
            </w:r>
          </w:p>
        </w:tc>
        <w:tc>
          <w:tcPr>
            <w:tcW w:type="dxa" w:w="1584"/>
            <w:shd w:val="clear" w:fill="F2F5FB"/>
          </w:tcPr>
          <w:p>
            <w:pPr>
              <w:jc w:val="right"/>
            </w:pPr>
            <w:r>
              <w:rPr>
                <w:rFonts w:ascii="Calibri" w:hAnsi="Calibri"/>
                <w:b w:val="0"/>
                <w:i w:val="0"/>
                <w:sz w:val="17"/>
              </w:rPr>
              <w:t>17%</w:t>
            </w:r>
          </w:p>
        </w:tc>
        <w:tc>
          <w:tcPr>
            <w:tcW w:type="dxa" w:w="1584"/>
            <w:shd w:val="clear" w:fill="F2F5FB"/>
          </w:tcPr>
          <w:p>
            <w:pPr>
              <w:jc w:val="right"/>
            </w:pPr>
            <w:r>
              <w:rPr>
                <w:rFonts w:ascii="Calibri" w:hAnsi="Calibri"/>
                <w:b w:val="0"/>
                <w:i w:val="0"/>
                <w:sz w:val="17"/>
              </w:rPr>
              <w:t>0.05</w:t>
            </w:r>
          </w:p>
        </w:tc>
      </w:tr>
      <w:tr>
        <w:tc>
          <w:tcPr>
            <w:tcW w:type="dxa" w:w="1584"/>
          </w:tcPr>
          <w:p>
            <w:pPr>
              <w:jc w:val="left"/>
            </w:pPr>
            <w:r>
              <w:rPr>
                <w:rFonts w:ascii="Calibri" w:hAnsi="Calibri"/>
                <w:b w:val="0"/>
                <w:i w:val="0"/>
                <w:sz w:val="17"/>
              </w:rPr>
              <w:t>FY33E</w:t>
            </w:r>
          </w:p>
        </w:tc>
        <w:tc>
          <w:tcPr>
            <w:tcW w:type="dxa" w:w="1872"/>
          </w:tcPr>
          <w:p>
            <w:pPr>
              <w:jc w:val="right"/>
            </w:pPr>
            <w:r>
              <w:rPr>
                <w:rFonts w:ascii="Calibri" w:hAnsi="Calibri"/>
                <w:b w:val="0"/>
                <w:i w:val="0"/>
                <w:sz w:val="17"/>
              </w:rPr>
              <w:t>12.0%</w:t>
            </w:r>
          </w:p>
        </w:tc>
        <w:tc>
          <w:tcPr>
            <w:tcW w:type="dxa" w:w="1584"/>
          </w:tcPr>
          <w:p>
            <w:pPr>
              <w:jc w:val="right"/>
            </w:pPr>
            <w:r>
              <w:rPr>
                <w:rFonts w:ascii="Calibri" w:hAnsi="Calibri"/>
                <w:b w:val="0"/>
                <w:i w:val="0"/>
                <w:sz w:val="17"/>
              </w:rPr>
              <w:t>17%</w:t>
            </w:r>
          </w:p>
        </w:tc>
        <w:tc>
          <w:tcPr>
            <w:tcW w:type="dxa" w:w="1584"/>
          </w:tcPr>
          <w:p>
            <w:pPr>
              <w:jc w:val="right"/>
            </w:pPr>
            <w:r>
              <w:rPr>
                <w:rFonts w:ascii="Calibri" w:hAnsi="Calibri"/>
                <w:b w:val="0"/>
                <w:i w:val="0"/>
                <w:sz w:val="17"/>
              </w:rPr>
              <w:t>18%</w:t>
            </w:r>
          </w:p>
        </w:tc>
        <w:tc>
          <w:tcPr>
            <w:tcW w:type="dxa" w:w="1584"/>
          </w:tcPr>
          <w:p>
            <w:pPr>
              <w:jc w:val="right"/>
            </w:pPr>
            <w:r>
              <w:rPr>
                <w:rFonts w:ascii="Calibri" w:hAnsi="Calibri"/>
                <w:b w:val="0"/>
                <w:i w:val="0"/>
                <w:sz w:val="17"/>
              </w:rPr>
              <w:t>0.02</w:t>
            </w:r>
          </w:p>
        </w:tc>
      </w:tr>
    </w:tbl>
    <w:p>
      <w:pPr>
        <w:spacing w:after="160" w:before="40"/>
      </w:pPr>
      <w:r>
        <w:rPr>
          <w:rFonts w:ascii="Calibri" w:hAnsi="Calibri"/>
          <w:b w:val="0"/>
          <w:i/>
          <w:color w:val="595959"/>
          <w:sz w:val="16"/>
        </w:rPr>
        <w:t>Source: author’s model (Ratio Analysis sheet).</w:t>
      </w:r>
    </w:p>
    <w:p>
      <w:r>
        <w:br w:type="page"/>
      </w:r>
    </w:p>
    <w:p>
      <w:pPr>
        <w:spacing w:after="160" w:before="40"/>
        <w:pBdr>
          <w:bottom w:val="single" w:sz="12" w:space="4" w:color="1F3864"/>
        </w:pBdr>
      </w:pPr>
      <w:r>
        <w:rPr>
          <w:rFonts w:ascii="Calibri" w:hAnsi="Calibri"/>
          <w:b/>
          <w:i w:val="0"/>
          <w:color w:val="1F3864"/>
          <w:sz w:val="32"/>
        </w:rPr>
        <w:t>Appendix C — Order Book &amp; Operational Drivers</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2448"/>
            <w:shd w:val="clear" w:fill="1F3864"/>
          </w:tcPr>
          <w:p>
            <w:pPr>
              <w:jc w:val="left"/>
            </w:pPr>
            <w:r>
              <w:rPr>
                <w:rFonts w:ascii="Calibri" w:hAnsi="Calibri"/>
                <w:b/>
                <w:i w:val="0"/>
                <w:color w:val="FFFFFF"/>
                <w:sz w:val="16"/>
              </w:rPr>
              <w:t>₹ crore (standalone)</w:t>
            </w:r>
          </w:p>
        </w:tc>
        <w:tc>
          <w:tcPr>
            <w:tcW w:type="dxa" w:w="1123"/>
            <w:shd w:val="clear" w:fill="1F3864"/>
          </w:tcPr>
          <w:p>
            <w:pPr>
              <w:jc w:val="center"/>
            </w:pPr>
            <w:r>
              <w:rPr>
                <w:rFonts w:ascii="Calibri" w:hAnsi="Calibri"/>
                <w:b/>
                <w:i w:val="0"/>
                <w:color w:val="FFFFFF"/>
                <w:sz w:val="16"/>
              </w:rPr>
              <w:t>FY20</w:t>
            </w:r>
          </w:p>
        </w:tc>
        <w:tc>
          <w:tcPr>
            <w:tcW w:type="dxa" w:w="1123"/>
            <w:shd w:val="clear" w:fill="1F3864"/>
          </w:tcPr>
          <w:p>
            <w:pPr>
              <w:jc w:val="center"/>
            </w:pPr>
            <w:r>
              <w:rPr>
                <w:rFonts w:ascii="Calibri" w:hAnsi="Calibri"/>
                <w:b/>
                <w:i w:val="0"/>
                <w:color w:val="FFFFFF"/>
                <w:sz w:val="16"/>
              </w:rPr>
              <w:t>FY22</w:t>
            </w:r>
          </w:p>
        </w:tc>
        <w:tc>
          <w:tcPr>
            <w:tcW w:type="dxa" w:w="1123"/>
            <w:shd w:val="clear" w:fill="1F3864"/>
          </w:tcPr>
          <w:p>
            <w:pPr>
              <w:jc w:val="center"/>
            </w:pPr>
            <w:r>
              <w:rPr>
                <w:rFonts w:ascii="Calibri" w:hAnsi="Calibri"/>
                <w:b/>
                <w:i w:val="0"/>
                <w:color w:val="FFFFFF"/>
                <w:sz w:val="16"/>
              </w:rPr>
              <w:t>FY23</w:t>
            </w:r>
          </w:p>
        </w:tc>
        <w:tc>
          <w:tcPr>
            <w:tcW w:type="dxa" w:w="1123"/>
            <w:shd w:val="clear" w:fill="1F3864"/>
          </w:tcPr>
          <w:p>
            <w:pPr>
              <w:jc w:val="center"/>
            </w:pPr>
            <w:r>
              <w:rPr>
                <w:rFonts w:ascii="Calibri" w:hAnsi="Calibri"/>
                <w:b/>
                <w:i w:val="0"/>
                <w:color w:val="FFFFFF"/>
                <w:sz w:val="16"/>
              </w:rPr>
              <w:t>FY24</w:t>
            </w:r>
          </w:p>
        </w:tc>
        <w:tc>
          <w:tcPr>
            <w:tcW w:type="dxa" w:w="1123"/>
            <w:shd w:val="clear" w:fill="1F3864"/>
          </w:tcPr>
          <w:p>
            <w:pPr>
              <w:jc w:val="center"/>
            </w:pPr>
            <w:r>
              <w:rPr>
                <w:rFonts w:ascii="Calibri" w:hAnsi="Calibri"/>
                <w:b/>
                <w:i w:val="0"/>
                <w:color w:val="FFFFFF"/>
                <w:sz w:val="16"/>
              </w:rPr>
              <w:t>FY25</w:t>
            </w:r>
          </w:p>
        </w:tc>
        <w:tc>
          <w:tcPr>
            <w:tcW w:type="dxa" w:w="1123"/>
            <w:shd w:val="clear" w:fill="1F3864"/>
          </w:tcPr>
          <w:p>
            <w:pPr>
              <w:jc w:val="center"/>
            </w:pPr>
            <w:r>
              <w:rPr>
                <w:rFonts w:ascii="Calibri" w:hAnsi="Calibri"/>
                <w:b/>
                <w:i w:val="0"/>
                <w:color w:val="FFFFFF"/>
                <w:sz w:val="16"/>
              </w:rPr>
              <w:t>FY26</w:t>
            </w:r>
          </w:p>
        </w:tc>
        <w:tc>
          <w:tcPr>
            <w:tcW w:type="dxa" w:w="1123"/>
            <w:shd w:val="clear" w:fill="1F3864"/>
          </w:tcPr>
          <w:p>
            <w:pPr>
              <w:jc w:val="center"/>
            </w:pPr>
            <w:r>
              <w:rPr>
                <w:rFonts w:ascii="Calibri" w:hAnsi="Calibri"/>
                <w:b/>
                <w:i w:val="0"/>
                <w:color w:val="FFFFFF"/>
                <w:sz w:val="16"/>
              </w:rPr>
              <w:t>FY27E</w:t>
            </w:r>
          </w:p>
        </w:tc>
      </w:tr>
      <w:tr>
        <w:tc>
          <w:tcPr>
            <w:tcW w:type="dxa" w:w="2448"/>
            <w:shd w:val="clear" w:fill="F2F5FB"/>
          </w:tcPr>
          <w:p>
            <w:pPr>
              <w:jc w:val="left"/>
            </w:pPr>
            <w:r>
              <w:rPr>
                <w:rFonts w:ascii="Calibri" w:hAnsi="Calibri"/>
                <w:b w:val="0"/>
                <w:i w:val="0"/>
                <w:sz w:val="16"/>
              </w:rPr>
              <w:t>Opening order book</w:t>
            </w:r>
          </w:p>
        </w:tc>
        <w:tc>
          <w:tcPr>
            <w:tcW w:type="dxa" w:w="1123"/>
            <w:shd w:val="clear" w:fill="F2F5FB"/>
          </w:tcPr>
          <w:p>
            <w:pPr>
              <w:jc w:val="right"/>
            </w:pPr>
            <w:r>
              <w:rPr>
                <w:rFonts w:ascii="Calibri" w:hAnsi="Calibri"/>
                <w:b w:val="0"/>
                <w:i w:val="0"/>
                <w:sz w:val="16"/>
              </w:rPr>
              <w:t>1,15,000</w:t>
            </w:r>
          </w:p>
        </w:tc>
        <w:tc>
          <w:tcPr>
            <w:tcW w:type="dxa" w:w="1123"/>
            <w:shd w:val="clear" w:fill="F2F5FB"/>
          </w:tcPr>
          <w:p>
            <w:pPr>
              <w:jc w:val="right"/>
            </w:pPr>
            <w:r>
              <w:rPr>
                <w:rFonts w:ascii="Calibri" w:hAnsi="Calibri"/>
                <w:b w:val="0"/>
                <w:i w:val="0"/>
                <w:sz w:val="16"/>
              </w:rPr>
              <w:t>1,02,000</w:t>
            </w:r>
          </w:p>
        </w:tc>
        <w:tc>
          <w:tcPr>
            <w:tcW w:type="dxa" w:w="1123"/>
            <w:shd w:val="clear" w:fill="F2F5FB"/>
          </w:tcPr>
          <w:p>
            <w:pPr>
              <w:jc w:val="right"/>
            </w:pPr>
            <w:r>
              <w:rPr>
                <w:rFonts w:ascii="Calibri" w:hAnsi="Calibri"/>
                <w:b w:val="0"/>
                <w:i w:val="0"/>
                <w:sz w:val="16"/>
              </w:rPr>
              <w:t>98,000</w:t>
            </w:r>
          </w:p>
        </w:tc>
        <w:tc>
          <w:tcPr>
            <w:tcW w:type="dxa" w:w="1123"/>
            <w:shd w:val="clear" w:fill="F2F5FB"/>
          </w:tcPr>
          <w:p>
            <w:pPr>
              <w:jc w:val="right"/>
            </w:pPr>
            <w:r>
              <w:rPr>
                <w:rFonts w:ascii="Calibri" w:hAnsi="Calibri"/>
                <w:b w:val="0"/>
                <w:i w:val="0"/>
                <w:sz w:val="16"/>
              </w:rPr>
              <w:t>91,336</w:t>
            </w:r>
          </w:p>
        </w:tc>
        <w:tc>
          <w:tcPr>
            <w:tcW w:type="dxa" w:w="1123"/>
            <w:shd w:val="clear" w:fill="F2F5FB"/>
          </w:tcPr>
          <w:p>
            <w:pPr>
              <w:jc w:val="right"/>
            </w:pPr>
            <w:r>
              <w:rPr>
                <w:rFonts w:ascii="Calibri" w:hAnsi="Calibri"/>
                <w:b w:val="0"/>
                <w:i w:val="0"/>
                <w:sz w:val="16"/>
              </w:rPr>
              <w:t>1,31,598</w:t>
            </w:r>
          </w:p>
        </w:tc>
        <w:tc>
          <w:tcPr>
            <w:tcW w:type="dxa" w:w="1123"/>
            <w:shd w:val="clear" w:fill="F2F5FB"/>
          </w:tcPr>
          <w:p>
            <w:pPr>
              <w:jc w:val="right"/>
            </w:pPr>
            <w:r>
              <w:rPr>
                <w:rFonts w:ascii="Calibri" w:hAnsi="Calibri"/>
                <w:b w:val="0"/>
                <w:i w:val="0"/>
                <w:sz w:val="16"/>
              </w:rPr>
              <w:t>1,96,328</w:t>
            </w:r>
          </w:p>
        </w:tc>
        <w:tc>
          <w:tcPr>
            <w:tcW w:type="dxa" w:w="1123"/>
            <w:shd w:val="clear" w:fill="F2F5FB"/>
          </w:tcPr>
          <w:p>
            <w:pPr>
              <w:jc w:val="right"/>
            </w:pPr>
            <w:r>
              <w:rPr>
                <w:rFonts w:ascii="Calibri" w:hAnsi="Calibri"/>
                <w:b w:val="0"/>
                <w:i w:val="0"/>
                <w:sz w:val="16"/>
              </w:rPr>
              <w:t>2,40,000</w:t>
            </w:r>
          </w:p>
        </w:tc>
      </w:tr>
      <w:tr>
        <w:tc>
          <w:tcPr>
            <w:tcW w:type="dxa" w:w="2448"/>
          </w:tcPr>
          <w:p>
            <w:pPr>
              <w:jc w:val="left"/>
            </w:pPr>
            <w:r>
              <w:rPr>
                <w:rFonts w:ascii="Calibri" w:hAnsi="Calibri"/>
                <w:b w:val="0"/>
                <w:i w:val="0"/>
                <w:sz w:val="16"/>
              </w:rPr>
              <w:t>New order inflow</w:t>
            </w:r>
          </w:p>
        </w:tc>
        <w:tc>
          <w:tcPr>
            <w:tcW w:type="dxa" w:w="1123"/>
          </w:tcPr>
          <w:p>
            <w:pPr>
              <w:jc w:val="right"/>
            </w:pPr>
            <w:r>
              <w:rPr>
                <w:rFonts w:ascii="Calibri" w:hAnsi="Calibri"/>
                <w:b w:val="0"/>
                <w:i w:val="0"/>
                <w:sz w:val="16"/>
              </w:rPr>
              <w:t>18,000</w:t>
            </w:r>
          </w:p>
        </w:tc>
        <w:tc>
          <w:tcPr>
            <w:tcW w:type="dxa" w:w="1123"/>
          </w:tcPr>
          <w:p>
            <w:pPr>
              <w:jc w:val="right"/>
            </w:pPr>
            <w:r>
              <w:rPr>
                <w:rFonts w:ascii="Calibri" w:hAnsi="Calibri"/>
                <w:b w:val="0"/>
                <w:i w:val="0"/>
                <w:sz w:val="16"/>
              </w:rPr>
              <w:t>22,000</w:t>
            </w:r>
          </w:p>
        </w:tc>
        <w:tc>
          <w:tcPr>
            <w:tcW w:type="dxa" w:w="1123"/>
          </w:tcPr>
          <w:p>
            <w:pPr>
              <w:jc w:val="right"/>
            </w:pPr>
            <w:r>
              <w:rPr>
                <w:rFonts w:ascii="Calibri" w:hAnsi="Calibri"/>
                <w:b w:val="0"/>
                <w:i w:val="0"/>
                <w:sz w:val="16"/>
              </w:rPr>
              <w:t>23,548</w:t>
            </w:r>
          </w:p>
        </w:tc>
        <w:tc>
          <w:tcPr>
            <w:tcW w:type="dxa" w:w="1123"/>
          </w:tcPr>
          <w:p>
            <w:pPr>
              <w:jc w:val="right"/>
            </w:pPr>
            <w:r>
              <w:rPr>
                <w:rFonts w:ascii="Calibri" w:hAnsi="Calibri"/>
                <w:b w:val="0"/>
                <w:i w:val="0"/>
                <w:sz w:val="16"/>
              </w:rPr>
              <w:t>63,000</w:t>
            </w:r>
          </w:p>
        </w:tc>
        <w:tc>
          <w:tcPr>
            <w:tcW w:type="dxa" w:w="1123"/>
          </w:tcPr>
          <w:p>
            <w:pPr>
              <w:jc w:val="right"/>
            </w:pPr>
            <w:r>
              <w:rPr>
                <w:rFonts w:ascii="Calibri" w:hAnsi="Calibri"/>
                <w:b w:val="0"/>
                <w:i w:val="0"/>
                <w:sz w:val="16"/>
              </w:rPr>
              <w:t>92,535</w:t>
            </w:r>
          </w:p>
        </w:tc>
        <w:tc>
          <w:tcPr>
            <w:tcW w:type="dxa" w:w="1123"/>
          </w:tcPr>
          <w:p>
            <w:pPr>
              <w:jc w:val="right"/>
            </w:pPr>
            <w:r>
              <w:rPr>
                <w:rFonts w:ascii="Calibri" w:hAnsi="Calibri"/>
                <w:b w:val="0"/>
                <w:i w:val="0"/>
                <w:sz w:val="16"/>
              </w:rPr>
              <w:t>75,000</w:t>
            </w:r>
          </w:p>
        </w:tc>
        <w:tc>
          <w:tcPr>
            <w:tcW w:type="dxa" w:w="1123"/>
          </w:tcPr>
          <w:p>
            <w:pPr>
              <w:jc w:val="right"/>
            </w:pPr>
            <w:r>
              <w:rPr>
                <w:rFonts w:ascii="Calibri" w:hAnsi="Calibri"/>
                <w:b w:val="0"/>
                <w:i w:val="0"/>
                <w:sz w:val="16"/>
              </w:rPr>
              <w:t>78,000</w:t>
            </w:r>
          </w:p>
        </w:tc>
      </w:tr>
      <w:tr>
        <w:tc>
          <w:tcPr>
            <w:tcW w:type="dxa" w:w="2448"/>
            <w:shd w:val="clear" w:fill="F2F5FB"/>
          </w:tcPr>
          <w:p>
            <w:pPr>
              <w:jc w:val="left"/>
            </w:pPr>
            <w:r>
              <w:rPr>
                <w:rFonts w:ascii="Calibri" w:hAnsi="Calibri"/>
                <w:b w:val="0"/>
                <w:i w:val="0"/>
                <w:sz w:val="16"/>
              </w:rPr>
              <w:t>Revenue executed</w:t>
            </w:r>
          </w:p>
        </w:tc>
        <w:tc>
          <w:tcPr>
            <w:tcW w:type="dxa" w:w="1123"/>
            <w:shd w:val="clear" w:fill="F2F5FB"/>
          </w:tcPr>
          <w:p>
            <w:pPr>
              <w:jc w:val="right"/>
            </w:pPr>
            <w:r>
              <w:rPr>
                <w:rFonts w:ascii="Calibri" w:hAnsi="Calibri"/>
                <w:b w:val="0"/>
                <w:i w:val="0"/>
                <w:sz w:val="16"/>
              </w:rPr>
              <w:t>20,495</w:t>
            </w:r>
          </w:p>
        </w:tc>
        <w:tc>
          <w:tcPr>
            <w:tcW w:type="dxa" w:w="1123"/>
            <w:shd w:val="clear" w:fill="F2F5FB"/>
          </w:tcPr>
          <w:p>
            <w:pPr>
              <w:jc w:val="right"/>
            </w:pPr>
            <w:r>
              <w:rPr>
                <w:rFonts w:ascii="Calibri" w:hAnsi="Calibri"/>
                <w:b w:val="0"/>
                <w:i w:val="0"/>
                <w:sz w:val="16"/>
              </w:rPr>
              <w:t>20,153</w:t>
            </w:r>
          </w:p>
        </w:tc>
        <w:tc>
          <w:tcPr>
            <w:tcW w:type="dxa" w:w="1123"/>
            <w:shd w:val="clear" w:fill="F2F5FB"/>
          </w:tcPr>
          <w:p>
            <w:pPr>
              <w:jc w:val="right"/>
            </w:pPr>
            <w:r>
              <w:rPr>
                <w:rFonts w:ascii="Calibri" w:hAnsi="Calibri"/>
                <w:b w:val="0"/>
                <w:i w:val="0"/>
                <w:sz w:val="16"/>
              </w:rPr>
              <w:t>22,136</w:t>
            </w:r>
          </w:p>
        </w:tc>
        <w:tc>
          <w:tcPr>
            <w:tcW w:type="dxa" w:w="1123"/>
            <w:shd w:val="clear" w:fill="F2F5FB"/>
          </w:tcPr>
          <w:p>
            <w:pPr>
              <w:jc w:val="right"/>
            </w:pPr>
            <w:r>
              <w:rPr>
                <w:rFonts w:ascii="Calibri" w:hAnsi="Calibri"/>
                <w:b w:val="0"/>
                <w:i w:val="0"/>
                <w:sz w:val="16"/>
              </w:rPr>
              <w:t>22,921</w:t>
            </w:r>
          </w:p>
        </w:tc>
        <w:tc>
          <w:tcPr>
            <w:tcW w:type="dxa" w:w="1123"/>
            <w:shd w:val="clear" w:fill="F2F5FB"/>
          </w:tcPr>
          <w:p>
            <w:pPr>
              <w:jc w:val="right"/>
            </w:pPr>
            <w:r>
              <w:rPr>
                <w:rFonts w:ascii="Calibri" w:hAnsi="Calibri"/>
                <w:b w:val="0"/>
                <w:i w:val="0"/>
                <w:sz w:val="16"/>
              </w:rPr>
              <w:t>27,355</w:t>
            </w:r>
          </w:p>
        </w:tc>
        <w:tc>
          <w:tcPr>
            <w:tcW w:type="dxa" w:w="1123"/>
            <w:shd w:val="clear" w:fill="F2F5FB"/>
          </w:tcPr>
          <w:p>
            <w:pPr>
              <w:jc w:val="right"/>
            </w:pPr>
            <w:r>
              <w:rPr>
                <w:rFonts w:ascii="Calibri" w:hAnsi="Calibri"/>
                <w:b w:val="0"/>
                <w:i w:val="0"/>
                <w:sz w:val="16"/>
              </w:rPr>
              <w:t>33,782</w:t>
            </w:r>
          </w:p>
        </w:tc>
        <w:tc>
          <w:tcPr>
            <w:tcW w:type="dxa" w:w="1123"/>
            <w:shd w:val="clear" w:fill="F2F5FB"/>
          </w:tcPr>
          <w:p>
            <w:pPr>
              <w:jc w:val="right"/>
            </w:pPr>
            <w:r>
              <w:rPr>
                <w:rFonts w:ascii="Calibri" w:hAnsi="Calibri"/>
                <w:b w:val="0"/>
                <w:i w:val="0"/>
                <w:sz w:val="16"/>
              </w:rPr>
              <w:t>39,600</w:t>
            </w:r>
          </w:p>
        </w:tc>
      </w:tr>
      <w:tr>
        <w:tc>
          <w:tcPr>
            <w:tcW w:type="dxa" w:w="2448"/>
          </w:tcPr>
          <w:p>
            <w:pPr>
              <w:jc w:val="left"/>
            </w:pPr>
            <w:r>
              <w:rPr>
                <w:rFonts w:ascii="Calibri" w:hAnsi="Calibri"/>
                <w:b w:val="0"/>
                <w:i w:val="0"/>
                <w:sz w:val="16"/>
              </w:rPr>
              <w:t>Closing order book</w:t>
            </w:r>
          </w:p>
        </w:tc>
        <w:tc>
          <w:tcPr>
            <w:tcW w:type="dxa" w:w="1123"/>
          </w:tcPr>
          <w:p>
            <w:pPr>
              <w:jc w:val="right"/>
            </w:pPr>
            <w:r>
              <w:rPr>
                <w:rFonts w:ascii="Calibri" w:hAnsi="Calibri"/>
                <w:b w:val="0"/>
                <w:i w:val="0"/>
                <w:sz w:val="16"/>
              </w:rPr>
              <w:t>1,10,000</w:t>
            </w:r>
          </w:p>
        </w:tc>
        <w:tc>
          <w:tcPr>
            <w:tcW w:type="dxa" w:w="1123"/>
          </w:tcPr>
          <w:p>
            <w:pPr>
              <w:jc w:val="right"/>
            </w:pPr>
            <w:r>
              <w:rPr>
                <w:rFonts w:ascii="Calibri" w:hAnsi="Calibri"/>
                <w:b w:val="0"/>
                <w:i w:val="0"/>
                <w:sz w:val="16"/>
              </w:rPr>
              <w:t>98,000</w:t>
            </w:r>
          </w:p>
        </w:tc>
        <w:tc>
          <w:tcPr>
            <w:tcW w:type="dxa" w:w="1123"/>
          </w:tcPr>
          <w:p>
            <w:pPr>
              <w:jc w:val="right"/>
            </w:pPr>
            <w:r>
              <w:rPr>
                <w:rFonts w:ascii="Calibri" w:hAnsi="Calibri"/>
                <w:b w:val="0"/>
                <w:i w:val="0"/>
                <w:sz w:val="16"/>
              </w:rPr>
              <w:t>91,336</w:t>
            </w:r>
          </w:p>
        </w:tc>
        <w:tc>
          <w:tcPr>
            <w:tcW w:type="dxa" w:w="1123"/>
          </w:tcPr>
          <w:p>
            <w:pPr>
              <w:jc w:val="right"/>
            </w:pPr>
            <w:r>
              <w:rPr>
                <w:rFonts w:ascii="Calibri" w:hAnsi="Calibri"/>
                <w:b w:val="0"/>
                <w:i w:val="0"/>
                <w:sz w:val="16"/>
              </w:rPr>
              <w:t>1,31,598</w:t>
            </w:r>
          </w:p>
        </w:tc>
        <w:tc>
          <w:tcPr>
            <w:tcW w:type="dxa" w:w="1123"/>
          </w:tcPr>
          <w:p>
            <w:pPr>
              <w:jc w:val="right"/>
            </w:pPr>
            <w:r>
              <w:rPr>
                <w:rFonts w:ascii="Calibri" w:hAnsi="Calibri"/>
                <w:b w:val="0"/>
                <w:i w:val="0"/>
                <w:sz w:val="16"/>
              </w:rPr>
              <w:t>1,96,328</w:t>
            </w:r>
          </w:p>
        </w:tc>
        <w:tc>
          <w:tcPr>
            <w:tcW w:type="dxa" w:w="1123"/>
          </w:tcPr>
          <w:p>
            <w:pPr>
              <w:jc w:val="right"/>
            </w:pPr>
            <w:r>
              <w:rPr>
                <w:rFonts w:ascii="Calibri" w:hAnsi="Calibri"/>
                <w:b w:val="0"/>
                <w:i w:val="0"/>
                <w:sz w:val="16"/>
              </w:rPr>
              <w:t>2,40,000</w:t>
            </w:r>
          </w:p>
        </w:tc>
        <w:tc>
          <w:tcPr>
            <w:tcW w:type="dxa" w:w="1123"/>
          </w:tcPr>
          <w:p>
            <w:pPr>
              <w:jc w:val="right"/>
            </w:pPr>
            <w:r>
              <w:rPr>
                <w:rFonts w:ascii="Calibri" w:hAnsi="Calibri"/>
                <w:b w:val="0"/>
                <w:i w:val="0"/>
                <w:sz w:val="16"/>
              </w:rPr>
              <w:t>2,78,400</w:t>
            </w:r>
          </w:p>
        </w:tc>
      </w:tr>
      <w:tr>
        <w:tc>
          <w:tcPr>
            <w:tcW w:type="dxa" w:w="2448"/>
            <w:shd w:val="clear" w:fill="F2F5FB"/>
          </w:tcPr>
          <w:p>
            <w:pPr>
              <w:jc w:val="left"/>
            </w:pPr>
            <w:r>
              <w:rPr>
                <w:rFonts w:ascii="Calibri" w:hAnsi="Calibri"/>
                <w:b w:val="0"/>
                <w:i w:val="0"/>
                <w:sz w:val="16"/>
              </w:rPr>
              <w:t>Book-to-bill (x)</w:t>
            </w:r>
          </w:p>
        </w:tc>
        <w:tc>
          <w:tcPr>
            <w:tcW w:type="dxa" w:w="1123"/>
            <w:shd w:val="clear" w:fill="F2F5FB"/>
          </w:tcPr>
          <w:p>
            <w:pPr>
              <w:jc w:val="right"/>
            </w:pPr>
            <w:r>
              <w:rPr>
                <w:rFonts w:ascii="Calibri" w:hAnsi="Calibri"/>
                <w:b w:val="0"/>
                <w:i w:val="0"/>
                <w:sz w:val="16"/>
              </w:rPr>
              <w:t>5.4</w:t>
            </w:r>
          </w:p>
        </w:tc>
        <w:tc>
          <w:tcPr>
            <w:tcW w:type="dxa" w:w="1123"/>
            <w:shd w:val="clear" w:fill="F2F5FB"/>
          </w:tcPr>
          <w:p>
            <w:pPr>
              <w:jc w:val="right"/>
            </w:pPr>
            <w:r>
              <w:rPr>
                <w:rFonts w:ascii="Calibri" w:hAnsi="Calibri"/>
                <w:b w:val="0"/>
                <w:i w:val="0"/>
                <w:sz w:val="16"/>
              </w:rPr>
              <w:t>4.9</w:t>
            </w:r>
          </w:p>
        </w:tc>
        <w:tc>
          <w:tcPr>
            <w:tcW w:type="dxa" w:w="1123"/>
            <w:shd w:val="clear" w:fill="F2F5FB"/>
          </w:tcPr>
          <w:p>
            <w:pPr>
              <w:jc w:val="right"/>
            </w:pPr>
            <w:r>
              <w:rPr>
                <w:rFonts w:ascii="Calibri" w:hAnsi="Calibri"/>
                <w:b w:val="0"/>
                <w:i w:val="0"/>
                <w:sz w:val="16"/>
              </w:rPr>
              <w:t>4.1</w:t>
            </w:r>
          </w:p>
        </w:tc>
        <w:tc>
          <w:tcPr>
            <w:tcW w:type="dxa" w:w="1123"/>
            <w:shd w:val="clear" w:fill="F2F5FB"/>
          </w:tcPr>
          <w:p>
            <w:pPr>
              <w:jc w:val="right"/>
            </w:pPr>
            <w:r>
              <w:rPr>
                <w:rFonts w:ascii="Calibri" w:hAnsi="Calibri"/>
                <w:b w:val="0"/>
                <w:i w:val="0"/>
                <w:sz w:val="16"/>
              </w:rPr>
              <w:t>5.7</w:t>
            </w:r>
          </w:p>
        </w:tc>
        <w:tc>
          <w:tcPr>
            <w:tcW w:type="dxa" w:w="1123"/>
            <w:shd w:val="clear" w:fill="F2F5FB"/>
          </w:tcPr>
          <w:p>
            <w:pPr>
              <w:jc w:val="right"/>
            </w:pPr>
            <w:r>
              <w:rPr>
                <w:rFonts w:ascii="Calibri" w:hAnsi="Calibri"/>
                <w:b w:val="0"/>
                <w:i w:val="0"/>
                <w:sz w:val="16"/>
              </w:rPr>
              <w:t>7.2</w:t>
            </w:r>
          </w:p>
        </w:tc>
        <w:tc>
          <w:tcPr>
            <w:tcW w:type="dxa" w:w="1123"/>
            <w:shd w:val="clear" w:fill="F2F5FB"/>
          </w:tcPr>
          <w:p>
            <w:pPr>
              <w:jc w:val="right"/>
            </w:pPr>
            <w:r>
              <w:rPr>
                <w:rFonts w:ascii="Calibri" w:hAnsi="Calibri"/>
                <w:b w:val="0"/>
                <w:i w:val="0"/>
                <w:sz w:val="16"/>
              </w:rPr>
              <w:t>7.1</w:t>
            </w:r>
          </w:p>
        </w:tc>
        <w:tc>
          <w:tcPr>
            <w:tcW w:type="dxa" w:w="1123"/>
            <w:shd w:val="clear" w:fill="F2F5FB"/>
          </w:tcPr>
          <w:p>
            <w:pPr>
              <w:jc w:val="right"/>
            </w:pPr>
            <w:r>
              <w:rPr>
                <w:rFonts w:ascii="Calibri" w:hAnsi="Calibri"/>
                <w:b w:val="0"/>
                <w:i w:val="0"/>
                <w:sz w:val="16"/>
              </w:rPr>
              <w:t>7.0</w:t>
            </w:r>
          </w:p>
        </w:tc>
      </w:tr>
    </w:tbl>
    <w:p>
      <w:pPr>
        <w:spacing w:after="160" w:before="40"/>
      </w:pPr>
      <w:r>
        <w:rPr>
          <w:rFonts w:ascii="Calibri" w:hAnsi="Calibri"/>
          <w:b w:val="0"/>
          <w:i/>
          <w:color w:val="595959"/>
          <w:sz w:val="16"/>
        </w:rPr>
        <w:t>Order data on standalone basis (as disclosed); FY27E from model. Closing OB grows to ~₹4.3 lakh cr by FY33E. Source: author’s model.</w:t>
      </w:r>
    </w:p>
    <w:p>
      <w:pPr>
        <w:spacing w:after="40" w:before="0"/>
      </w:pPr>
    </w:p>
    <w:p>
      <w:pPr>
        <w:spacing w:after="80" w:before="200"/>
      </w:pPr>
      <w:r>
        <w:rPr>
          <w:rFonts w:ascii="Calibri" w:hAnsi="Calibri"/>
          <w:b/>
          <w:i w:val="0"/>
          <w:color w:val="2E5BA8"/>
          <w:sz w:val="25"/>
        </w:rPr>
        <w:t>Methodology note</w:t>
      </w:r>
    </w:p>
    <w:p>
      <w:pPr>
        <w:spacing w:after="120" w:before="0"/>
      </w:pPr>
      <w:r>
        <w:rPr>
          <w:rFonts w:ascii="Calibri" w:hAnsi="Calibri"/>
          <w:b w:val="0"/>
          <w:i w:val="0"/>
          <w:sz w:val="21"/>
        </w:rPr>
        <w:t>This report is supported by a fully integrated, audit-checked three-statement model. Historical financials (FY2020–FY2026) are sourced from BHEL’s audited consolidated annual reports (FY2021, FY2023, FY2025) and the FY2026 results filing. The forecast (FY2027–FY2033) is order-book-driven, with revenue derived from the execution rate applied to the opening order book, and all line items linked across the income statement, balance sheet and cash flow. The model balances to zero in every year and passes automated integrity checks (balance-sheet, cash-flow, debt and equity roll-forwards) across Base, Bull and Bear scenarios.</w:t>
      </w:r>
    </w:p>
    <w:p>
      <w:r>
        <w:br w:type="page"/>
      </w:r>
    </w:p>
    <w:p>
      <w:pPr>
        <w:spacing w:after="160" w:before="40"/>
        <w:pBdr>
          <w:bottom w:val="single" w:sz="12" w:space="4" w:color="1F3864"/>
        </w:pBdr>
      </w:pPr>
      <w:r>
        <w:rPr>
          <w:rFonts w:ascii="Calibri" w:hAnsi="Calibri"/>
          <w:b/>
          <w:i w:val="0"/>
          <w:color w:val="1F3864"/>
          <w:sz w:val="32"/>
        </w:rPr>
        <w:t>Important Disclosures &amp; Disclaimer</w:t>
      </w:r>
    </w:p>
    <w:p>
      <w:pPr>
        <w:spacing w:after="120" w:before="0"/>
      </w:pPr>
      <w:r>
        <w:rPr>
          <w:rFonts w:ascii="Calibri" w:hAnsi="Calibri"/>
          <w:b w:val="0"/>
          <w:i w:val="0"/>
          <w:sz w:val="18"/>
        </w:rPr>
        <w:t>Rating system: BUY — expected total return &gt;15% over 12 months; HOLD — −10% to +15%; SELL — expected total return below −10%. Our SELL rating on BHEL reflects an expected downside of ~39% to our ₹245 target price.</w:t>
      </w:r>
    </w:p>
    <w:p>
      <w:pPr>
        <w:spacing w:after="120" w:before="0"/>
      </w:pPr>
      <w:r>
        <w:rPr>
          <w:rFonts w:ascii="Calibri" w:hAnsi="Calibri"/>
          <w:b w:val="0"/>
          <w:i w:val="0"/>
          <w:sz w:val="18"/>
        </w:rPr>
        <w:t>This document has been prepared for informational and educational purposes and in a manner consistent with CFA Institute standards of professional conduct, including objectivity and a reasonable and adequate basis. It is not investment advice, nor an offer or solicitation to buy or sell any security. The analysis relies on publicly available information and an independently constructed financial model; while believed reliable, its accuracy and completeness are not guaranteed. Forward-looking statements are subject to material uncertainty and actual results may differ. Valuation outputs (DCF intrinsic value ₹181; probability-weighted scenario value ₹245; peer-multiple value ₹472) are model-dependent and sensitive to assumptions disclosed herein. Peer trading multiples are indicative and should be refreshed with live market data. The author may have no position in the security. Investors should conduct their own due diligence and consult a licensed financial adviser. Past performance is not indicative of future results.</w:t>
      </w:r>
    </w:p>
    <w:p>
      <w:pPr>
        <w:spacing w:after="120" w:before="0"/>
      </w:pPr>
      <w:r>
        <w:rPr>
          <w:rFonts w:ascii="Calibri" w:hAnsi="Calibri"/>
          <w:b w:val="0"/>
          <w:i/>
          <w:color w:val="595959"/>
          <w:sz w:val="17"/>
        </w:rPr>
        <w:t>Selected sources: BHEL audited annual reports (FY2021/FY2023/FY2025) and FY2026 results; Central Electricity Authority (via financialexpress.com); businessworld.in; tipranks.com; livemint.com; businesstoday.in; ndtvprofit.com; ember-energy.org. Third-party content has been paraphrased and summarised for licensing compliance; figures are attributed to the author’s model unless otherwise stated.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