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2D50"/>
          <w:sz w:val="48"/>
        </w:rPr>
        <w:t>RESEARCH WORKING PAPERS</w:t>
      </w:r>
    </w:p>
    <w:p>
      <w:pPr>
        <w:spacing w:after="80"/>
        <w:jc w:val="center"/>
      </w:pPr>
      <w:r>
        <w:rPr>
          <w:i/>
          <w:color w:val="8A1F1F"/>
          <w:sz w:val="28"/>
        </w:rPr>
        <w:t>Full Research Trail — Screening, Diligence &amp; Rejection Rationale</w:t>
      </w:r>
    </w:p>
    <w:p>
      <w:pPr>
        <w:spacing w:after="600"/>
        <w:jc w:val="center"/>
      </w:pPr>
      <w:r>
        <w:rPr>
          <w:color w:val="333333"/>
          <w:sz w:val="22"/>
        </w:rPr>
        <w:t>Supporting documentation for: “Two High-Conviction Long Ideas — Indian Equities”</w:t>
      </w:r>
    </w:p>
    <w:p>
      <w:pPr>
        <w:jc w:val="center"/>
      </w:pPr>
      <w:r>
        <w:rPr>
          <w:color w:val="333333"/>
          <w:sz w:val="20"/>
        </w:rPr>
        <w:t>This document is the backend research record: every company screened, every data point gathered, every rejection reasoned through, before the final two names were selected.</w:t>
        <w:br/>
        <w:br/>
        <w:t>Coverage: 16 companies screened → 6 rejected outright → 10 ranked → 2 taken to deep diligence → 1 dropped after deep diligence → 1 promoted as replacement → 2 finalists underwritten.</w:t>
        <w:br/>
        <w:br/>
        <w:t>Date: July 2026</w:t>
      </w:r>
    </w:p>
    <w:p>
      <w:r>
        <w:br w:type="page"/>
      </w:r>
    </w:p>
    <w:p>
      <w:pPr>
        <w:spacing w:before="280" w:after="120"/>
      </w:pPr>
      <w:r>
        <w:rPr>
          <w:b/>
          <w:color w:val="1F2D50"/>
          <w:sz w:val="34"/>
        </w:rPr>
        <w:t>Contents</w:t>
      </w:r>
    </w:p>
    <w:p>
      <w:pPr>
        <w:spacing w:after="40" w:before="40"/>
        <w:pBdr>
          <w:bottom w:val="single" w:sz="8" w:space="1" w:color="1F2D50"/>
        </w:pBdr>
      </w:pPr>
    </w:p>
    <w:p>
      <w:pPr>
        <w:pStyle w:val="ListBullet"/>
        <w:spacing w:after="60"/>
      </w:pPr>
      <w:r>
        <w:rPr>
          <w:sz w:val="21"/>
        </w:rPr>
        <w:t>1. Research Process Overview</w:t>
      </w:r>
    </w:p>
    <w:p>
      <w:pPr>
        <w:pStyle w:val="ListBullet"/>
        <w:spacing w:after="60"/>
      </w:pPr>
      <w:r>
        <w:rPr>
          <w:sz w:val="21"/>
        </w:rPr>
        <w:t>2. Initial Screening Universe — 16 Candidates &amp; Selection Rationale</w:t>
      </w:r>
    </w:p>
    <w:p>
      <w:pPr>
        <w:pStyle w:val="ListBullet"/>
        <w:spacing w:after="60"/>
      </w:pPr>
      <w:r>
        <w:rPr>
          <w:sz w:val="21"/>
        </w:rPr>
        <w:t>3. Screening Briefs — Batch A: Craftsman Automation, Karur Vysya Bank, Anand Rathi Wealth, Neuland Laboratories</w:t>
      </w:r>
    </w:p>
    <w:p>
      <w:pPr>
        <w:pStyle w:val="ListBullet"/>
        <w:spacing w:after="60"/>
      </w:pPr>
      <w:r>
        <w:rPr>
          <w:sz w:val="21"/>
        </w:rPr>
        <w:t>4. Screening Briefs — Batch B: Kaynes Technology, Metropolis Healthcare, CCL Products, Sansera Engineering</w:t>
      </w:r>
    </w:p>
    <w:p>
      <w:pPr>
        <w:pStyle w:val="ListBullet"/>
        <w:spacing w:after="60"/>
      </w:pPr>
      <w:r>
        <w:rPr>
          <w:sz w:val="21"/>
        </w:rPr>
        <w:t>5. Screening Briefs — Batch C: NOCIL, Praj Industries, Techno Electric &amp; Engineering, Concord Biotech</w:t>
      </w:r>
    </w:p>
    <w:p>
      <w:pPr>
        <w:pStyle w:val="ListBullet"/>
        <w:spacing w:after="60"/>
      </w:pPr>
      <w:r>
        <w:rPr>
          <w:sz w:val="21"/>
        </w:rPr>
        <w:t>6. Screening Briefs — Batch D: Greenpanel Industries, Triveni Turbine, Global Health (Medanta), KIMS Hospitals</w:t>
      </w:r>
    </w:p>
    <w:p>
      <w:pPr>
        <w:pStyle w:val="ListBullet"/>
        <w:spacing w:after="60"/>
      </w:pPr>
      <w:r>
        <w:rPr>
          <w:sz w:val="21"/>
        </w:rPr>
        <w:t>7. Deep Diligence — Karur Vysya Bank (Finalist)</w:t>
      </w:r>
    </w:p>
    <w:p>
      <w:pPr>
        <w:pStyle w:val="ListBullet"/>
        <w:spacing w:after="60"/>
      </w:pPr>
      <w:r>
        <w:rPr>
          <w:sz w:val="21"/>
        </w:rPr>
        <w:t>8. Deep Diligence — Techno Electric &amp; Engineering (Rejected After Deep Diligence)</w:t>
      </w:r>
    </w:p>
    <w:p>
      <w:pPr>
        <w:pStyle w:val="ListBullet"/>
        <w:spacing w:after="60"/>
      </w:pPr>
      <w:r>
        <w:rPr>
          <w:sz w:val="21"/>
        </w:rPr>
        <w:t>9. Deep Diligence — CCL Products India (Promoted Finalist)</w:t>
      </w:r>
    </w:p>
    <w:p>
      <w:pPr>
        <w:pStyle w:val="ListBullet"/>
        <w:spacing w:after="60"/>
      </w:pPr>
      <w:r>
        <w:rPr>
          <w:sz w:val="21"/>
        </w:rPr>
        <w:t>10. Valuation Data-Gathering Notes</w:t>
      </w:r>
    </w:p>
    <w:p>
      <w:pPr>
        <w:pStyle w:val="ListBullet"/>
        <w:spacing w:after="60"/>
      </w:pPr>
      <w:r>
        <w:rPr>
          <w:sz w:val="21"/>
        </w:rPr>
        <w:t>11. Final Ranking Methodology &amp; Score Rationale</w:t>
      </w:r>
    </w:p>
    <w:p>
      <w:pPr>
        <w:pStyle w:val="ListBullet"/>
        <w:spacing w:after="60"/>
      </w:pPr>
      <w:r>
        <w:rPr>
          <w:sz w:val="21"/>
        </w:rPr>
        <w:t>12. Open Items / Unverified Claims Register</w:t>
      </w:r>
    </w:p>
    <w:p>
      <w:r>
        <w:br w:type="page"/>
      </w:r>
    </w:p>
    <w:p>
      <w:pPr>
        <w:spacing w:before="280" w:after="120"/>
      </w:pPr>
      <w:r>
        <w:rPr>
          <w:b/>
          <w:color w:val="1F2D50"/>
          <w:sz w:val="34"/>
        </w:rPr>
        <w:t>1. Research Process Overview</w:t>
      </w:r>
    </w:p>
    <w:p>
      <w:pPr>
        <w:spacing w:after="40" w:before="40"/>
        <w:pBdr>
          <w:bottom w:val="single" w:sz="8" w:space="1" w:color="1F2D50"/>
        </w:pBdr>
      </w:pPr>
    </w:p>
    <w:p>
      <w:pPr>
        <w:spacing w:after="100"/>
      </w:pPr>
      <w:r>
        <w:rPr>
          <w:b w:val="0"/>
          <w:i w:val="0"/>
          <w:color w:val="333333"/>
          <w:sz w:val="20"/>
        </w:rPr>
        <w:t>Scope confirmed with the requester: Indian-listed equities, no market-cap floor specified beyond avoiding both mega-cap consensus names and obscure micro-caps, no sector exclusions, 3–5 year holding period, public-source research (no Bloomberg/FactSet terminal access) with explicit flagging of any claim resting on secondary/aggregator sources rather than primary filings.</w:t>
      </w:r>
    </w:p>
    <w:p>
      <w:pPr>
        <w:spacing w:after="60"/>
      </w:pPr>
      <w:r>
        <w:rPr>
          <w:b/>
          <w:i w:val="0"/>
          <w:color w:val="333333"/>
          <w:sz w:val="20"/>
        </w:rPr>
        <w:t>Process followed:</w:t>
      </w:r>
    </w:p>
    <w:p>
      <w:pPr>
        <w:pStyle w:val="ListBullet"/>
        <w:spacing w:after="60"/>
      </w:pPr>
      <w:r>
        <w:rPr>
          <w:b/>
          <w:sz w:val="20"/>
        </w:rPr>
        <w:t xml:space="preserve">Step 1 — Universe construction: </w:t>
      </w:r>
      <w:r>
        <w:rPr>
          <w:sz w:val="20"/>
        </w:rPr>
        <w:t>16 names selected across 10 sectors, deliberately spanning specialty chemicals, diagnostics/hospitals, EMS, capital goods/engineering, auto ancillary, building materials, wealth management, pharma CDMO, and mid-size banking, to avoid both popular large-caps and illiquid obscurities.</w:t>
      </w:r>
    </w:p>
    <w:p>
      <w:pPr>
        <w:pStyle w:val="ListBullet"/>
        <w:spacing w:after="60"/>
      </w:pPr>
      <w:r>
        <w:rPr>
          <w:b/>
          <w:sz w:val="20"/>
        </w:rPr>
        <w:t xml:space="preserve">Step 2 — Parallel screening: </w:t>
      </w:r>
      <w:r>
        <w:rPr>
          <w:sz w:val="20"/>
        </w:rPr>
        <w:t>4 sub-agent research passes (4 companies each) against screener.in, company IR pages, Quartr/stockanalysis.com transcript summaries, and financial media, covering valuation, 3–5yr financial trends, debt, credit ratings, and explicit red-flag searches.</w:t>
      </w:r>
    </w:p>
    <w:p>
      <w:pPr>
        <w:pStyle w:val="ListBullet"/>
        <w:spacing w:after="60"/>
      </w:pPr>
      <w:r>
        <w:rPr>
          <w:b/>
          <w:sz w:val="20"/>
        </w:rPr>
        <w:t xml:space="preserve">Step 3 — Screening-stage rejection: </w:t>
      </w:r>
      <w:r>
        <w:rPr>
          <w:sz w:val="20"/>
        </w:rPr>
        <w:t>6 of 16 names rejected outright on hard evidence (governance, accounting quality, or guidance misses) before any ranking was attempted.</w:t>
      </w:r>
    </w:p>
    <w:p>
      <w:pPr>
        <w:pStyle w:val="ListBullet"/>
        <w:spacing w:after="60"/>
      </w:pPr>
      <w:r>
        <w:rPr>
          <w:b/>
          <w:sz w:val="20"/>
        </w:rPr>
        <w:t xml:space="preserve">Step 4 — Ranking: </w:t>
      </w:r>
      <w:r>
        <w:rPr>
          <w:sz w:val="20"/>
        </w:rPr>
        <w:t>Remaining 10 names scored and ranked on conviction, expected return, risk, quality, and valuation attractiveness.</w:t>
      </w:r>
    </w:p>
    <w:p>
      <w:pPr>
        <w:pStyle w:val="ListBullet"/>
        <w:spacing w:after="60"/>
      </w:pPr>
      <w:r>
        <w:rPr>
          <w:b/>
          <w:sz w:val="20"/>
        </w:rPr>
        <w:t xml:space="preserve">Step 5 — Deep diligence: </w:t>
      </w:r>
      <w:r>
        <w:rPr>
          <w:sz w:val="20"/>
        </w:rPr>
        <w:t>Top 2 (Karur Vysya Bank, Techno Electric &amp; Engineering) taken to deep primary-source diligence — multi-year cash flow analysis, management track record verification, credit rating rationale, related-party transaction checks.</w:t>
      </w:r>
    </w:p>
    <w:p>
      <w:pPr>
        <w:pStyle w:val="ListBullet"/>
        <w:spacing w:after="60"/>
      </w:pPr>
      <w:r>
        <w:rPr>
          <w:b/>
          <w:sz w:val="20"/>
        </w:rPr>
        <w:t xml:space="preserve">Step 6 — Mid-course rejection: </w:t>
      </w:r>
      <w:r>
        <w:rPr>
          <w:sz w:val="20"/>
        </w:rPr>
        <w:t>Techno Electric &amp; Engineering dropped after deep diligence revealed negative operating cash flow in 2 of the last 3 fiscal years despite rising reported profit, plus an unresolved counterparty exposure (Sankhya Financial Services NCDs) that could not be fully cleared against primary filings within the search session.</w:t>
      </w:r>
    </w:p>
    <w:p>
      <w:pPr>
        <w:pStyle w:val="ListBullet"/>
        <w:spacing w:after="60"/>
      </w:pPr>
      <w:r>
        <w:rPr>
          <w:b/>
          <w:sz w:val="20"/>
        </w:rPr>
        <w:t xml:space="preserve">Step 7 — Replacement &amp; re-diligence: </w:t>
      </w:r>
      <w:r>
        <w:rPr>
          <w:sz w:val="20"/>
        </w:rPr>
        <w:t>CCL Products (India) promoted from the ranked list and taken through the same deep-diligence bar.</w:t>
      </w:r>
    </w:p>
    <w:p>
      <w:pPr>
        <w:pStyle w:val="ListBullet"/>
        <w:spacing w:after="60"/>
      </w:pPr>
      <w:r>
        <w:rPr>
          <w:b/>
          <w:sz w:val="20"/>
        </w:rPr>
        <w:t xml:space="preserve">Step 8 — Valuation build: </w:t>
      </w:r>
      <w:r>
        <w:rPr>
          <w:sz w:val="20"/>
        </w:rPr>
        <w:t>Live price/multiple data gathered for both finalists plus a peer bank comparison set, used to build bear/base/bull sensitivity tables.</w:t>
      </w:r>
    </w:p>
    <w:p>
      <w:pPr>
        <w:spacing w:after="100"/>
      </w:pPr>
      <w:r>
        <w:rPr>
          <w:b w:val="0"/>
          <w:i/>
          <w:color w:val="333333"/>
          <w:sz w:val="19"/>
        </w:rPr>
        <w:t>Evidentiary note carried through the entire process: research relied on public aggregator data (Screener.in, stockanalysis.com, Economic Times, Moneycontrol, Quartr transcript summaries, company IR pages) rather than direct terminal access. Multiple attempts to fetch primary PDFs (ICRA rating rationale documents, full annual report notes, NSE filing archives) returned inaccessible content, 404s, or non-primary mirrors; these gaps are logged explicitly in Section 12 rather than filled with assumed figures.</w:t>
      </w:r>
    </w:p>
    <w:p>
      <w:r>
        <w:br w:type="page"/>
      </w:r>
    </w:p>
    <w:p>
      <w:pPr>
        <w:spacing w:before="280" w:after="120"/>
      </w:pPr>
      <w:r>
        <w:rPr>
          <w:b/>
          <w:color w:val="1F2D50"/>
          <w:sz w:val="34"/>
        </w:rPr>
        <w:t>2. Initial Screening Universe — 16 Candidates</w:t>
      </w:r>
    </w:p>
    <w:p>
      <w:pPr>
        <w:spacing w:after="40" w:before="40"/>
        <w:pBdr>
          <w:bottom w:val="single" w:sz="8" w:space="1" w:color="1F2D50"/>
        </w:pBdr>
      </w:pP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val="clear" w:color="auto" w:fill="1F2D50"/>
          </w:tcPr>
          <w:p>
            <w:pPr>
              <w:spacing w:after="40"/>
            </w:pPr>
            <w:r>
              <w:rPr>
                <w:b/>
                <w:color w:val="FFFFFF"/>
                <w:sz w:val="17"/>
              </w:rPr>
              <w:t>#</w:t>
            </w:r>
          </w:p>
        </w:tc>
        <w:tc>
          <w:tcPr>
            <w:tcW w:type="dxa" w:w="2521"/>
            <w:shd w:val="clear" w:color="auto" w:fill="1F2D50"/>
          </w:tcPr>
          <w:p>
            <w:pPr>
              <w:spacing w:after="40"/>
            </w:pPr>
            <w:r>
              <w:rPr>
                <w:b/>
                <w:color w:val="FFFFFF"/>
                <w:sz w:val="17"/>
              </w:rPr>
              <w:t>Company</w:t>
            </w:r>
          </w:p>
        </w:tc>
        <w:tc>
          <w:tcPr>
            <w:tcW w:type="dxa" w:w="2521"/>
            <w:shd w:val="clear" w:color="auto" w:fill="1F2D50"/>
          </w:tcPr>
          <w:p>
            <w:pPr>
              <w:spacing w:after="40"/>
            </w:pPr>
            <w:r>
              <w:rPr>
                <w:b/>
                <w:color w:val="FFFFFF"/>
                <w:sz w:val="17"/>
              </w:rPr>
              <w:t>Sector</w:t>
            </w:r>
          </w:p>
        </w:tc>
        <w:tc>
          <w:tcPr>
            <w:tcW w:type="dxa" w:w="2521"/>
            <w:shd w:val="clear" w:color="auto" w:fill="1F2D50"/>
          </w:tcPr>
          <w:p>
            <w:pPr>
              <w:spacing w:after="40"/>
            </w:pPr>
            <w:r>
              <w:rPr>
                <w:b/>
                <w:color w:val="FFFFFF"/>
                <w:sz w:val="17"/>
              </w:rPr>
              <w:t>Screening Rationale</w:t>
            </w:r>
          </w:p>
        </w:tc>
      </w:tr>
      <w:tr>
        <w:tc>
          <w:tcPr>
            <w:tcW w:type="dxa" w:w="2521"/>
          </w:tcPr>
          <w:p>
            <w:pPr>
              <w:spacing w:after="40"/>
            </w:pPr>
            <w:r>
              <w:rPr>
                <w:sz w:val="17"/>
              </w:rPr>
              <w:t>1</w:t>
            </w:r>
          </w:p>
        </w:tc>
        <w:tc>
          <w:tcPr>
            <w:tcW w:type="dxa" w:w="2521"/>
          </w:tcPr>
          <w:p>
            <w:pPr>
              <w:spacing w:after="40"/>
            </w:pPr>
            <w:r>
              <w:rPr>
                <w:sz w:val="17"/>
              </w:rPr>
              <w:t>Craftsman Automation</w:t>
            </w:r>
          </w:p>
        </w:tc>
        <w:tc>
          <w:tcPr>
            <w:tcW w:type="dxa" w:w="2521"/>
          </w:tcPr>
          <w:p>
            <w:pPr>
              <w:spacing w:after="40"/>
            </w:pPr>
            <w:r>
              <w:rPr>
                <w:sz w:val="17"/>
              </w:rPr>
              <w:t>Auto ancillary / industrial</w:t>
            </w:r>
          </w:p>
        </w:tc>
        <w:tc>
          <w:tcPr>
            <w:tcW w:type="dxa" w:w="2521"/>
          </w:tcPr>
          <w:p>
            <w:pPr>
              <w:spacing w:after="40"/>
            </w:pPr>
            <w:r>
              <w:rPr>
                <w:sz w:val="17"/>
              </w:rPr>
              <w:t>Diversified into aluminum/powertrain beyond autos; margin mix shift</w:t>
            </w:r>
          </w:p>
        </w:tc>
      </w:tr>
      <w:tr>
        <w:tc>
          <w:tcPr>
            <w:tcW w:type="dxa" w:w="2521"/>
            <w:shd w:val="clear" w:color="auto" w:fill="F2F2F2"/>
          </w:tcPr>
          <w:p>
            <w:pPr>
              <w:spacing w:after="40"/>
            </w:pPr>
            <w:r>
              <w:rPr>
                <w:sz w:val="17"/>
              </w:rPr>
              <w:t>2</w:t>
            </w:r>
          </w:p>
        </w:tc>
        <w:tc>
          <w:tcPr>
            <w:tcW w:type="dxa" w:w="2521"/>
            <w:shd w:val="clear" w:color="auto" w:fill="F2F2F2"/>
          </w:tcPr>
          <w:p>
            <w:pPr>
              <w:spacing w:after="40"/>
            </w:pPr>
            <w:r>
              <w:rPr>
                <w:sz w:val="17"/>
              </w:rPr>
              <w:t>Karur Vysya Bank</w:t>
            </w:r>
          </w:p>
        </w:tc>
        <w:tc>
          <w:tcPr>
            <w:tcW w:type="dxa" w:w="2521"/>
            <w:shd w:val="clear" w:color="auto" w:fill="F2F2F2"/>
          </w:tcPr>
          <w:p>
            <w:pPr>
              <w:spacing w:after="40"/>
            </w:pPr>
            <w:r>
              <w:rPr>
                <w:sz w:val="17"/>
              </w:rPr>
              <w:t>Mid-size private bank</w:t>
            </w:r>
          </w:p>
        </w:tc>
        <w:tc>
          <w:tcPr>
            <w:tcW w:type="dxa" w:w="2521"/>
            <w:shd w:val="clear" w:color="auto" w:fill="F2F2F2"/>
          </w:tcPr>
          <w:p>
            <w:pPr>
              <w:spacing w:after="40"/>
            </w:pPr>
            <w:r>
              <w:rPr>
                <w:sz w:val="17"/>
              </w:rPr>
              <w:t>Turnaround story, asset quality repair, trades below peers</w:t>
            </w:r>
          </w:p>
        </w:tc>
      </w:tr>
      <w:tr>
        <w:tc>
          <w:tcPr>
            <w:tcW w:type="dxa" w:w="2521"/>
          </w:tcPr>
          <w:p>
            <w:pPr>
              <w:spacing w:after="40"/>
            </w:pPr>
            <w:r>
              <w:rPr>
                <w:sz w:val="17"/>
              </w:rPr>
              <w:t>3</w:t>
            </w:r>
          </w:p>
        </w:tc>
        <w:tc>
          <w:tcPr>
            <w:tcW w:type="dxa" w:w="2521"/>
          </w:tcPr>
          <w:p>
            <w:pPr>
              <w:spacing w:after="40"/>
            </w:pPr>
            <w:r>
              <w:rPr>
                <w:sz w:val="17"/>
              </w:rPr>
              <w:t>Anand Rathi Wealth</w:t>
            </w:r>
          </w:p>
        </w:tc>
        <w:tc>
          <w:tcPr>
            <w:tcW w:type="dxa" w:w="2521"/>
          </w:tcPr>
          <w:p>
            <w:pPr>
              <w:spacing w:after="40"/>
            </w:pPr>
            <w:r>
              <w:rPr>
                <w:sz w:val="17"/>
              </w:rPr>
              <w:t>Wealth management</w:t>
            </w:r>
          </w:p>
        </w:tc>
        <w:tc>
          <w:tcPr>
            <w:tcW w:type="dxa" w:w="2521"/>
          </w:tcPr>
          <w:p>
            <w:pPr>
              <w:spacing w:after="40"/>
            </w:pPr>
            <w:r>
              <w:rPr>
                <w:sz w:val="17"/>
              </w:rPr>
              <w:t>Asset-light, high ROE, financialization-of-savings tailwind</w:t>
            </w:r>
          </w:p>
        </w:tc>
      </w:tr>
      <w:tr>
        <w:tc>
          <w:tcPr>
            <w:tcW w:type="dxa" w:w="2521"/>
            <w:shd w:val="clear" w:color="auto" w:fill="F2F2F2"/>
          </w:tcPr>
          <w:p>
            <w:pPr>
              <w:spacing w:after="40"/>
            </w:pPr>
            <w:r>
              <w:rPr>
                <w:sz w:val="17"/>
              </w:rPr>
              <w:t>4</w:t>
            </w:r>
          </w:p>
        </w:tc>
        <w:tc>
          <w:tcPr>
            <w:tcW w:type="dxa" w:w="2521"/>
            <w:shd w:val="clear" w:color="auto" w:fill="F2F2F2"/>
          </w:tcPr>
          <w:p>
            <w:pPr>
              <w:spacing w:after="40"/>
            </w:pPr>
            <w:r>
              <w:rPr>
                <w:sz w:val="17"/>
              </w:rPr>
              <w:t>Neuland Laboratories</w:t>
            </w:r>
          </w:p>
        </w:tc>
        <w:tc>
          <w:tcPr>
            <w:tcW w:type="dxa" w:w="2521"/>
            <w:shd w:val="clear" w:color="auto" w:fill="F2F2F2"/>
          </w:tcPr>
          <w:p>
            <w:pPr>
              <w:spacing w:after="40"/>
            </w:pPr>
            <w:r>
              <w:rPr>
                <w:sz w:val="17"/>
              </w:rPr>
              <w:t>Pharma CDMO</w:t>
            </w:r>
          </w:p>
        </w:tc>
        <w:tc>
          <w:tcPr>
            <w:tcW w:type="dxa" w:w="2521"/>
            <w:shd w:val="clear" w:color="auto" w:fill="F2F2F2"/>
          </w:tcPr>
          <w:p>
            <w:pPr>
              <w:spacing w:after="40"/>
            </w:pPr>
            <w:r>
              <w:rPr>
                <w:sz w:val="17"/>
              </w:rPr>
              <w:t>Capacity expansion, US FDA track record, mix shift to CDMO</w:t>
            </w:r>
          </w:p>
        </w:tc>
      </w:tr>
      <w:tr>
        <w:tc>
          <w:tcPr>
            <w:tcW w:type="dxa" w:w="2521"/>
          </w:tcPr>
          <w:p>
            <w:pPr>
              <w:spacing w:after="40"/>
            </w:pPr>
            <w:r>
              <w:rPr>
                <w:sz w:val="17"/>
              </w:rPr>
              <w:t>5</w:t>
            </w:r>
          </w:p>
        </w:tc>
        <w:tc>
          <w:tcPr>
            <w:tcW w:type="dxa" w:w="2521"/>
          </w:tcPr>
          <w:p>
            <w:pPr>
              <w:spacing w:after="40"/>
            </w:pPr>
            <w:r>
              <w:rPr>
                <w:sz w:val="17"/>
              </w:rPr>
              <w:t>Greenpanel Industries</w:t>
            </w:r>
          </w:p>
        </w:tc>
        <w:tc>
          <w:tcPr>
            <w:tcW w:type="dxa" w:w="2521"/>
          </w:tcPr>
          <w:p>
            <w:pPr>
              <w:spacing w:after="40"/>
            </w:pPr>
            <w:r>
              <w:rPr>
                <w:sz w:val="17"/>
              </w:rPr>
              <w:t>Building materials (MDF)</w:t>
            </w:r>
          </w:p>
        </w:tc>
        <w:tc>
          <w:tcPr>
            <w:tcW w:type="dxa" w:w="2521"/>
          </w:tcPr>
          <w:p>
            <w:pPr>
              <w:spacing w:after="40"/>
            </w:pPr>
            <w:r>
              <w:rPr>
                <w:sz w:val="17"/>
              </w:rPr>
              <w:t>Anti-dumping duty tailwind, import substitution</w:t>
            </w:r>
          </w:p>
        </w:tc>
      </w:tr>
      <w:tr>
        <w:tc>
          <w:tcPr>
            <w:tcW w:type="dxa" w:w="2521"/>
            <w:shd w:val="clear" w:color="auto" w:fill="F2F2F2"/>
          </w:tcPr>
          <w:p>
            <w:pPr>
              <w:spacing w:after="40"/>
            </w:pPr>
            <w:r>
              <w:rPr>
                <w:sz w:val="17"/>
              </w:rPr>
              <w:t>6</w:t>
            </w:r>
          </w:p>
        </w:tc>
        <w:tc>
          <w:tcPr>
            <w:tcW w:type="dxa" w:w="2521"/>
            <w:shd w:val="clear" w:color="auto" w:fill="F2F2F2"/>
          </w:tcPr>
          <w:p>
            <w:pPr>
              <w:spacing w:after="40"/>
            </w:pPr>
            <w:r>
              <w:rPr>
                <w:sz w:val="17"/>
              </w:rPr>
              <w:t>Triveni Turbine</w:t>
            </w:r>
          </w:p>
        </w:tc>
        <w:tc>
          <w:tcPr>
            <w:tcW w:type="dxa" w:w="2521"/>
            <w:shd w:val="clear" w:color="auto" w:fill="F2F2F2"/>
          </w:tcPr>
          <w:p>
            <w:pPr>
              <w:spacing w:after="40"/>
            </w:pPr>
            <w:r>
              <w:rPr>
                <w:sz w:val="17"/>
              </w:rPr>
              <w:t>Capital goods (turbines)</w:t>
            </w:r>
          </w:p>
        </w:tc>
        <w:tc>
          <w:tcPr>
            <w:tcW w:type="dxa" w:w="2521"/>
            <w:shd w:val="clear" w:color="auto" w:fill="F2F2F2"/>
          </w:tcPr>
          <w:p>
            <w:pPr>
              <w:spacing w:after="40"/>
            </w:pPr>
            <w:r>
              <w:rPr>
                <w:sz w:val="17"/>
              </w:rPr>
              <w:t>Export capacity expansion, aftermarket revenue mix</w:t>
            </w:r>
          </w:p>
        </w:tc>
      </w:tr>
      <w:tr>
        <w:tc>
          <w:tcPr>
            <w:tcW w:type="dxa" w:w="2521"/>
          </w:tcPr>
          <w:p>
            <w:pPr>
              <w:spacing w:after="40"/>
            </w:pPr>
            <w:r>
              <w:rPr>
                <w:sz w:val="17"/>
              </w:rPr>
              <w:t>7</w:t>
            </w:r>
          </w:p>
        </w:tc>
        <w:tc>
          <w:tcPr>
            <w:tcW w:type="dxa" w:w="2521"/>
          </w:tcPr>
          <w:p>
            <w:pPr>
              <w:spacing w:after="40"/>
            </w:pPr>
            <w:r>
              <w:rPr>
                <w:sz w:val="17"/>
              </w:rPr>
              <w:t>Global Health (Medanta)</w:t>
            </w:r>
          </w:p>
        </w:tc>
        <w:tc>
          <w:tcPr>
            <w:tcW w:type="dxa" w:w="2521"/>
          </w:tcPr>
          <w:p>
            <w:pPr>
              <w:spacing w:after="40"/>
            </w:pPr>
            <w:r>
              <w:rPr>
                <w:sz w:val="17"/>
              </w:rPr>
              <w:t>Hospitals</w:t>
            </w:r>
          </w:p>
        </w:tc>
        <w:tc>
          <w:tcPr>
            <w:tcW w:type="dxa" w:w="2521"/>
          </w:tcPr>
          <w:p>
            <w:pPr>
              <w:spacing w:after="40"/>
            </w:pPr>
            <w:r>
              <w:rPr>
                <w:sz w:val="17"/>
              </w:rPr>
              <w:t>Bed capacity expansion, occupancy ramp-up</w:t>
            </w:r>
          </w:p>
        </w:tc>
      </w:tr>
      <w:tr>
        <w:tc>
          <w:tcPr>
            <w:tcW w:type="dxa" w:w="2521"/>
            <w:shd w:val="clear" w:color="auto" w:fill="F2F2F2"/>
          </w:tcPr>
          <w:p>
            <w:pPr>
              <w:spacing w:after="40"/>
            </w:pPr>
            <w:r>
              <w:rPr>
                <w:sz w:val="17"/>
              </w:rPr>
              <w:t>8</w:t>
            </w:r>
          </w:p>
        </w:tc>
        <w:tc>
          <w:tcPr>
            <w:tcW w:type="dxa" w:w="2521"/>
            <w:shd w:val="clear" w:color="auto" w:fill="F2F2F2"/>
          </w:tcPr>
          <w:p>
            <w:pPr>
              <w:spacing w:after="40"/>
            </w:pPr>
            <w:r>
              <w:rPr>
                <w:sz w:val="17"/>
              </w:rPr>
              <w:t>KIMS Hospitals</w:t>
            </w:r>
          </w:p>
        </w:tc>
        <w:tc>
          <w:tcPr>
            <w:tcW w:type="dxa" w:w="2521"/>
            <w:shd w:val="clear" w:color="auto" w:fill="F2F2F2"/>
          </w:tcPr>
          <w:p>
            <w:pPr>
              <w:spacing w:after="40"/>
            </w:pPr>
            <w:r>
              <w:rPr>
                <w:sz w:val="17"/>
              </w:rPr>
              <w:t>Hospitals</w:t>
            </w:r>
          </w:p>
        </w:tc>
        <w:tc>
          <w:tcPr>
            <w:tcW w:type="dxa" w:w="2521"/>
            <w:shd w:val="clear" w:color="auto" w:fill="F2F2F2"/>
          </w:tcPr>
          <w:p>
            <w:pPr>
              <w:spacing w:after="40"/>
            </w:pPr>
            <w:r>
              <w:rPr>
                <w:sz w:val="17"/>
              </w:rPr>
              <w:t>South India expansion, brownfield ROCE</w:t>
            </w:r>
          </w:p>
        </w:tc>
      </w:tr>
      <w:tr>
        <w:tc>
          <w:tcPr>
            <w:tcW w:type="dxa" w:w="2521"/>
          </w:tcPr>
          <w:p>
            <w:pPr>
              <w:spacing w:after="40"/>
            </w:pPr>
            <w:r>
              <w:rPr>
                <w:sz w:val="17"/>
              </w:rPr>
              <w:t>9</w:t>
            </w:r>
          </w:p>
        </w:tc>
        <w:tc>
          <w:tcPr>
            <w:tcW w:type="dxa" w:w="2521"/>
          </w:tcPr>
          <w:p>
            <w:pPr>
              <w:spacing w:after="40"/>
            </w:pPr>
            <w:r>
              <w:rPr>
                <w:sz w:val="17"/>
              </w:rPr>
              <w:t>Kaynes Technology</w:t>
            </w:r>
          </w:p>
        </w:tc>
        <w:tc>
          <w:tcPr>
            <w:tcW w:type="dxa" w:w="2521"/>
          </w:tcPr>
          <w:p>
            <w:pPr>
              <w:spacing w:after="40"/>
            </w:pPr>
            <w:r>
              <w:rPr>
                <w:sz w:val="17"/>
              </w:rPr>
              <w:t>EMS / electronics</w:t>
            </w:r>
          </w:p>
        </w:tc>
        <w:tc>
          <w:tcPr>
            <w:tcW w:type="dxa" w:w="2521"/>
          </w:tcPr>
          <w:p>
            <w:pPr>
              <w:spacing w:after="40"/>
            </w:pPr>
            <w:r>
              <w:rPr>
                <w:sz w:val="17"/>
              </w:rPr>
              <w:t>Order book scaling, OSAT/semiconductor optionality</w:t>
            </w:r>
          </w:p>
        </w:tc>
      </w:tr>
      <w:tr>
        <w:tc>
          <w:tcPr>
            <w:tcW w:type="dxa" w:w="2521"/>
            <w:shd w:val="clear" w:color="auto" w:fill="F2F2F2"/>
          </w:tcPr>
          <w:p>
            <w:pPr>
              <w:spacing w:after="40"/>
            </w:pPr>
            <w:r>
              <w:rPr>
                <w:sz w:val="17"/>
              </w:rPr>
              <w:t>10</w:t>
            </w:r>
          </w:p>
        </w:tc>
        <w:tc>
          <w:tcPr>
            <w:tcW w:type="dxa" w:w="2521"/>
            <w:shd w:val="clear" w:color="auto" w:fill="F2F2F2"/>
          </w:tcPr>
          <w:p>
            <w:pPr>
              <w:spacing w:after="40"/>
            </w:pPr>
            <w:r>
              <w:rPr>
                <w:sz w:val="17"/>
              </w:rPr>
              <w:t>Metropolis Healthcare</w:t>
            </w:r>
          </w:p>
        </w:tc>
        <w:tc>
          <w:tcPr>
            <w:tcW w:type="dxa" w:w="2521"/>
            <w:shd w:val="clear" w:color="auto" w:fill="F2F2F2"/>
          </w:tcPr>
          <w:p>
            <w:pPr>
              <w:spacing w:after="40"/>
            </w:pPr>
            <w:r>
              <w:rPr>
                <w:sz w:val="17"/>
              </w:rPr>
              <w:t>Diagnostics</w:t>
            </w:r>
          </w:p>
        </w:tc>
        <w:tc>
          <w:tcPr>
            <w:tcW w:type="dxa" w:w="2521"/>
            <w:shd w:val="clear" w:color="auto" w:fill="F2F2F2"/>
          </w:tcPr>
          <w:p>
            <w:pPr>
              <w:spacing w:after="40"/>
            </w:pPr>
            <w:r>
              <w:rPr>
                <w:sz w:val="17"/>
              </w:rPr>
              <w:t>Margin recovery post-COVID normalization</w:t>
            </w:r>
          </w:p>
        </w:tc>
      </w:tr>
      <w:tr>
        <w:tc>
          <w:tcPr>
            <w:tcW w:type="dxa" w:w="2521"/>
          </w:tcPr>
          <w:p>
            <w:pPr>
              <w:spacing w:after="40"/>
            </w:pPr>
            <w:r>
              <w:rPr>
                <w:sz w:val="17"/>
              </w:rPr>
              <w:t>11</w:t>
            </w:r>
          </w:p>
        </w:tc>
        <w:tc>
          <w:tcPr>
            <w:tcW w:type="dxa" w:w="2521"/>
          </w:tcPr>
          <w:p>
            <w:pPr>
              <w:spacing w:after="40"/>
            </w:pPr>
            <w:r>
              <w:rPr>
                <w:sz w:val="17"/>
              </w:rPr>
              <w:t>CCL Products (India)</w:t>
            </w:r>
          </w:p>
        </w:tc>
        <w:tc>
          <w:tcPr>
            <w:tcW w:type="dxa" w:w="2521"/>
          </w:tcPr>
          <w:p>
            <w:pPr>
              <w:spacing w:after="40"/>
            </w:pPr>
            <w:r>
              <w:rPr>
                <w:sz w:val="17"/>
              </w:rPr>
              <w:t>Instant coffee (B2B export)</w:t>
            </w:r>
          </w:p>
        </w:tc>
        <w:tc>
          <w:tcPr>
            <w:tcW w:type="dxa" w:w="2521"/>
          </w:tcPr>
          <w:p>
            <w:pPr>
              <w:spacing w:after="40"/>
            </w:pPr>
            <w:r>
              <w:rPr>
                <w:sz w:val="17"/>
              </w:rPr>
              <w:t>Capacity expansion, brand business optionality</w:t>
            </w:r>
          </w:p>
        </w:tc>
      </w:tr>
      <w:tr>
        <w:tc>
          <w:tcPr>
            <w:tcW w:type="dxa" w:w="2521"/>
            <w:shd w:val="clear" w:color="auto" w:fill="F2F2F2"/>
          </w:tcPr>
          <w:p>
            <w:pPr>
              <w:spacing w:after="40"/>
            </w:pPr>
            <w:r>
              <w:rPr>
                <w:sz w:val="17"/>
              </w:rPr>
              <w:t>12</w:t>
            </w:r>
          </w:p>
        </w:tc>
        <w:tc>
          <w:tcPr>
            <w:tcW w:type="dxa" w:w="2521"/>
            <w:shd w:val="clear" w:color="auto" w:fill="F2F2F2"/>
          </w:tcPr>
          <w:p>
            <w:pPr>
              <w:spacing w:after="40"/>
            </w:pPr>
            <w:r>
              <w:rPr>
                <w:sz w:val="17"/>
              </w:rPr>
              <w:t>Sansera Engineering</w:t>
            </w:r>
          </w:p>
        </w:tc>
        <w:tc>
          <w:tcPr>
            <w:tcW w:type="dxa" w:w="2521"/>
            <w:shd w:val="clear" w:color="auto" w:fill="F2F2F2"/>
          </w:tcPr>
          <w:p>
            <w:pPr>
              <w:spacing w:after="40"/>
            </w:pPr>
            <w:r>
              <w:rPr>
                <w:sz w:val="17"/>
              </w:rPr>
              <w:t>Auto ancillary / aerospace</w:t>
            </w:r>
          </w:p>
        </w:tc>
        <w:tc>
          <w:tcPr>
            <w:tcW w:type="dxa" w:w="2521"/>
            <w:shd w:val="clear" w:color="auto" w:fill="F2F2F2"/>
          </w:tcPr>
          <w:p>
            <w:pPr>
              <w:spacing w:after="40"/>
            </w:pPr>
            <w:r>
              <w:rPr>
                <w:sz w:val="17"/>
              </w:rPr>
              <w:t>Diversification away from ICE, aerospace ramp</w:t>
            </w:r>
          </w:p>
        </w:tc>
      </w:tr>
      <w:tr>
        <w:tc>
          <w:tcPr>
            <w:tcW w:type="dxa" w:w="2521"/>
          </w:tcPr>
          <w:p>
            <w:pPr>
              <w:spacing w:after="40"/>
            </w:pPr>
            <w:r>
              <w:rPr>
                <w:sz w:val="17"/>
              </w:rPr>
              <w:t>13</w:t>
            </w:r>
          </w:p>
        </w:tc>
        <w:tc>
          <w:tcPr>
            <w:tcW w:type="dxa" w:w="2521"/>
          </w:tcPr>
          <w:p>
            <w:pPr>
              <w:spacing w:after="40"/>
            </w:pPr>
            <w:r>
              <w:rPr>
                <w:sz w:val="17"/>
              </w:rPr>
              <w:t>NOCIL</w:t>
            </w:r>
          </w:p>
        </w:tc>
        <w:tc>
          <w:tcPr>
            <w:tcW w:type="dxa" w:w="2521"/>
          </w:tcPr>
          <w:p>
            <w:pPr>
              <w:spacing w:after="40"/>
            </w:pPr>
            <w:r>
              <w:rPr>
                <w:sz w:val="17"/>
              </w:rPr>
              <w:t>Rubber/tire chemicals</w:t>
            </w:r>
          </w:p>
        </w:tc>
        <w:tc>
          <w:tcPr>
            <w:tcW w:type="dxa" w:w="2521"/>
          </w:tcPr>
          <w:p>
            <w:pPr>
              <w:spacing w:after="40"/>
            </w:pPr>
            <w:r>
              <w:rPr>
                <w:sz w:val="17"/>
              </w:rPr>
              <w:t>Import substitution, capacity utilization inflection</w:t>
            </w:r>
          </w:p>
        </w:tc>
      </w:tr>
      <w:tr>
        <w:tc>
          <w:tcPr>
            <w:tcW w:type="dxa" w:w="2521"/>
            <w:shd w:val="clear" w:color="auto" w:fill="F2F2F2"/>
          </w:tcPr>
          <w:p>
            <w:pPr>
              <w:spacing w:after="40"/>
            </w:pPr>
            <w:r>
              <w:rPr>
                <w:sz w:val="17"/>
              </w:rPr>
              <w:t>14</w:t>
            </w:r>
          </w:p>
        </w:tc>
        <w:tc>
          <w:tcPr>
            <w:tcW w:type="dxa" w:w="2521"/>
            <w:shd w:val="clear" w:color="auto" w:fill="F2F2F2"/>
          </w:tcPr>
          <w:p>
            <w:pPr>
              <w:spacing w:after="40"/>
            </w:pPr>
            <w:r>
              <w:rPr>
                <w:sz w:val="17"/>
              </w:rPr>
              <w:t>Praj Industries</w:t>
            </w:r>
          </w:p>
        </w:tc>
        <w:tc>
          <w:tcPr>
            <w:tcW w:type="dxa" w:w="2521"/>
            <w:shd w:val="clear" w:color="auto" w:fill="F2F2F2"/>
          </w:tcPr>
          <w:p>
            <w:pPr>
              <w:spacing w:after="40"/>
            </w:pPr>
            <w:r>
              <w:rPr>
                <w:sz w:val="17"/>
              </w:rPr>
              <w:t>Ethanol/biofuel EPC</w:t>
            </w:r>
          </w:p>
        </w:tc>
        <w:tc>
          <w:tcPr>
            <w:tcW w:type="dxa" w:w="2521"/>
            <w:shd w:val="clear" w:color="auto" w:fill="F2F2F2"/>
          </w:tcPr>
          <w:p>
            <w:pPr>
              <w:spacing w:after="40"/>
            </w:pPr>
            <w:r>
              <w:rPr>
                <w:sz w:val="17"/>
              </w:rPr>
              <w:t>Government biofuel blending policy tailwind</w:t>
            </w:r>
          </w:p>
        </w:tc>
      </w:tr>
      <w:tr>
        <w:tc>
          <w:tcPr>
            <w:tcW w:type="dxa" w:w="2521"/>
          </w:tcPr>
          <w:p>
            <w:pPr>
              <w:spacing w:after="40"/>
            </w:pPr>
            <w:r>
              <w:rPr>
                <w:sz w:val="17"/>
              </w:rPr>
              <w:t>15</w:t>
            </w:r>
          </w:p>
        </w:tc>
        <w:tc>
          <w:tcPr>
            <w:tcW w:type="dxa" w:w="2521"/>
          </w:tcPr>
          <w:p>
            <w:pPr>
              <w:spacing w:after="40"/>
            </w:pPr>
            <w:r>
              <w:rPr>
                <w:sz w:val="17"/>
              </w:rPr>
              <w:t>Techno Electric &amp; Engineering</w:t>
            </w:r>
          </w:p>
        </w:tc>
        <w:tc>
          <w:tcPr>
            <w:tcW w:type="dxa" w:w="2521"/>
          </w:tcPr>
          <w:p>
            <w:pPr>
              <w:spacing w:after="40"/>
            </w:pPr>
            <w:r>
              <w:rPr>
                <w:sz w:val="17"/>
              </w:rPr>
              <w:t>T&amp;D EPC + renewables</w:t>
            </w:r>
          </w:p>
        </w:tc>
        <w:tc>
          <w:tcPr>
            <w:tcW w:type="dxa" w:w="2521"/>
          </w:tcPr>
          <w:p>
            <w:pPr>
              <w:spacing w:after="40"/>
            </w:pPr>
            <w:r>
              <w:rPr>
                <w:sz w:val="17"/>
              </w:rPr>
              <w:t>Grid capex cycle, asset monetization</w:t>
            </w:r>
          </w:p>
        </w:tc>
      </w:tr>
      <w:tr>
        <w:tc>
          <w:tcPr>
            <w:tcW w:type="dxa" w:w="2521"/>
            <w:shd w:val="clear" w:color="auto" w:fill="F2F2F2"/>
          </w:tcPr>
          <w:p>
            <w:pPr>
              <w:spacing w:after="40"/>
            </w:pPr>
            <w:r>
              <w:rPr>
                <w:sz w:val="17"/>
              </w:rPr>
              <w:t>16</w:t>
            </w:r>
          </w:p>
        </w:tc>
        <w:tc>
          <w:tcPr>
            <w:tcW w:type="dxa" w:w="2521"/>
            <w:shd w:val="clear" w:color="auto" w:fill="F2F2F2"/>
          </w:tcPr>
          <w:p>
            <w:pPr>
              <w:spacing w:after="40"/>
            </w:pPr>
            <w:r>
              <w:rPr>
                <w:sz w:val="17"/>
              </w:rPr>
              <w:t>Concord Biotech</w:t>
            </w:r>
          </w:p>
        </w:tc>
        <w:tc>
          <w:tcPr>
            <w:tcW w:type="dxa" w:w="2521"/>
            <w:shd w:val="clear" w:color="auto" w:fill="F2F2F2"/>
          </w:tcPr>
          <w:p>
            <w:pPr>
              <w:spacing w:after="40"/>
            </w:pPr>
            <w:r>
              <w:rPr>
                <w:sz w:val="17"/>
              </w:rPr>
              <w:t>Fermentation API/CDMO</w:t>
            </w:r>
          </w:p>
        </w:tc>
        <w:tc>
          <w:tcPr>
            <w:tcW w:type="dxa" w:w="2521"/>
            <w:shd w:val="clear" w:color="auto" w:fill="F2F2F2"/>
          </w:tcPr>
          <w:p>
            <w:pPr>
              <w:spacing w:after="40"/>
            </w:pPr>
            <w:r>
              <w:rPr>
                <w:sz w:val="17"/>
              </w:rPr>
              <w:t>Niche molecule leadership, high ROCE</w:t>
            </w:r>
          </w:p>
        </w:tc>
      </w:tr>
    </w:tbl>
    <w:p>
      <w:r>
        <w:br w:type="page"/>
      </w:r>
    </w:p>
    <w:p>
      <w:pPr>
        <w:spacing w:before="280" w:after="120"/>
      </w:pPr>
      <w:r>
        <w:rPr>
          <w:b/>
          <w:color w:val="1F2D50"/>
          <w:sz w:val="34"/>
        </w:rPr>
        <w:t>3. Screening Briefs — Batch A</w:t>
      </w:r>
    </w:p>
    <w:p>
      <w:pPr>
        <w:spacing w:after="40" w:before="40"/>
        <w:pBdr>
          <w:bottom w:val="single" w:sz="8" w:space="1" w:color="1F2D50"/>
        </w:pBdr>
      </w:pPr>
    </w:p>
    <w:p>
      <w:pPr>
        <w:spacing w:before="200"/>
      </w:pPr>
      <w:r>
        <w:rPr>
          <w:b/>
          <w:color w:val="1F2D50"/>
          <w:sz w:val="24"/>
        </w:rPr>
        <w:t xml:space="preserve">Craftsman Automation Ltd </w:t>
      </w:r>
      <w:r>
        <w:rPr>
          <w:i/>
          <w:color w:val="666666"/>
          <w:sz w:val="19"/>
        </w:rPr>
        <w:t>(NSE: CRAFTSMAN) — Auto ancillary / industrial</w:t>
      </w:r>
    </w:p>
    <w:p>
      <w:pPr>
        <w:spacing w:after="80"/>
      </w:pPr>
      <w:r>
        <w:rPr>
          <w:b w:val="0"/>
          <w:i/>
          <w:color w:val="666666"/>
          <w:sz w:val="18"/>
        </w:rPr>
        <w:t>Mkt cap ₹24,158 Cr | Price ₹9,230 | P/E 63.2x | ROCE 13.9% | ROE 12.5% (screener.in, 15 Jul 2026)</w:t>
      </w:r>
    </w:p>
    <w:p>
      <w:pPr>
        <w:pStyle w:val="ListBullet"/>
        <w:spacing w:after="60"/>
      </w:pPr>
      <w:r>
        <w:rPr>
          <w:b/>
          <w:sz w:val="19"/>
        </w:rPr>
        <w:t xml:space="preserve">Revenue/margin: </w:t>
      </w:r>
      <w:r>
        <w:rPr>
          <w:sz w:val="19"/>
        </w:rPr>
        <w:t>Revenue nearly doubled FY25→FY26 (₹5,690 Cr → ₹8,069 Cr) largely via consolidation of Sunbeam Lightweighting (acquired Oct 2024, ₹376 Cr) and DR Axion. OPM compressed from 20% (FY24) to 15% (FY25-26) as lower-margin acquired businesses diluted the mix.</w:t>
      </w:r>
    </w:p>
    <w:p>
      <w:pPr>
        <w:pStyle w:val="ListBullet"/>
        <w:spacing w:after="60"/>
      </w:pPr>
      <w:r>
        <w:rPr>
          <w:b/>
          <w:sz w:val="19"/>
        </w:rPr>
        <w:t xml:space="preserve">ROCE trend: </w:t>
      </w:r>
      <w:r>
        <w:rPr>
          <w:sz w:val="19"/>
        </w:rPr>
        <w:t>Fell from 20-21% (FY22-23) to 12-14% (FY24-26) — capex/M&amp;A-driven, not organic.</w:t>
      </w:r>
    </w:p>
    <w:p>
      <w:pPr>
        <w:pStyle w:val="ListBullet"/>
        <w:spacing w:after="60"/>
      </w:pPr>
      <w:r>
        <w:rPr>
          <w:b/>
          <w:sz w:val="19"/>
        </w:rPr>
        <w:t xml:space="preserve">Debt: </w:t>
      </w:r>
      <w:r>
        <w:rPr>
          <w:sz w:val="19"/>
        </w:rPr>
        <w:t>Net debt/equity ~0.66; debt/equity ~111%; interest cost up from ₹58 Cr (Q4FY25) to ₹86 Cr (Q4FY26).</w:t>
      </w:r>
    </w:p>
    <w:p>
      <w:pPr>
        <w:pStyle w:val="ListBullet"/>
        <w:spacing w:after="60"/>
      </w:pPr>
      <w:r>
        <w:rPr>
          <w:b/>
          <w:sz w:val="19"/>
        </w:rPr>
        <w:t xml:space="preserve">Credit rating: </w:t>
      </w:r>
      <w:r>
        <w:rPr>
          <w:sz w:val="19"/>
        </w:rPr>
        <w:t>CRISIL AA-/Positive (29 Jun 2026); Sunbeam entity still on “Rating Watch – Positive” pending merger into DR Axion.</w:t>
      </w:r>
    </w:p>
    <w:p>
      <w:pPr>
        <w:pStyle w:val="ListBullet"/>
        <w:spacing w:after="60"/>
      </w:pPr>
      <w:r>
        <w:rPr>
          <w:b/>
          <w:sz w:val="19"/>
        </w:rPr>
        <w:t xml:space="preserve">Red flags: </w:t>
      </w:r>
      <w:r>
        <w:rPr>
          <w:sz w:val="19"/>
        </w:rPr>
        <w:t>Sunbeam remains loss-making (₹40 Cr loss on ₹1,397 Cr revenue, FY26); promoter sold ~2.01% stake (~₹484-486 Cr block deal, mid-2026) on top of a recent ₹2,000 Cr QIP; promoter holding fell from 54.99% (Sep-23) to 42.41% (Jun-26); complex multi-entity group structure.</w:t>
      </w:r>
    </w:p>
    <w:p>
      <w:pPr>
        <w:spacing w:before="40" w:after="120"/>
      </w:pPr>
      <w:r>
        <w:rPr>
          <w:b/>
          <w:color w:val="8A1F1F"/>
          <w:sz w:val="20"/>
        </w:rPr>
        <w:t>VERDICT: Lean toward reject at current price. Growth is real but debt/acquisition-fueled, not margin-led. At 63x P/E for ~14% ROCE, valuation already assumes a Sunbeam turnaround not yet visible in numbers. Heavy promoter selling is a caution flag. Revisit if Sunbeam margins actually turn positive.</w:t>
      </w:r>
    </w:p>
    <w:p>
      <w:pPr>
        <w:spacing w:after="160"/>
      </w:pPr>
      <w:r>
        <w:rPr>
          <w:b/>
          <w:i/>
          <w:sz w:val="17"/>
        </w:rPr>
        <w:t xml:space="preserve">Sources: </w:t>
      </w:r>
      <w:r>
        <w:rPr>
          <w:i/>
          <w:color w:val="666666"/>
          <w:sz w:val="17"/>
        </w:rPr>
        <w:t>Screener.in (15 Jul 2026); CRISIL rating action (29 Jun 2026); FY26 results filings; block deal news coverage, mid-2026.</w:t>
      </w:r>
    </w:p>
    <w:p>
      <w:pPr>
        <w:spacing w:before="200"/>
      </w:pPr>
      <w:r>
        <w:rPr>
          <w:b/>
          <w:color w:val="1F2D50"/>
          <w:sz w:val="24"/>
        </w:rPr>
        <w:t xml:space="preserve">Karur Vysya Bank Ltd </w:t>
      </w:r>
      <w:r>
        <w:rPr>
          <w:i/>
          <w:color w:val="666666"/>
          <w:sz w:val="19"/>
        </w:rPr>
        <w:t>(NSE: KARURVYSYA) — Mid-size private bank</w:t>
      </w:r>
    </w:p>
    <w:p>
      <w:pPr>
        <w:spacing w:after="80"/>
      </w:pPr>
      <w:r>
        <w:rPr>
          <w:b w:val="0"/>
          <w:i/>
          <w:color w:val="666666"/>
          <w:sz w:val="18"/>
        </w:rPr>
        <w:t>Mkt cap ₹29,488 Cr | Price ₹305 | P/E 11.9x | Book value ₹146 | ROE 19.1% (screener.in, 15 Jul 2026)</w:t>
      </w:r>
    </w:p>
    <w:p>
      <w:pPr>
        <w:pStyle w:val="ListBullet"/>
        <w:spacing w:after="60"/>
      </w:pPr>
      <w:r>
        <w:rPr>
          <w:b/>
          <w:sz w:val="19"/>
        </w:rPr>
        <w:t xml:space="preserve">PAT trend: </w:t>
      </w:r>
      <w:r>
        <w:rPr>
          <w:sz w:val="19"/>
        </w:rPr>
        <w:t>FY23 ₹1,106 Cr → FY24 ₹1,605 Cr → FY25 ₹1,942 Cr → FY26 ₹2,510 Cr (+29% YoY, record high).</w:t>
      </w:r>
    </w:p>
    <w:p>
      <w:pPr>
        <w:pStyle w:val="ListBullet"/>
        <w:spacing w:after="60"/>
      </w:pPr>
      <w:r>
        <w:rPr>
          <w:b/>
          <w:sz w:val="19"/>
        </w:rPr>
        <w:t xml:space="preserve">Returns trend: </w:t>
      </w:r>
      <w:r>
        <w:rPr>
          <w:sz w:val="19"/>
        </w:rPr>
        <w:t>ROE climbed steadily FY22 (9%) → FY26 (19%). NIM ~3.9-3.99%, within FY26 guidance. ROA hit 1.93% FY26 (Q4 ROA 2.10%), meeting management's &gt;1.85% target.</w:t>
      </w:r>
    </w:p>
    <w:p>
      <w:pPr>
        <w:pStyle w:val="ListBullet"/>
        <w:spacing w:after="60"/>
      </w:pPr>
      <w:r>
        <w:rPr>
          <w:b/>
          <w:sz w:val="19"/>
        </w:rPr>
        <w:t xml:space="preserve">Asset quality: </w:t>
      </w:r>
      <w:r>
        <w:rPr>
          <w:sz w:val="19"/>
        </w:rPr>
        <w:t>GNPA 0.75%, NNPA 0.19%, PCR 96.56% as of Mar 2026 — among the cleanest in mid-cap private banking.</w:t>
      </w:r>
    </w:p>
    <w:p>
      <w:pPr>
        <w:pStyle w:val="ListBullet"/>
        <w:spacing w:after="60"/>
      </w:pPr>
      <w:r>
        <w:rPr>
          <w:b/>
          <w:sz w:val="19"/>
        </w:rPr>
        <w:t xml:space="preserve">Recent quarters: </w:t>
      </w:r>
      <w:r>
        <w:rPr>
          <w:sz w:val="19"/>
        </w:rPr>
        <w:t>Q3 FY26 PAT ₹690 Cr (+25% YoY); Q4 FY26 PAT ₹725 Cr (+41% YoY). Advances crossed ₹1 lakh crore in Q1 FY27 (+17.12% YoY).</w:t>
      </w:r>
    </w:p>
    <w:p>
      <w:pPr>
        <w:pStyle w:val="ListBullet"/>
        <w:spacing w:after="60"/>
      </w:pPr>
      <w:r>
        <w:rPr>
          <w:b/>
          <w:sz w:val="19"/>
        </w:rPr>
        <w:t xml:space="preserve">Credit rating: </w:t>
      </w:r>
      <w:r>
        <w:rPr>
          <w:sz w:val="19"/>
        </w:rPr>
        <w:t>ICRA reaffirmed issuer rating AA (Stable), 29 Jun 2026; A1+ for enhanced ₹12,000 Cr CD programme. Capital adequacy 18.76%.</w:t>
      </w:r>
    </w:p>
    <w:p>
      <w:pPr>
        <w:pStyle w:val="ListBullet"/>
        <w:spacing w:after="60"/>
      </w:pPr>
      <w:r>
        <w:rPr>
          <w:b/>
          <w:sz w:val="19"/>
        </w:rPr>
        <w:t xml:space="preserve">Red flags: </w:t>
      </w:r>
      <w:r>
        <w:rPr>
          <w:sz w:val="19"/>
        </w:rPr>
        <w:t>CASA ratio declined from ~48% (Jun-23) to ~39% (Mar-26), implying cost-of-funds pressure; contingent liabilities ₹14,661 Cr; promoter holding structurally low (2.07%); agencies held AA/Stable rather than upgrading despite improving metrics.</w:t>
      </w:r>
    </w:p>
    <w:p>
      <w:pPr>
        <w:spacing w:before="40" w:after="120"/>
      </w:pPr>
      <w:r>
        <w:rPr>
          <w:b/>
          <w:color w:val="1E6B3A"/>
          <w:sz w:val="20"/>
        </w:rPr>
        <w:t>VERDICT: Most attractive risk-adjusted candidate of the batch. Genuine, credible compounding — improving ROA/NIM, best-in-class asset quality, reasonable valuation. Fewest red flags of the four screened in this batch.</w:t>
      </w:r>
    </w:p>
    <w:p>
      <w:pPr>
        <w:spacing w:after="160"/>
      </w:pPr>
      <w:r>
        <w:rPr>
          <w:b/>
          <w:i/>
          <w:sz w:val="17"/>
        </w:rPr>
        <w:t xml:space="preserve">Sources: </w:t>
      </w:r>
      <w:r>
        <w:rPr>
          <w:i/>
          <w:color w:val="666666"/>
          <w:sz w:val="17"/>
        </w:rPr>
        <w:t>Screener.in (15 Jul 2026); ICRA rating action (29 Jun 2026); ET, Livemint, CNBC-TV18 coverage 2022-2026; Quartr FY26 summary.</w:t>
      </w:r>
    </w:p>
    <w:p>
      <w:pPr>
        <w:spacing w:before="200"/>
      </w:pPr>
      <w:r>
        <w:rPr>
          <w:b/>
          <w:color w:val="1F2D50"/>
          <w:sz w:val="24"/>
        </w:rPr>
        <w:t xml:space="preserve">Anand Rathi Wealth Ltd </w:t>
      </w:r>
      <w:r>
        <w:rPr>
          <w:i/>
          <w:color w:val="666666"/>
          <w:sz w:val="19"/>
        </w:rPr>
        <w:t>(NSE: ANANDRATHI) — Wealth management</w:t>
      </w:r>
    </w:p>
    <w:p>
      <w:pPr>
        <w:spacing w:after="80"/>
      </w:pPr>
      <w:r>
        <w:rPr>
          <w:b w:val="0"/>
          <w:i/>
          <w:color w:val="666666"/>
          <w:sz w:val="18"/>
        </w:rPr>
        <w:t>Mkt cap ₹34,555 Cr | Price ₹2,082 | P/E 74.3x | ROCE 59.2% | ROE 47.3% (pre-dates Q1 FY27 margin miss)</w:t>
      </w:r>
    </w:p>
    <w:p>
      <w:pPr>
        <w:pStyle w:val="ListBullet"/>
        <w:spacing w:after="60"/>
      </w:pPr>
      <w:r>
        <w:rPr>
          <w:b/>
          <w:sz w:val="19"/>
        </w:rPr>
        <w:t xml:space="preserve">FY26 results: </w:t>
      </w:r>
      <w:r>
        <w:rPr>
          <w:sz w:val="19"/>
        </w:rPr>
        <w:t>Revenue ₹1,253 Cr (+28%), PAT ₹397 Cr (+32%). ROCE rising: 48% (FY20)→59% (FY26). BUT full-year OPM already fell from 45% (FY25) to 39% (FY26) — margin compression predates Q1FY27. AUM ₹1,06,300 Cr as of Jun-2026 (+21% YoY).</w:t>
      </w:r>
    </w:p>
    <w:p>
      <w:pPr>
        <w:pStyle w:val="ListBullet"/>
        <w:spacing w:after="60"/>
      </w:pPr>
      <w:r>
        <w:rPr>
          <w:b/>
          <w:sz w:val="19"/>
        </w:rPr>
        <w:t xml:space="preserve">Q1 FY27 shock: </w:t>
      </w:r>
      <w:r>
        <w:rPr>
          <w:sz w:val="19"/>
        </w:rPr>
        <w:t>PAT ₹163 Cr (+74% YoY, boosted by investment/other income), but EBITDA fell 15% YoY to ₹109 Cr and margin collapsed to 33.7% from 46.6% — driven by a 53% YoY jump in employee costs including a one-time ESOP charge. Motilal Oswal downgraded to Sell (target ₹1,700, ~21% downside), citing a 27% EBITDA miss and cutting FY27 margin estimates by 563bps.</w:t>
      </w:r>
    </w:p>
    <w:p>
      <w:pPr>
        <w:pStyle w:val="ListBullet"/>
        <w:spacing w:after="60"/>
      </w:pPr>
      <w:r>
        <w:rPr>
          <w:b/>
          <w:sz w:val="19"/>
        </w:rPr>
        <w:t xml:space="preserve">Red flags: </w:t>
      </w:r>
      <w:r>
        <w:rPr>
          <w:sz w:val="19"/>
        </w:rPr>
        <w:t>Trades at 34.6x book value; promoter stake fell from 48.7% (Sep-23) to 41.4% (Jun-26), including a ₹500 Cr open-market sale in Jul 2026; a promoter pledge disclosure error was reported and later “corrected” involving a 5,60,000-share pledge, and pledge levels reportedly spiked to 11.42% in Mar-2026 from ~0% in Dec-2025; PAT growth increasingly reliant on “other income” (₹205 Cr flagged), not core distribution economics.</w:t>
      </w:r>
    </w:p>
    <w:p>
      <w:pPr>
        <w:spacing w:before="40" w:after="120"/>
      </w:pPr>
      <w:r>
        <w:rPr>
          <w:b/>
          <w:color w:val="8A1F1F"/>
          <w:sz w:val="20"/>
        </w:rPr>
        <w:t>VERDICT: Reject at current price. Excellent underlying franchise but priced for perfection at 74x P/E while margins are now visibly cracking and a promoter pledge irregularity is unexplained. Market has not fully repriced margin/governance risk.</w:t>
      </w:r>
    </w:p>
    <w:p>
      <w:pPr>
        <w:spacing w:after="160"/>
      </w:pPr>
      <w:r>
        <w:rPr>
          <w:b/>
          <w:i/>
          <w:sz w:val="17"/>
        </w:rPr>
        <w:t xml:space="preserve">Sources: </w:t>
      </w:r>
      <w:r>
        <w:rPr>
          <w:i/>
          <w:color w:val="666666"/>
          <w:sz w:val="17"/>
        </w:rPr>
        <w:t>Screener.in; Motilal Oswal research note (2026); Q1 FY27 results filing; pledge disclosure news coverage, 2026.</w:t>
      </w:r>
    </w:p>
    <w:p>
      <w:pPr>
        <w:spacing w:before="200"/>
      </w:pPr>
      <w:r>
        <w:rPr>
          <w:b/>
          <w:color w:val="1F2D50"/>
          <w:sz w:val="24"/>
        </w:rPr>
        <w:t xml:space="preserve">Neuland Laboratories Ltd </w:t>
      </w:r>
      <w:r>
        <w:rPr>
          <w:i/>
          <w:color w:val="666666"/>
          <w:sz w:val="19"/>
        </w:rPr>
        <w:t>(NSE: NEULANDLAB) — Pharma CDMO</w:t>
      </w:r>
    </w:p>
    <w:p>
      <w:pPr>
        <w:spacing w:after="80"/>
      </w:pPr>
      <w:r>
        <w:rPr>
          <w:b w:val="0"/>
          <w:i/>
          <w:color w:val="666666"/>
          <w:sz w:val="18"/>
        </w:rPr>
        <w:t>Mkt cap ₹24,525 Cr | Price ₹19,114 | P/E 67.9x | Book value ₹1,461 | ROCE 26.5% | ROE 21.2%</w:t>
      </w:r>
    </w:p>
    <w:p>
      <w:pPr>
        <w:pStyle w:val="ListBullet"/>
        <w:spacing w:after="60"/>
      </w:pPr>
      <w:r>
        <w:rPr>
          <w:b/>
          <w:sz w:val="19"/>
        </w:rPr>
        <w:t xml:space="preserve">Revenue/PAT: </w:t>
      </w:r>
      <w:r>
        <w:rPr>
          <w:sz w:val="19"/>
        </w:rPr>
        <w:t>Revenue: FY24 ₹1,559 Cr → FY25 ₹1,477 Cr (dip) → FY26 ₹2,023 Cr (+37%). PAT: FY24 ₹300 Cr → FY25 ₹260 Cr → FY26 ₹364 Cr (+40%). EBITDA margin expanded materially FY26 to 29.4% from 22.9% FY25 — genuine full-year improvement, driven by CMS (custom manufacturing for innovator pharma) mix shift.</w:t>
      </w:r>
    </w:p>
    <w:p>
      <w:pPr>
        <w:pStyle w:val="ListBullet"/>
        <w:spacing w:after="60"/>
      </w:pPr>
      <w:r>
        <w:rPr>
          <w:b/>
          <w:sz w:val="19"/>
        </w:rPr>
        <w:t xml:space="preserve">Quarterly volatility: </w:t>
      </w:r>
      <w:r>
        <w:rPr>
          <w:sz w:val="19"/>
        </w:rPr>
        <w:t>Severe. Q3 FY26 revenue fell 10.5% YoY/14.8% QoQ with PAT dropping to ₹41 Cr from ₹97 Cr prior quarter (“profit drops sharply” headlines, Feb 2026). Q4 FY26 then surged: PAT ₹213 Cr, gross margin 62.1%, EBITDA margin ~40%.</w:t>
      </w:r>
    </w:p>
    <w:p>
      <w:pPr>
        <w:pStyle w:val="ListBullet"/>
        <w:spacing w:after="60"/>
      </w:pPr>
      <w:r>
        <w:rPr>
          <w:b/>
          <w:sz w:val="19"/>
        </w:rPr>
        <w:t xml:space="preserve">Credit rating: </w:t>
      </w:r>
      <w:r>
        <w:rPr>
          <w:sz w:val="19"/>
        </w:rPr>
        <w:t>India Ratings affirmed IND A+/Positive and IND A1 (~13 Jul 2026); Fitch and CRISIL also improving through 2025-26.</w:t>
      </w:r>
    </w:p>
    <w:p>
      <w:pPr>
        <w:pStyle w:val="ListBullet"/>
        <w:spacing w:after="60"/>
      </w:pPr>
      <w:r>
        <w:rPr>
          <w:b/>
          <w:sz w:val="19"/>
        </w:rPr>
        <w:t xml:space="preserve">Balance sheet: </w:t>
      </w:r>
      <w:r>
        <w:rPr>
          <w:sz w:val="19"/>
        </w:rPr>
        <w:t>Low interest burden (~₹24 Cr FY26); FCF turned negative (-₹50 Cr FY26) on heavy capex (CWIP jumped to ₹211 Cr); cash conversion cycle stretched (~214 days).</w:t>
      </w:r>
    </w:p>
    <w:p>
      <w:pPr>
        <w:pStyle w:val="ListBullet"/>
        <w:spacing w:after="60"/>
      </w:pPr>
      <w:r>
        <w:rPr>
          <w:b/>
          <w:sz w:val="19"/>
        </w:rPr>
        <w:t xml:space="preserve">Red flags: </w:t>
      </w:r>
      <w:r>
        <w:rPr>
          <w:sz w:val="19"/>
        </w:rPr>
        <w:t>Extreme quarter-to-quarter lumpiness tied to large CMS customer order timing (implicit customer concentration risk within CMS book); promoter holding down 3.5% over 3 years; trades at 13.1x book; negative FCF during expansion phase raises execution risk.</w:t>
      </w:r>
    </w:p>
    <w:p>
      <w:pPr>
        <w:spacing w:before="40" w:after="120"/>
      </w:pPr>
      <w:r>
        <w:rPr>
          <w:b/>
          <w:color w:val="B8860B"/>
          <w:sz w:val="20"/>
        </w:rPr>
        <w:t>VERDICT: Not a reject, but not high-conviction on current evidence. Most plausible genuine inflection story of the batch — margin expansion real at annual level, rating agencies validating improving credit quality — but extreme quarterly swings mean the market could be over-extrapolating one strong quarter (Q4FY26) onto a structurally lumpy order book. Worth deeper diligence on CMS pipeline/customer concentration.</w:t>
      </w:r>
    </w:p>
    <w:p>
      <w:pPr>
        <w:spacing w:after="160"/>
      </w:pPr>
      <w:r>
        <w:rPr>
          <w:b/>
          <w:i/>
          <w:sz w:val="17"/>
        </w:rPr>
        <w:t xml:space="preserve">Sources: </w:t>
      </w:r>
      <w:r>
        <w:rPr>
          <w:i/>
          <w:color w:val="666666"/>
          <w:sz w:val="17"/>
        </w:rPr>
        <w:t>Screener.in; India Ratings affirmation (~13 Jul 2026); Q3/Q4 FY26 results coverage, Feb-May 2026.</w:t>
      </w:r>
    </w:p>
    <w:p>
      <w:r>
        <w:br w:type="page"/>
      </w:r>
    </w:p>
    <w:p>
      <w:pPr>
        <w:spacing w:before="280" w:after="120"/>
      </w:pPr>
      <w:r>
        <w:rPr>
          <w:b/>
          <w:color w:val="1F2D50"/>
          <w:sz w:val="34"/>
        </w:rPr>
        <w:t>4. Screening Briefs — Batch B</w:t>
      </w:r>
    </w:p>
    <w:p>
      <w:pPr>
        <w:spacing w:after="40" w:before="40"/>
        <w:pBdr>
          <w:bottom w:val="single" w:sz="8" w:space="1" w:color="1F2D50"/>
        </w:pBdr>
      </w:pPr>
    </w:p>
    <w:p>
      <w:pPr>
        <w:spacing w:before="200"/>
      </w:pPr>
      <w:r>
        <w:rPr>
          <w:b/>
          <w:color w:val="1F2D50"/>
          <w:sz w:val="24"/>
        </w:rPr>
        <w:t xml:space="preserve">Kaynes Technology India Ltd </w:t>
      </w:r>
      <w:r>
        <w:rPr>
          <w:i/>
          <w:color w:val="666666"/>
          <w:sz w:val="19"/>
        </w:rPr>
        <w:t>(NSE: KAYNES) — EMS / electronics</w:t>
      </w:r>
    </w:p>
    <w:p>
      <w:pPr>
        <w:spacing w:after="80"/>
      </w:pPr>
      <w:r>
        <w:rPr>
          <w:b w:val="0"/>
          <w:i/>
          <w:color w:val="666666"/>
          <w:sz w:val="18"/>
        </w:rPr>
        <w:t>Mkt cap ₹22,374 Cr | P/E 87.4x | ROCE 10.6% | ROE 7.2%</w:t>
      </w:r>
    </w:p>
    <w:p>
      <w:pPr>
        <w:pStyle w:val="ListBullet"/>
        <w:spacing w:after="60"/>
      </w:pPr>
      <w:r>
        <w:rPr>
          <w:b/>
          <w:sz w:val="19"/>
        </w:rPr>
        <w:t xml:space="preserve">FY26 results: </w:t>
      </w:r>
      <w:r>
        <w:rPr>
          <w:sz w:val="19"/>
        </w:rPr>
        <w:t>Revenue ₹3,626 Cr (+33%), but Q4 FY26 PAT fell 22% YoY causing an 18-20% stock crash and a JPMorgan downgrade.</w:t>
      </w:r>
    </w:p>
    <w:p>
      <w:pPr>
        <w:pStyle w:val="ListBullet"/>
        <w:spacing w:after="60"/>
      </w:pPr>
      <w:r>
        <w:rPr>
          <w:b/>
          <w:sz w:val="19"/>
        </w:rPr>
        <w:t xml:space="preserve">Governance red flag: </w:t>
      </w:r>
      <w:r>
        <w:rPr>
          <w:sz w:val="19"/>
        </w:rPr>
        <w:t>Company admitted an undisclosed related-party transaction with subsidiary Iskraemeco in standalone FY24 financials; Kotak flagged inconsistent RPT disclosures and unclear acquisition accounting (Dec 2025).</w:t>
      </w:r>
    </w:p>
    <w:p>
      <w:pPr>
        <w:pStyle w:val="ListBullet"/>
        <w:spacing w:after="60"/>
      </w:pPr>
      <w:r>
        <w:rPr>
          <w:b/>
          <w:sz w:val="19"/>
        </w:rPr>
        <w:t xml:space="preserve">Working capital blowout: </w:t>
      </w:r>
      <w:r>
        <w:rPr>
          <w:sz w:val="19"/>
        </w:rPr>
        <w:t>Smart-metering segment has a severe receivables problem (₹1,365 Cr receivables vs ₹971 Cr revenue; working capital days blew out from 267 to 486).</w:t>
      </w:r>
    </w:p>
    <w:p>
      <w:pPr>
        <w:pStyle w:val="ListBullet"/>
        <w:spacing w:after="60"/>
      </w:pPr>
      <w:r>
        <w:rPr>
          <w:b/>
          <w:sz w:val="19"/>
        </w:rPr>
        <w:t xml:space="preserve">Market reaction: </w:t>
      </w:r>
      <w:r>
        <w:rPr>
          <w:sz w:val="19"/>
        </w:rPr>
        <w:t>Stock down ~50% from Oct 2025 high.</w:t>
      </w:r>
    </w:p>
    <w:p>
      <w:pPr>
        <w:pStyle w:val="ListBullet"/>
        <w:spacing w:after="60"/>
      </w:pPr>
      <w:r>
        <w:rPr>
          <w:b/>
          <w:sz w:val="19"/>
        </w:rPr>
        <w:t xml:space="preserve">Credit rating: </w:t>
      </w:r>
      <w:r>
        <w:rPr>
          <w:sz w:val="19"/>
        </w:rPr>
        <w:t>CRISIL A/Stable.</w:t>
      </w:r>
    </w:p>
    <w:p>
      <w:pPr>
        <w:spacing w:before="40" w:after="120"/>
      </w:pPr>
      <w:r>
        <w:rPr>
          <w:b/>
          <w:color w:val="8A1F1F"/>
          <w:sz w:val="20"/>
        </w:rPr>
        <w:t>VERDICT: Reject/avoid. Real governance and accounting-quality issues, not just sentiment.</w:t>
      </w:r>
    </w:p>
    <w:p>
      <w:pPr>
        <w:spacing w:after="160"/>
      </w:pPr>
      <w:r>
        <w:rPr>
          <w:b/>
          <w:i/>
          <w:sz w:val="17"/>
        </w:rPr>
        <w:t xml:space="preserve">Sources: </w:t>
      </w:r>
      <w:r>
        <w:rPr>
          <w:i/>
          <w:color w:val="666666"/>
          <w:sz w:val="17"/>
        </w:rPr>
        <w:t>Kotak research note (Dec 2025); JPMorgan downgrade coverage; Q4 FY26 results filing; screener.in.</w:t>
      </w:r>
    </w:p>
    <w:p>
      <w:pPr>
        <w:spacing w:before="200"/>
      </w:pPr>
      <w:r>
        <w:rPr>
          <w:b/>
          <w:color w:val="1F2D50"/>
          <w:sz w:val="24"/>
        </w:rPr>
        <w:t xml:space="preserve">Metropolis Healthcare Ltd </w:t>
      </w:r>
      <w:r>
        <w:rPr>
          <w:i/>
          <w:color w:val="666666"/>
          <w:sz w:val="19"/>
        </w:rPr>
        <w:t>(NSE: METROPOLIS) — Diagnostics</w:t>
      </w:r>
    </w:p>
    <w:p>
      <w:pPr>
        <w:spacing w:after="80"/>
      </w:pPr>
      <w:r>
        <w:rPr>
          <w:b w:val="0"/>
          <w:i/>
          <w:color w:val="666666"/>
          <w:sz w:val="18"/>
        </w:rPr>
        <w:t>Mkt cap ₹11,858 Cr | P/E ~73x | ROCE 15.9% | ROE 12.4% | P/B 8.5x</w:t>
      </w:r>
    </w:p>
    <w:p>
      <w:pPr>
        <w:pStyle w:val="ListBullet"/>
        <w:spacing w:after="60"/>
      </w:pPr>
      <w:r>
        <w:rPr>
          <w:b/>
          <w:sz w:val="19"/>
        </w:rPr>
        <w:t xml:space="preserve">Growth quality: </w:t>
      </w:r>
      <w:r>
        <w:rPr>
          <w:sz w:val="19"/>
        </w:rPr>
        <w:t>Screener explicitly flags “poor sales growth of 10.8% over 5 years.”</w:t>
      </w:r>
    </w:p>
    <w:p>
      <w:pPr>
        <w:pStyle w:val="ListBullet"/>
        <w:spacing w:after="60"/>
      </w:pPr>
      <w:r>
        <w:rPr>
          <w:b/>
          <w:sz w:val="19"/>
        </w:rPr>
        <w:t xml:space="preserve">Returns trend: </w:t>
      </w:r>
      <w:r>
        <w:rPr>
          <w:sz w:val="19"/>
        </w:rPr>
        <w:t>ROE structurally declined from 19% (10yr) to 12% (3yr/last year); ROCE collapsed from 50% (FY17) to 13% (FY24) before recovering to 16% (FY26), coinciding with debt-funded M&amp;A.</w:t>
      </w:r>
    </w:p>
    <w:p>
      <w:pPr>
        <w:pStyle w:val="ListBullet"/>
        <w:spacing w:after="60"/>
      </w:pPr>
      <w:r>
        <w:rPr>
          <w:b/>
          <w:sz w:val="19"/>
        </w:rPr>
        <w:t xml:space="preserve">Acquisition dependence: </w:t>
      </w:r>
      <w:r>
        <w:rPr>
          <w:sz w:val="19"/>
        </w:rPr>
        <w:t>CORE Diagnostics acquired Dec 2024 for ₹247 Cr, currently margin-dilutive.</w:t>
      </w:r>
    </w:p>
    <w:p>
      <w:pPr>
        <w:pStyle w:val="ListBullet"/>
        <w:spacing w:after="60"/>
      </w:pPr>
      <w:r>
        <w:rPr>
          <w:b/>
          <w:sz w:val="19"/>
        </w:rPr>
        <w:t xml:space="preserve">Recent improvement: </w:t>
      </w:r>
      <w:r>
        <w:rPr>
          <w:sz w:val="19"/>
        </w:rPr>
        <w:t>Q4 FY26 PAT +75% YoY — real, but acquisition-dependent.</w:t>
      </w:r>
    </w:p>
    <w:p>
      <w:pPr>
        <w:spacing w:before="40" w:after="120"/>
      </w:pPr>
      <w:r>
        <w:rPr>
          <w:b/>
          <w:color w:val="8A1F1F"/>
          <w:sz w:val="20"/>
        </w:rPr>
        <w:t>VERDICT: Cautious / lean reject. Margin recovery narrative is real but growth is acquisition-dependent and already priced at ~70x earnings.</w:t>
      </w:r>
    </w:p>
    <w:p>
      <w:pPr>
        <w:spacing w:after="160"/>
      </w:pPr>
      <w:r>
        <w:rPr>
          <w:b/>
          <w:i/>
          <w:sz w:val="17"/>
        </w:rPr>
        <w:t xml:space="preserve">Sources: </w:t>
      </w:r>
      <w:r>
        <w:rPr>
          <w:i/>
          <w:color w:val="666666"/>
          <w:sz w:val="17"/>
        </w:rPr>
        <w:t>Screener.in; acquisition announcement filings (Dec 2024); Q4 FY26 results coverage.</w:t>
      </w:r>
    </w:p>
    <w:p>
      <w:pPr>
        <w:spacing w:before="200"/>
      </w:pPr>
      <w:r>
        <w:rPr>
          <w:b/>
          <w:color w:val="1F2D50"/>
          <w:sz w:val="24"/>
        </w:rPr>
        <w:t xml:space="preserve">CCL Products (India) Ltd </w:t>
      </w:r>
      <w:r>
        <w:rPr>
          <w:i/>
          <w:color w:val="666666"/>
          <w:sz w:val="19"/>
        </w:rPr>
        <w:t>(NSE: CCL) — Instant coffee (B2B export)</w:t>
      </w:r>
    </w:p>
    <w:p>
      <w:pPr>
        <w:spacing w:after="80"/>
      </w:pPr>
      <w:r>
        <w:rPr>
          <w:b w:val="0"/>
          <w:i/>
          <w:color w:val="666666"/>
          <w:sz w:val="18"/>
        </w:rPr>
        <w:t>Mkt cap ₹16,338 Cr | P/E 42.1x | ROCE 15.8% | ROE 18%</w:t>
      </w:r>
    </w:p>
    <w:p>
      <w:pPr>
        <w:pStyle w:val="ListBullet"/>
        <w:spacing w:after="60"/>
      </w:pPr>
      <w:r>
        <w:rPr>
          <w:b/>
          <w:sz w:val="19"/>
        </w:rPr>
        <w:t xml:space="preserve">FY26 results: </w:t>
      </w:r>
      <w:r>
        <w:rPr>
          <w:sz w:val="19"/>
        </w:rPr>
        <w:t>Revenue surged 43% to ~₹4,460 Cr, PAT +25% to ₹388 Cr, debt cut by ~₹700 Cr.</w:t>
      </w:r>
    </w:p>
    <w:p>
      <w:pPr>
        <w:pStyle w:val="ListBullet"/>
        <w:spacing w:after="60"/>
      </w:pPr>
      <w:r>
        <w:rPr>
          <w:b/>
          <w:sz w:val="19"/>
        </w:rPr>
        <w:t xml:space="preserve">Caveat noted at screening stage: </w:t>
      </w:r>
      <w:r>
        <w:rPr>
          <w:sz w:val="19"/>
        </w:rPr>
        <w:t>OPM% actually compressed from ~18% to ~16% during the revenue surge — growth isn't pure operating leverage on a headline basis (later resolved in deep diligence, Section 9, as a EBITDA/kg vs. EBITDA% optical effect).</w:t>
      </w:r>
    </w:p>
    <w:p>
      <w:pPr>
        <w:pStyle w:val="ListBullet"/>
        <w:spacing w:after="60"/>
      </w:pPr>
      <w:r>
        <w:rPr>
          <w:b/>
          <w:sz w:val="19"/>
        </w:rPr>
        <w:t xml:space="preserve">Governance: </w:t>
      </w:r>
      <w:r>
        <w:rPr>
          <w:sz w:val="19"/>
        </w:rPr>
        <w:t>No promoter pledging, RPT, or governance red flags found in search.</w:t>
      </w:r>
    </w:p>
    <w:p>
      <w:pPr>
        <w:pStyle w:val="ListBullet"/>
        <w:spacing w:after="60"/>
      </w:pPr>
      <w:r>
        <w:rPr>
          <w:b/>
          <w:sz w:val="19"/>
        </w:rPr>
        <w:t xml:space="preserve">Customer concentration: </w:t>
      </w:r>
      <w:r>
        <w:rPr>
          <w:sz w:val="19"/>
        </w:rPr>
        <w:t>Structurally likely given private-label model but exact figures unverified at screening stage.</w:t>
      </w:r>
    </w:p>
    <w:p>
      <w:pPr>
        <w:spacing w:before="40" w:after="120"/>
      </w:pPr>
      <w:r>
        <w:rPr>
          <w:b/>
          <w:color w:val="1E6B3A"/>
          <w:sz w:val="20"/>
        </w:rPr>
        <w:t>VERDICT: Most credible candidate of the batch. Cleanest story, real growth + deleveraging, no red flags found, though margin compression needs explaining (see Section 9 for resolution).</w:t>
      </w:r>
    </w:p>
    <w:p>
      <w:pPr>
        <w:spacing w:after="160"/>
      </w:pPr>
      <w:r>
        <w:rPr>
          <w:b/>
          <w:i/>
          <w:sz w:val="17"/>
        </w:rPr>
        <w:t xml:space="preserve">Sources: </w:t>
      </w:r>
      <w:r>
        <w:rPr>
          <w:i/>
          <w:color w:val="666666"/>
          <w:sz w:val="17"/>
        </w:rPr>
        <w:t>Screener.in; FY26 results filing; Q3/Q4 FY26 transcript summaries (Quartr, stockanalysis.com).</w:t>
      </w:r>
    </w:p>
    <w:p>
      <w:pPr>
        <w:spacing w:before="200"/>
      </w:pPr>
      <w:r>
        <w:rPr>
          <w:b/>
          <w:color w:val="1F2D50"/>
          <w:sz w:val="24"/>
        </w:rPr>
        <w:t xml:space="preserve">Sansera Engineering Ltd </w:t>
      </w:r>
      <w:r>
        <w:rPr>
          <w:i/>
          <w:color w:val="666666"/>
          <w:sz w:val="19"/>
        </w:rPr>
        <w:t>(NSE: SANSERA) — Auto ancillary / aerospace</w:t>
      </w:r>
    </w:p>
    <w:p>
      <w:pPr>
        <w:spacing w:after="80"/>
      </w:pPr>
      <w:r>
        <w:rPr>
          <w:b w:val="0"/>
          <w:i/>
          <w:color w:val="666666"/>
          <w:sz w:val="18"/>
        </w:rPr>
        <w:t>Mkt cap ~₹20,325 Cr (consolidated) | P/E 60.4x | ROCE 14.1% | ROE 11.5% (flagged “low ROE over last 3 years”)</w:t>
      </w:r>
    </w:p>
    <w:p>
      <w:pPr>
        <w:pStyle w:val="ListBullet"/>
        <w:spacing w:after="60"/>
      </w:pPr>
      <w:r>
        <w:rPr>
          <w:b/>
          <w:sz w:val="19"/>
        </w:rPr>
        <w:t xml:space="preserve">FY26 results: </w:t>
      </w:r>
      <w:r>
        <w:rPr>
          <w:sz w:val="19"/>
        </w:rPr>
        <w:t>Revenue +16%, PAT +51% (aided by low prior-year base and one-time Q3 charge).</w:t>
      </w:r>
    </w:p>
    <w:p>
      <w:pPr>
        <w:pStyle w:val="ListBullet"/>
        <w:spacing w:after="60"/>
      </w:pPr>
      <w:r>
        <w:rPr>
          <w:b/>
          <w:sz w:val="19"/>
        </w:rPr>
        <w:t xml:space="preserve">Deleveraging: </w:t>
      </w:r>
      <w:r>
        <w:rPr>
          <w:sz w:val="19"/>
        </w:rPr>
        <w:t>Real — interest cost nearly halved YoY.</w:t>
      </w:r>
    </w:p>
    <w:p>
      <w:pPr>
        <w:pStyle w:val="ListBullet"/>
        <w:spacing w:after="60"/>
      </w:pPr>
      <w:r>
        <w:rPr>
          <w:b/>
          <w:sz w:val="19"/>
        </w:rPr>
        <w:t xml:space="preserve">Diversification: </w:t>
      </w:r>
      <w:r>
        <w:rPr>
          <w:sz w:val="19"/>
        </w:rPr>
        <w:t>Aerospace/Defense/Semiconductor (ADS) segment and FY30 ₹10,000 Cr revenue target.</w:t>
      </w:r>
    </w:p>
    <w:p>
      <w:pPr>
        <w:pStyle w:val="ListBullet"/>
        <w:spacing w:after="60"/>
      </w:pPr>
      <w:r>
        <w:rPr>
          <w:b/>
          <w:sz w:val="19"/>
        </w:rPr>
        <w:t xml:space="preserve">Red flag: </w:t>
      </w:r>
      <w:r>
        <w:rPr>
          <w:sz w:val="19"/>
        </w:rPr>
        <w:t>High customer concentration risk — supplies nearly every major Indian 2-wheeler OEM.</w:t>
      </w:r>
    </w:p>
    <w:p>
      <w:pPr>
        <w:pStyle w:val="ListBullet"/>
        <w:spacing w:after="60"/>
      </w:pPr>
      <w:r>
        <w:rPr>
          <w:b/>
          <w:sz w:val="19"/>
        </w:rPr>
        <w:t xml:space="preserve">Valuation vs. fundamentals: </w:t>
      </w:r>
      <w:r>
        <w:rPr>
          <w:sz w:val="19"/>
        </w:rPr>
        <w:t>Stock up ~137% in 1 year; ROE/ROCE have NOT actually inflected despite the growth narrative.</w:t>
      </w:r>
    </w:p>
    <w:p>
      <w:pPr>
        <w:spacing w:before="40" w:after="120"/>
      </w:pPr>
      <w:r>
        <w:rPr>
          <w:b/>
          <w:color w:val="8A1F1F"/>
          <w:sz w:val="20"/>
        </w:rPr>
        <w:t>VERDICT: Priced for perfection on a good story, not an obvious mispricing yet.</w:t>
      </w:r>
    </w:p>
    <w:p>
      <w:pPr>
        <w:spacing w:after="160"/>
      </w:pPr>
      <w:r>
        <w:rPr>
          <w:b/>
          <w:i/>
          <w:sz w:val="17"/>
        </w:rPr>
        <w:t xml:space="preserve">Sources: </w:t>
      </w:r>
      <w:r>
        <w:rPr>
          <w:i/>
          <w:color w:val="666666"/>
          <w:sz w:val="17"/>
        </w:rPr>
        <w:t>Screener.in; FY26 results filing; ADS segment investor presentation commentary.</w:t>
      </w:r>
    </w:p>
    <w:p>
      <w:r>
        <w:br w:type="page"/>
      </w:r>
    </w:p>
    <w:p>
      <w:pPr>
        <w:spacing w:before="280" w:after="120"/>
      </w:pPr>
      <w:r>
        <w:rPr>
          <w:b/>
          <w:color w:val="1F2D50"/>
          <w:sz w:val="34"/>
        </w:rPr>
        <w:t>5. Screening Briefs — Batch C</w:t>
      </w:r>
    </w:p>
    <w:p>
      <w:pPr>
        <w:spacing w:after="40" w:before="40"/>
        <w:pBdr>
          <w:bottom w:val="single" w:sz="8" w:space="1" w:color="1F2D50"/>
        </w:pBdr>
      </w:pPr>
    </w:p>
    <w:p>
      <w:pPr>
        <w:spacing w:before="200"/>
      </w:pPr>
      <w:r>
        <w:rPr>
          <w:b/>
          <w:color w:val="1F2D50"/>
          <w:sz w:val="24"/>
        </w:rPr>
        <w:t xml:space="preserve">NOCIL Ltd </w:t>
      </w:r>
      <w:r>
        <w:rPr>
          <w:i/>
          <w:color w:val="666666"/>
          <w:sz w:val="19"/>
        </w:rPr>
        <w:t>(NSE: NOCIL) — Rubber/tire chemicals</w:t>
      </w:r>
    </w:p>
    <w:p>
      <w:pPr>
        <w:spacing w:after="80"/>
      </w:pPr>
      <w:r>
        <w:rPr>
          <w:b w:val="0"/>
          <w:i/>
          <w:color w:val="666666"/>
          <w:sz w:val="18"/>
        </w:rPr>
        <w:t>Mkt cap ₹2,784 Cr | P/E 60.5x</w:t>
      </w:r>
    </w:p>
    <w:p>
      <w:pPr>
        <w:pStyle w:val="ListBullet"/>
        <w:spacing w:after="60"/>
      </w:pPr>
      <w:r>
        <w:rPr>
          <w:b/>
          <w:sz w:val="19"/>
        </w:rPr>
        <w:t xml:space="preserve">ROCE collapse: </w:t>
      </w:r>
      <w:r>
        <w:rPr>
          <w:sz w:val="19"/>
        </w:rPr>
        <w:t>26% → 4% over ~8 years.</w:t>
      </w:r>
    </w:p>
    <w:p>
      <w:pPr>
        <w:pStyle w:val="ListBullet"/>
        <w:spacing w:after="60"/>
      </w:pPr>
      <w:r>
        <w:rPr>
          <w:b/>
          <w:sz w:val="19"/>
        </w:rPr>
        <w:t xml:space="preserve">Revenue/margin: </w:t>
      </w:r>
      <w:r>
        <w:rPr>
          <w:sz w:val="19"/>
        </w:rPr>
        <w:t>Revenue declining (-6% TTM), OPM halved from 28% to 8%.</w:t>
      </w:r>
    </w:p>
    <w:p>
      <w:pPr>
        <w:pStyle w:val="ListBullet"/>
        <w:spacing w:after="60"/>
      </w:pPr>
      <w:r>
        <w:rPr>
          <w:b/>
          <w:sz w:val="19"/>
        </w:rPr>
        <w:t xml:space="preserve">Earnings quality: </w:t>
      </w:r>
      <w:r>
        <w:rPr>
          <w:sz w:val="19"/>
        </w:rPr>
        <w:t>Earnings propped up by other income; margin erosion likely structural (import/pricing pressure).</w:t>
      </w:r>
    </w:p>
    <w:p>
      <w:pPr>
        <w:spacing w:before="40" w:after="120"/>
      </w:pPr>
      <w:r>
        <w:rPr>
          <w:b/>
          <w:color w:val="8A1F1F"/>
          <w:sz w:val="20"/>
        </w:rPr>
        <w:t>VERDICT: Reject — value trap, no visible inflection.</w:t>
      </w:r>
    </w:p>
    <w:p>
      <w:pPr>
        <w:spacing w:after="160"/>
      </w:pPr>
      <w:r>
        <w:rPr>
          <w:b/>
          <w:i/>
          <w:sz w:val="17"/>
        </w:rPr>
        <w:t xml:space="preserve">Sources: </w:t>
      </w:r>
      <w:r>
        <w:rPr>
          <w:i/>
          <w:color w:val="666666"/>
          <w:sz w:val="17"/>
        </w:rPr>
        <w:t>Screener.in; multi-year results filings.</w:t>
      </w:r>
    </w:p>
    <w:p>
      <w:pPr>
        <w:spacing w:before="200"/>
      </w:pPr>
      <w:r>
        <w:rPr>
          <w:b/>
          <w:color w:val="1F2D50"/>
          <w:sz w:val="24"/>
        </w:rPr>
        <w:t xml:space="preserve">Praj Industries Ltd </w:t>
      </w:r>
      <w:r>
        <w:rPr>
          <w:i/>
          <w:color w:val="666666"/>
          <w:sz w:val="19"/>
        </w:rPr>
        <w:t>(NSE: PRAJIND) — Ethanol/biofuel EPC</w:t>
      </w:r>
    </w:p>
    <w:p>
      <w:pPr>
        <w:spacing w:after="80"/>
      </w:pPr>
      <w:r>
        <w:rPr>
          <w:b w:val="0"/>
          <w:i/>
          <w:color w:val="666666"/>
          <w:sz w:val="18"/>
        </w:rPr>
        <w:t>Mkt cap ₹6,486 Cr | P/E ~335x (earnings near-zero)</w:t>
      </w:r>
    </w:p>
    <w:p>
      <w:pPr>
        <w:pStyle w:val="ListBullet"/>
        <w:spacing w:after="60"/>
      </w:pPr>
      <w:r>
        <w:rPr>
          <w:b/>
          <w:sz w:val="19"/>
        </w:rPr>
        <w:t xml:space="preserve">Guidance miss: </w:t>
      </w:r>
      <w:r>
        <w:rPr>
          <w:sz w:val="19"/>
        </w:rPr>
        <w:t>Management guided ~10% growth but delivered a revenue decline — confirmed guidance miss, citing domestic ethanol overcapacity as a structural headwind.</w:t>
      </w:r>
    </w:p>
    <w:p>
      <w:pPr>
        <w:pStyle w:val="ListBullet"/>
        <w:spacing w:after="60"/>
      </w:pPr>
      <w:r>
        <w:rPr>
          <w:b/>
          <w:sz w:val="19"/>
        </w:rPr>
        <w:t xml:space="preserve">Profit collapse: </w:t>
      </w:r>
      <w:r>
        <w:rPr>
          <w:sz w:val="19"/>
        </w:rPr>
        <w:t>PAT down ~90% YoY in FY26, OPM crashed 11%→5%.</w:t>
      </w:r>
    </w:p>
    <w:p>
      <w:pPr>
        <w:spacing w:before="40" w:after="120"/>
      </w:pPr>
      <w:r>
        <w:rPr>
          <w:b/>
          <w:color w:val="8A1F1F"/>
          <w:sz w:val="20"/>
        </w:rPr>
        <w:t>VERDICT: Reject — guidance miss and margin collapse, not a mispricing.</w:t>
      </w:r>
    </w:p>
    <w:p>
      <w:pPr>
        <w:spacing w:after="160"/>
      </w:pPr>
      <w:r>
        <w:rPr>
          <w:b/>
          <w:i/>
          <w:sz w:val="17"/>
        </w:rPr>
        <w:t xml:space="preserve">Sources: </w:t>
      </w:r>
      <w:r>
        <w:rPr>
          <w:i/>
          <w:color w:val="666666"/>
          <w:sz w:val="17"/>
        </w:rPr>
        <w:t>Screener.in; FY26 results filing; management commentary on ethanol overcapacity.</w:t>
      </w:r>
    </w:p>
    <w:p>
      <w:pPr>
        <w:spacing w:before="200"/>
      </w:pPr>
      <w:r>
        <w:rPr>
          <w:b/>
          <w:color w:val="1F2D50"/>
          <w:sz w:val="24"/>
        </w:rPr>
        <w:t xml:space="preserve">Techno Electric &amp; Engineering Co Ltd </w:t>
      </w:r>
      <w:r>
        <w:rPr>
          <w:i/>
          <w:color w:val="666666"/>
          <w:sz w:val="19"/>
        </w:rPr>
        <w:t>(NSE: TECHNOE) — T&amp;D EPC + renewables</w:t>
      </w:r>
    </w:p>
    <w:p>
      <w:pPr>
        <w:spacing w:after="80"/>
      </w:pPr>
      <w:r>
        <w:rPr>
          <w:b w:val="0"/>
          <w:i/>
          <w:color w:val="666666"/>
          <w:sz w:val="18"/>
        </w:rPr>
        <w:t>Mkt cap ₹12,201 Cr | P/E 27.2x</w:t>
      </w:r>
    </w:p>
    <w:p>
      <w:pPr>
        <w:pStyle w:val="ListBullet"/>
        <w:spacing w:after="60"/>
      </w:pPr>
      <w:r>
        <w:rPr>
          <w:b/>
          <w:sz w:val="19"/>
        </w:rPr>
        <w:t xml:space="preserve">Growth profile: </w:t>
      </w:r>
      <w:r>
        <w:rPr>
          <w:sz w:val="19"/>
        </w:rPr>
        <w:t>Best of the batch on headline growth — revenue 3yr CAGR 58%, PAT +19% in FY26. Large order book (₹9,567 Cr, ~2.9x revenue), debt-free.</w:t>
      </w:r>
    </w:p>
    <w:p>
      <w:pPr>
        <w:pStyle w:val="ListBullet"/>
        <w:spacing w:after="60"/>
      </w:pPr>
      <w:r>
        <w:rPr>
          <w:b/>
          <w:sz w:val="19"/>
        </w:rPr>
        <w:t xml:space="preserve">Structural tailwind: </w:t>
      </w:r>
      <w:r>
        <w:rPr>
          <w:sz w:val="19"/>
        </w:rPr>
        <w:t>Data-center/smart-metering pivot is a real structural tailwind.</w:t>
      </w:r>
    </w:p>
    <w:p>
      <w:pPr>
        <w:pStyle w:val="ListBullet"/>
        <w:spacing w:after="60"/>
      </w:pPr>
      <w:r>
        <w:rPr>
          <w:b/>
          <w:sz w:val="19"/>
        </w:rPr>
        <w:t xml:space="preserve">Unresolved red flag (screening stage): </w:t>
      </w:r>
      <w:r>
        <w:rPr>
          <w:sz w:val="19"/>
        </w:rPr>
        <w:t>A May 2026 disclosure about ₹80 Cr received against “Sankhya Financial Services NCDs” with “residual balance resolution under discussion” — implies a stressed receivable parked in the “investments” line; nature (related-party or not) unconfirmed at this stage.</w:t>
      </w:r>
    </w:p>
    <w:p>
      <w:pPr>
        <w:pStyle w:val="ListBullet"/>
        <w:spacing w:after="60"/>
      </w:pPr>
      <w:r>
        <w:rPr>
          <w:b/>
          <w:sz w:val="19"/>
        </w:rPr>
        <w:t xml:space="preserve">Working capital: </w:t>
      </w:r>
      <w:r>
        <w:rPr>
          <w:sz w:val="19"/>
        </w:rPr>
        <w:t>Days ballooned 222→430.</w:t>
      </w:r>
    </w:p>
    <w:p>
      <w:pPr>
        <w:spacing w:before="40" w:after="120"/>
      </w:pPr>
      <w:r>
        <w:rPr>
          <w:b/>
          <w:color w:val="B8860B"/>
          <w:sz w:val="20"/>
        </w:rPr>
        <w:t>VERDICT: Tentative interest — best candidate of the batch on headline metrics, but the Sankhya NCD exposure needs direct annual-report/related-party-note verification before sizing a position. (See Section 8: rejected after deep diligence.)</w:t>
      </w:r>
    </w:p>
    <w:p>
      <w:pPr>
        <w:spacing w:after="160"/>
      </w:pPr>
      <w:r>
        <w:rPr>
          <w:b/>
          <w:i/>
          <w:sz w:val="17"/>
        </w:rPr>
        <w:t xml:space="preserve">Sources: </w:t>
      </w:r>
      <w:r>
        <w:rPr>
          <w:i/>
          <w:color w:val="666666"/>
          <w:sz w:val="17"/>
        </w:rPr>
        <w:t>Screener.in; BSE/NSE corporate disclosure (~28 May 2026); FY26 results filing.</w:t>
      </w:r>
    </w:p>
    <w:p>
      <w:pPr>
        <w:spacing w:before="200"/>
      </w:pPr>
      <w:r>
        <w:rPr>
          <w:b/>
          <w:color w:val="1F2D50"/>
          <w:sz w:val="24"/>
        </w:rPr>
        <w:t xml:space="preserve">Concord Biotech Ltd </w:t>
      </w:r>
      <w:r>
        <w:rPr>
          <w:i/>
          <w:color w:val="666666"/>
          <w:sz w:val="19"/>
        </w:rPr>
        <w:t>(NSE: CONCORDBIO) — Fermentation API/CDMO</w:t>
      </w:r>
    </w:p>
    <w:p>
      <w:pPr>
        <w:spacing w:after="80"/>
      </w:pPr>
      <w:r>
        <w:rPr>
          <w:b w:val="0"/>
          <w:i/>
          <w:color w:val="666666"/>
          <w:sz w:val="18"/>
        </w:rPr>
        <w:t>Mkt cap ₹14,019 Cr | P/E 54-58x</w:t>
      </w:r>
    </w:p>
    <w:p>
      <w:pPr>
        <w:pStyle w:val="ListBullet"/>
        <w:spacing w:after="60"/>
      </w:pPr>
      <w:r>
        <w:rPr>
          <w:b/>
          <w:sz w:val="19"/>
        </w:rPr>
        <w:t xml:space="preserve">Balance sheet quality: </w:t>
      </w:r>
      <w:r>
        <w:rPr>
          <w:sz w:val="19"/>
        </w:rPr>
        <w:t>High-quality zero-debt fermentation-API franchise.</w:t>
      </w:r>
    </w:p>
    <w:p>
      <w:pPr>
        <w:pStyle w:val="ListBullet"/>
        <w:spacing w:after="60"/>
      </w:pPr>
      <w:r>
        <w:rPr>
          <w:b/>
          <w:sz w:val="19"/>
        </w:rPr>
        <w:t xml:space="preserve">FY26 results: </w:t>
      </w:r>
      <w:r>
        <w:rPr>
          <w:sz w:val="19"/>
        </w:rPr>
        <w:t>Revenue -12%, PAT -30% YoY, driven by delayed customer procurement, tariff uncertainty, and injectables-facility ramp costs (adjusted EBITDA margin 38.8% ex-startup costs vs 24.6% reported, suggesting some of the hit is transitional).</w:t>
      </w:r>
    </w:p>
    <w:p>
      <w:pPr>
        <w:pStyle w:val="ListBullet"/>
        <w:spacing w:after="60"/>
      </w:pPr>
      <w:r>
        <w:rPr>
          <w:b/>
          <w:sz w:val="19"/>
        </w:rPr>
        <w:t xml:space="preserve">Working capital: </w:t>
      </w:r>
      <w:r>
        <w:rPr>
          <w:sz w:val="19"/>
        </w:rPr>
        <w:t>Debtor days elevated at 159.</w:t>
      </w:r>
    </w:p>
    <w:p>
      <w:pPr>
        <w:spacing w:before="40" w:after="120"/>
      </w:pPr>
      <w:r>
        <w:rPr>
          <w:b/>
          <w:color w:val="B8860B"/>
          <w:sz w:val="20"/>
        </w:rPr>
        <w:t>VERDICT: Watch, not yet buy. Good business, but valuation doesn't yet price in enough caution given consecutive quarters of decline.</w:t>
      </w:r>
    </w:p>
    <w:p>
      <w:pPr>
        <w:spacing w:after="160"/>
      </w:pPr>
      <w:r>
        <w:rPr>
          <w:b/>
          <w:i/>
          <w:sz w:val="17"/>
        </w:rPr>
        <w:t xml:space="preserve">Sources: </w:t>
      </w:r>
      <w:r>
        <w:rPr>
          <w:i/>
          <w:color w:val="666666"/>
          <w:sz w:val="17"/>
        </w:rPr>
        <w:t>Screener.in; FY26 results filing; management commentary on tariff uncertainty and facility ramp.</w:t>
      </w:r>
    </w:p>
    <w:p>
      <w:r>
        <w:br w:type="page"/>
      </w:r>
    </w:p>
    <w:p>
      <w:pPr>
        <w:spacing w:before="280" w:after="120"/>
      </w:pPr>
      <w:r>
        <w:rPr>
          <w:b/>
          <w:color w:val="1F2D50"/>
          <w:sz w:val="34"/>
        </w:rPr>
        <w:t>6. Screening Briefs — Batch D</w:t>
      </w:r>
    </w:p>
    <w:p>
      <w:pPr>
        <w:spacing w:after="40" w:before="40"/>
        <w:pBdr>
          <w:bottom w:val="single" w:sz="8" w:space="1" w:color="1F2D50"/>
        </w:pBdr>
      </w:pPr>
    </w:p>
    <w:p>
      <w:pPr>
        <w:spacing w:before="200"/>
      </w:pPr>
      <w:r>
        <w:rPr>
          <w:b/>
          <w:color w:val="1F2D50"/>
          <w:sz w:val="24"/>
        </w:rPr>
        <w:t xml:space="preserve">Triveni Turbine Ltd </w:t>
      </w:r>
      <w:r>
        <w:rPr>
          <w:i/>
          <w:color w:val="666666"/>
          <w:sz w:val="19"/>
        </w:rPr>
        <w:t>(NSE: TRITURBINE) — Capital goods (turbines)</w:t>
      </w:r>
    </w:p>
    <w:p>
      <w:pPr>
        <w:spacing w:after="80"/>
      </w:pPr>
      <w:r>
        <w:rPr>
          <w:b w:val="0"/>
          <w:i/>
          <w:color w:val="666666"/>
          <w:sz w:val="18"/>
        </w:rPr>
        <w:t>Price ₹607-639 | Mkt cap ~₹19,300-20,320 Cr | P/E ~55-62x | EV/EBITDA ~42x</w:t>
      </w:r>
    </w:p>
    <w:p>
      <w:pPr>
        <w:pStyle w:val="ListBullet"/>
        <w:spacing w:after="60"/>
      </w:pPr>
      <w:r>
        <w:rPr>
          <w:b/>
          <w:sz w:val="19"/>
        </w:rPr>
        <w:t xml:space="preserve">Balance sheet: </w:t>
      </w:r>
      <w:r>
        <w:rPr>
          <w:sz w:val="19"/>
        </w:rPr>
        <w:t>Near debt-free (net cash ₹545 Cr).</w:t>
      </w:r>
    </w:p>
    <w:p>
      <w:pPr>
        <w:pStyle w:val="ListBullet"/>
        <w:spacing w:after="60"/>
      </w:pPr>
      <w:r>
        <w:rPr>
          <w:b/>
          <w:sz w:val="19"/>
        </w:rPr>
        <w:t xml:space="preserve">FY26 results: </w:t>
      </w:r>
      <w:r>
        <w:rPr>
          <w:sz w:val="19"/>
        </w:rPr>
        <w:t>First PAT decline (-2-3% YoY) despite revenue +9%, with rising receivable days (49→84) and lumpy order booking.</w:t>
      </w:r>
    </w:p>
    <w:p>
      <w:pPr>
        <w:pStyle w:val="ListBullet"/>
        <w:spacing w:after="60"/>
      </w:pPr>
      <w:r>
        <w:rPr>
          <w:b/>
          <w:sz w:val="19"/>
        </w:rPr>
        <w:t xml:space="preserve">Governance: </w:t>
      </w:r>
      <w:r>
        <w:rPr>
          <w:sz w:val="19"/>
        </w:rPr>
        <w:t>No pledging/RPT flags found. No verified credit rating found.</w:t>
      </w:r>
    </w:p>
    <w:p>
      <w:pPr>
        <w:spacing w:before="40" w:after="120"/>
      </w:pPr>
      <w:r>
        <w:rPr>
          <w:b/>
          <w:color w:val="8A1F1F"/>
          <w:sz w:val="20"/>
        </w:rPr>
        <w:t>VERDICT: Strong execution but priced as a flawless compounder; FY26 cracks (margin/PAT dip, working capital deterioration) not yet reflected in price — caution over conviction.</w:t>
      </w:r>
    </w:p>
    <w:p>
      <w:pPr>
        <w:spacing w:after="160"/>
      </w:pPr>
      <w:r>
        <w:rPr>
          <w:b/>
          <w:i/>
          <w:sz w:val="17"/>
        </w:rPr>
        <w:t xml:space="preserve">Sources: </w:t>
      </w:r>
      <w:r>
        <w:rPr>
          <w:i/>
          <w:color w:val="666666"/>
          <w:sz w:val="17"/>
        </w:rPr>
        <w:t>Screener.in; FY26 results filing.</w:t>
      </w:r>
    </w:p>
    <w:p>
      <w:pPr>
        <w:spacing w:before="200"/>
      </w:pPr>
      <w:r>
        <w:rPr>
          <w:b/>
          <w:color w:val="1F2D50"/>
          <w:sz w:val="24"/>
        </w:rPr>
        <w:t xml:space="preserve">Greenpanel Industries Ltd </w:t>
      </w:r>
      <w:r>
        <w:rPr>
          <w:i/>
          <w:color w:val="666666"/>
          <w:sz w:val="19"/>
        </w:rPr>
        <w:t>(NSE: GREENPANEL) — Building materials (MDF)</w:t>
      </w:r>
    </w:p>
    <w:p>
      <w:pPr>
        <w:spacing w:after="80"/>
      </w:pPr>
      <w:r>
        <w:rPr>
          <w:b w:val="0"/>
          <w:i/>
          <w:color w:val="666666"/>
          <w:sz w:val="18"/>
        </w:rPr>
        <w:t>Price ₹202 | Mkt cap ₹2,479 Cr | EV/EBITDA ~14.9x (FY26 net loss year, PAT -₹29.1 Cr)</w:t>
      </w:r>
    </w:p>
    <w:p>
      <w:pPr>
        <w:pStyle w:val="ListBullet"/>
        <w:spacing w:after="60"/>
      </w:pPr>
      <w:r>
        <w:rPr>
          <w:b/>
          <w:sz w:val="19"/>
        </w:rPr>
        <w:t xml:space="preserve">Margin collapse: </w:t>
      </w:r>
      <w:r>
        <w:rPr>
          <w:sz w:val="19"/>
        </w:rPr>
        <w:t>EBITDA margin collapsed from 25-30% (FY21-23) to ~9-11% (FY25-26) on low utilization (~60%) and chemical-cost spikes.</w:t>
      </w:r>
    </w:p>
    <w:p>
      <w:pPr>
        <w:pStyle w:val="ListBullet"/>
        <w:spacing w:after="60"/>
      </w:pPr>
      <w:r>
        <w:rPr>
          <w:b/>
          <w:sz w:val="19"/>
        </w:rPr>
        <w:t xml:space="preserve">Returns: </w:t>
      </w:r>
      <w:r>
        <w:rPr>
          <w:sz w:val="19"/>
        </w:rPr>
        <w:t>ROCE fell from ~27-30% to 12.9%.</w:t>
      </w:r>
    </w:p>
    <w:p>
      <w:pPr>
        <w:pStyle w:val="ListBullet"/>
        <w:spacing w:after="60"/>
      </w:pPr>
      <w:r>
        <w:rPr>
          <w:b/>
          <w:sz w:val="19"/>
        </w:rPr>
        <w:t xml:space="preserve">Credit rating: </w:t>
      </w:r>
      <w:r>
        <w:rPr>
          <w:sz w:val="19"/>
        </w:rPr>
        <w:t>ICRA A+/Negative outlook (Jul 2026).</w:t>
      </w:r>
    </w:p>
    <w:p>
      <w:pPr>
        <w:pStyle w:val="ListBullet"/>
        <w:spacing w:after="60"/>
      </w:pPr>
      <w:r>
        <w:rPr>
          <w:b/>
          <w:sz w:val="19"/>
        </w:rPr>
        <w:t xml:space="preserve">Guidance: </w:t>
      </w:r>
      <w:r>
        <w:rPr>
          <w:sz w:val="19"/>
        </w:rPr>
        <w:t>Clear miss vs. FY26 targets.</w:t>
      </w:r>
    </w:p>
    <w:p>
      <w:pPr>
        <w:spacing w:before="40" w:after="120"/>
      </w:pPr>
      <w:r>
        <w:rPr>
          <w:b/>
          <w:color w:val="B8860B"/>
          <w:sz w:val="20"/>
        </w:rPr>
        <w:t>VERDICT: Classic cyclical-trough/operating-leverage story, not a reject, but bull case unproven — wait for 2 quarters of &gt;70% utilization and &gt;15% margin before treating as a real inflection.</w:t>
      </w:r>
    </w:p>
    <w:p>
      <w:pPr>
        <w:spacing w:after="160"/>
      </w:pPr>
      <w:r>
        <w:rPr>
          <w:b/>
          <w:i/>
          <w:sz w:val="17"/>
        </w:rPr>
        <w:t xml:space="preserve">Sources: </w:t>
      </w:r>
      <w:r>
        <w:rPr>
          <w:i/>
          <w:color w:val="666666"/>
          <w:sz w:val="17"/>
        </w:rPr>
        <w:t>Screener.in; ICRA rating action (Jul 2026); FY26 results filing.</w:t>
      </w:r>
    </w:p>
    <w:p>
      <w:pPr>
        <w:spacing w:before="200"/>
      </w:pPr>
      <w:r>
        <w:rPr>
          <w:b/>
          <w:color w:val="1F2D50"/>
          <w:sz w:val="24"/>
        </w:rPr>
        <w:t xml:space="preserve">Global Health Ltd (Medanta) </w:t>
      </w:r>
      <w:r>
        <w:rPr>
          <w:i/>
          <w:color w:val="666666"/>
          <w:sz w:val="19"/>
        </w:rPr>
        <w:t>(NSE: MEDANTA) — Hospitals</w:t>
      </w:r>
    </w:p>
    <w:p>
      <w:pPr>
        <w:spacing w:after="80"/>
      </w:pPr>
      <w:r>
        <w:rPr>
          <w:b w:val="0"/>
          <w:i/>
          <w:color w:val="666666"/>
          <w:sz w:val="18"/>
        </w:rPr>
        <w:t>Price ₹1,338 | Mkt cap ₹35,994 Cr | P/E 64.6x | P/B 9.08x</w:t>
      </w:r>
    </w:p>
    <w:p>
      <w:pPr>
        <w:pStyle w:val="ListBullet"/>
        <w:spacing w:after="60"/>
      </w:pPr>
      <w:r>
        <w:rPr>
          <w:b/>
          <w:sz w:val="19"/>
        </w:rPr>
        <w:t xml:space="preserve">Revenue growth: </w:t>
      </w:r>
      <w:r>
        <w:rPr>
          <w:sz w:val="19"/>
        </w:rPr>
        <w:t>Steady — ₹2,167 Cr FY22 → ₹4,410 Cr FY26 (+19.4% CAGR).</w:t>
      </w:r>
    </w:p>
    <w:p>
      <w:pPr>
        <w:pStyle w:val="ListBullet"/>
        <w:spacing w:after="60"/>
      </w:pPr>
      <w:r>
        <w:rPr>
          <w:b/>
          <w:sz w:val="19"/>
        </w:rPr>
        <w:t xml:space="preserve">Returns trend: </w:t>
      </w:r>
      <w:r>
        <w:rPr>
          <w:sz w:val="19"/>
        </w:rPr>
        <w:t>ROCE rolled over from 20% to 17% as Noida/Ranchi capex dilutes returns; Noida breakeven guided H2 FY27.</w:t>
      </w:r>
    </w:p>
    <w:p>
      <w:pPr>
        <w:pStyle w:val="ListBullet"/>
        <w:spacing w:after="60"/>
      </w:pPr>
      <w:r>
        <w:rPr>
          <w:b/>
          <w:sz w:val="19"/>
        </w:rPr>
        <w:t xml:space="preserve">Balance sheet: </w:t>
      </w:r>
      <w:r>
        <w:rPr>
          <w:sz w:val="19"/>
        </w:rPr>
        <w:t>Net cash historically (~₹812 Cr Mar-25), exact FY26 net debt unverified.</w:t>
      </w:r>
    </w:p>
    <w:p>
      <w:pPr>
        <w:pStyle w:val="ListBullet"/>
        <w:spacing w:after="60"/>
      </w:pPr>
      <w:r>
        <w:rPr>
          <w:b/>
          <w:sz w:val="19"/>
        </w:rPr>
        <w:t xml:space="preserve">Governance overhang: </w:t>
      </w:r>
      <w:r>
        <w:rPr>
          <w:sz w:val="19"/>
        </w:rPr>
        <w:t>Legacy 2020 FIR/ED case against founder-chairman (status unverified).</w:t>
      </w:r>
    </w:p>
    <w:p>
      <w:pPr>
        <w:spacing w:before="40" w:after="120"/>
      </w:pPr>
      <w:r>
        <w:rPr>
          <w:b/>
          <w:color w:val="8A1F1F"/>
          <w:sz w:val="20"/>
        </w:rPr>
        <w:t>VERDICT: Quality compounder priced for perfection, thin margin of safety at current multiple.</w:t>
      </w:r>
    </w:p>
    <w:p>
      <w:pPr>
        <w:spacing w:after="160"/>
      </w:pPr>
      <w:r>
        <w:rPr>
          <w:b/>
          <w:i/>
          <w:sz w:val="17"/>
        </w:rPr>
        <w:t xml:space="preserve">Sources: </w:t>
      </w:r>
      <w:r>
        <w:rPr>
          <w:i/>
          <w:color w:val="666666"/>
          <w:sz w:val="17"/>
        </w:rPr>
        <w:t>Screener.in; FY26 results filing; news coverage of legacy FIR/ED matter (status unverified).</w:t>
      </w:r>
    </w:p>
    <w:p>
      <w:pPr>
        <w:spacing w:before="200"/>
      </w:pPr>
      <w:r>
        <w:rPr>
          <w:b/>
          <w:color w:val="1F2D50"/>
          <w:sz w:val="24"/>
        </w:rPr>
        <w:t xml:space="preserve">KIMS Hospitals (Krishna Institute of Medical Sciences) </w:t>
      </w:r>
      <w:r>
        <w:rPr>
          <w:i/>
          <w:color w:val="666666"/>
          <w:sz w:val="19"/>
        </w:rPr>
        <w:t>(NSE: KIMS) — Hospitals</w:t>
      </w:r>
    </w:p>
    <w:p>
      <w:pPr>
        <w:spacing w:after="80"/>
      </w:pPr>
      <w:r>
        <w:rPr>
          <w:b w:val="0"/>
          <w:i/>
          <w:color w:val="666666"/>
          <w:sz w:val="18"/>
        </w:rPr>
        <w:t>Price ₹808-810 | Mkt cap ~₹33,947 Cr | P/E ~137-141x | EV/EBITDA ~34x — richest of the batch</w:t>
      </w:r>
    </w:p>
    <w:p>
      <w:pPr>
        <w:pStyle w:val="ListBullet"/>
        <w:spacing w:after="60"/>
      </w:pPr>
      <w:r>
        <w:rPr>
          <w:b/>
          <w:sz w:val="19"/>
        </w:rPr>
        <w:t xml:space="preserve">Profit vs. revenue: </w:t>
      </w:r>
      <w:r>
        <w:rPr>
          <w:sz w:val="19"/>
        </w:rPr>
        <w:t>FY26 PAT fell ~38-42% YoY despite 28.6% revenue growth; margin compressed 26.6%→~21%.</w:t>
      </w:r>
    </w:p>
    <w:p>
      <w:pPr>
        <w:pStyle w:val="ListBullet"/>
        <w:spacing w:after="60"/>
      </w:pPr>
      <w:r>
        <w:rPr>
          <w:b/>
          <w:sz w:val="19"/>
        </w:rPr>
        <w:t xml:space="preserve">Returns collapse: </w:t>
      </w:r>
      <w:r>
        <w:rPr>
          <w:sz w:val="19"/>
        </w:rPr>
        <w:t>ROCE now ~9.3% (down from 16.4% 10-yr avg ROE).</w:t>
      </w:r>
    </w:p>
    <w:p>
      <w:pPr>
        <w:pStyle w:val="ListBullet"/>
        <w:spacing w:after="60"/>
      </w:pPr>
      <w:r>
        <w:rPr>
          <w:b/>
          <w:sz w:val="19"/>
        </w:rPr>
        <w:t xml:space="preserve">Funding quality: </w:t>
      </w:r>
      <w:r>
        <w:rPr>
          <w:sz w:val="19"/>
        </w:rPr>
        <w:t>Net debt rose to ~₹3,100 Cr funded partly via new QIP (₹1,500 Cr) and promoter warrants (₹600 Cr) rather than internal cash generation.</w:t>
      </w:r>
    </w:p>
    <w:p>
      <w:pPr>
        <w:pStyle w:val="ListBullet"/>
        <w:spacing w:after="60"/>
      </w:pPr>
      <w:r>
        <w:rPr>
          <w:b/>
          <w:sz w:val="19"/>
        </w:rPr>
        <w:t xml:space="preserve">Red flags: </w:t>
      </w:r>
      <w:r>
        <w:rPr>
          <w:sz w:val="19"/>
        </w:rPr>
        <w:t>Promoter pledging reportedly rose 3.7%→10.3% (single-source, uncorroborated), promoter holding declining with further dilution underway, institutional dissent at Jul-26 EGM, a debt-disclosure correction after NSE query.</w:t>
      </w:r>
    </w:p>
    <w:p>
      <w:pPr>
        <w:spacing w:before="40" w:after="120"/>
      </w:pPr>
      <w:r>
        <w:rPr>
          <w:b/>
          <w:color w:val="8A1F1F"/>
          <w:sz w:val="20"/>
        </w:rPr>
        <w:t>VERDICT: Most red flags of the batch relative to its rich multiple — a “story stock” not yet showing the promised inflection; warrants the most skepticism.</w:t>
      </w:r>
    </w:p>
    <w:p>
      <w:pPr>
        <w:spacing w:after="160"/>
      </w:pPr>
      <w:r>
        <w:rPr>
          <w:b/>
          <w:i/>
          <w:sz w:val="17"/>
        </w:rPr>
        <w:t xml:space="preserve">Sources: </w:t>
      </w:r>
      <w:r>
        <w:rPr>
          <w:i/>
          <w:color w:val="666666"/>
          <w:sz w:val="17"/>
        </w:rPr>
        <w:t>Screener.in; NSE query/disclosure correction coverage; EGM coverage (Jul 2026); FY26 results filing.</w:t>
      </w:r>
    </w:p>
    <w:p>
      <w:pPr>
        <w:spacing w:after="100"/>
      </w:pPr>
      <w:r>
        <w:rPr>
          <w:b w:val="0"/>
          <w:i/>
          <w:color w:val="333333"/>
          <w:sz w:val="19"/>
        </w:rPr>
        <w:t>Cross-batch takeaway from initial screening: none of the sixteen showed a clean, already-realized mispricing purely on headline numbers — several bull cases depended on future inflections not yet visible in trailing results, while trading at premium multiples. Karur Vysya Bank and Techno Electric &amp; Engineering screened as the two strongest risk-adjusted candidates and were carried into deep diligence (Sections 7-9).</w:t>
      </w:r>
    </w:p>
    <w:p>
      <w:r>
        <w:br w:type="page"/>
      </w:r>
    </w:p>
    <w:p>
      <w:pPr>
        <w:spacing w:before="280" w:after="120"/>
      </w:pPr>
      <w:r>
        <w:rPr>
          <w:b/>
          <w:color w:val="1F2D50"/>
          <w:sz w:val="34"/>
        </w:rPr>
        <w:t>7. Deep Diligence — Karur Vysya Bank (Finalist)</w:t>
      </w:r>
    </w:p>
    <w:p>
      <w:pPr>
        <w:spacing w:after="40" w:before="40"/>
        <w:pBdr>
          <w:bottom w:val="single" w:sz="8" w:space="1" w:color="1F2D50"/>
        </w:pBdr>
      </w:pPr>
    </w:p>
    <w:p>
      <w:pPr>
        <w:spacing w:after="100"/>
      </w:pPr>
      <w:r>
        <w:rPr>
          <w:b w:val="0"/>
          <w:i/>
          <w:color w:val="333333"/>
          <w:sz w:val="18"/>
        </w:rPr>
        <w:t>Note on dates: search results place current date context at mid-2026, so figures through Q3/Q4 FY26 (Dec 2025/Mar 2026) are cited as current.</w:t>
      </w:r>
    </w:p>
    <w:p>
      <w:pPr>
        <w:spacing w:before="280" w:after="120"/>
      </w:pPr>
      <w:r>
        <w:rPr>
          <w:b/>
          <w:color w:val="1F2D50"/>
          <w:sz w:val="26"/>
        </w:rPr>
        <w:t>7.1 Management Track Record</w:t>
      </w:r>
    </w:p>
    <w:p>
      <w:pPr>
        <w:spacing w:after="100"/>
      </w:pPr>
      <w:r>
        <w:rPr>
          <w:b w:val="0"/>
          <w:i w:val="0"/>
          <w:color w:val="333333"/>
          <w:sz w:val="20"/>
        </w:rPr>
        <w:t>MD &amp; CEO B. Ramesh Babu has run KVB through a multi-year NPA cleanup with notably consistent guidance discipline. In 2023 he stated the bank aims “to meet every guidance given for next eight quarters” (Economic Times, May 2023). In Oct 2022 he guided GNPA below 3% by March 2023 (The Hindu); actual GNPA came in at 2.27% for Q4FY23 (Livemint, May 2023) — a beat. NIM guidance tracked closely: 4% NIM called “doable” for Q4FY24 (CNBC-TV18, Jan 2024) and delivered. For FY26, guided NIM 3.9–3.95% and ROA “above 1.85%” mid-year; actual FY26 ROA came in at 1.93%, NIM ~4% (Quartr FY26 summary) — another modest beat. For FY27, guidance turned more conservative: NIM down to 3.75–3.8% (from ~4%), ROA to 1.7–1.8% (from 1.93%), citing rising deposit costs and competition (ET BFSI / CNBC-TV18, early 2026).</w:t>
      </w:r>
    </w:p>
    <w:p>
      <w:pPr>
        <w:spacing w:after="100"/>
      </w:pPr>
      <w:r>
        <w:rPr>
          <w:b/>
          <w:i w:val="0"/>
          <w:color w:val="333333"/>
          <w:sz w:val="19"/>
        </w:rPr>
        <w:t>Assessment: conservative-guide / modest-beat pattern, not aggressive over-promising; commentary has grown more candid about margin compression over time.</w:t>
      </w:r>
    </w:p>
    <w:p>
      <w:pPr>
        <w:spacing w:before="280" w:after="120"/>
      </w:pPr>
      <w:r>
        <w:rPr>
          <w:b/>
          <w:color w:val="1F2D50"/>
          <w:sz w:val="26"/>
        </w:rPr>
        <w:t>7.2 Asset Quality Deep Dive</w:t>
      </w:r>
    </w:p>
    <w:p>
      <w:pPr>
        <w:spacing w:after="100"/>
      </w:pPr>
      <w:r>
        <w:rPr>
          <w:b w:val="0"/>
          <w:i w:val="0"/>
          <w:color w:val="333333"/>
          <w:sz w:val="20"/>
        </w:rPr>
        <w:t>Verified 5-year GNPA arc: FY21 ~7.85% → FY22 5.96% (ET, May 2022) → FY23 2.27%, PCR 94.85% (Livemint) → FY24 GNPA 1.40%/NNPA 0.40% (The Hindu, May 2024) → FY25 ~0.83-1.32% across quarters → FY26: GNPA 0.75%, NNPA 0.19%, PCR 96.56% (Q3), CRAR 18.76% (Quartr, scanx.trade).</w:t>
      </w:r>
    </w:p>
    <w:p>
      <w:pPr>
        <w:spacing w:after="100"/>
      </w:pPr>
      <w:r>
        <w:rPr>
          <w:b w:val="0"/>
          <w:i w:val="0"/>
          <w:color w:val="333333"/>
          <w:sz w:val="20"/>
        </w:rPr>
        <w:t>One credible dissenting data point: Geojit (Oct 2024) flagged rising Portfolio-At-Risk (PAR 31-180/181-360) in MSME, suggesting NPA ratios “bottomed out” (Moneycontrol). Could NOT verify exact restructured-book/SMA percentages from primary filings in this search — needs direct pull from latest investor presentation PDF. No evidence found of evergreening; decline appears genuine (recoveries/write-offs, not restructuring-driven concealment).</w:t>
      </w:r>
    </w:p>
    <w:p>
      <w:pPr>
        <w:spacing w:before="280" w:after="120"/>
      </w:pPr>
      <w:r>
        <w:rPr>
          <w:b/>
          <w:color w:val="1F2D50"/>
          <w:sz w:val="26"/>
        </w:rPr>
        <w:t>7.3 CASA and Margin Sustainability</w:t>
      </w:r>
    </w:p>
    <w:p>
      <w:pPr>
        <w:spacing w:after="100"/>
      </w:pPr>
      <w:r>
        <w:rPr>
          <w:b w:val="0"/>
          <w:i w:val="0"/>
          <w:color w:val="333333"/>
          <w:sz w:val="20"/>
        </w:rPr>
        <w:t>CASA decline is a system-wide phenomenon, not KVB-specific: system CASA fell to 37.9% (Dec-2025) from 40.1% (Dec-2023) per RBI data (ET BFSI); another source cites system CASA falling ~48%→~36% (2022-2025) as households shifted to higher-yield instruments (CRISIL-cited Substack, 2026). KVB's own reported CASA was 31.16% (down from 31.8%) as of Dec-2024 (ET) — this conflicts with the ~39% figure referenced at the screening stage; flagged for reconciliation against the latest investor presentation (see Section 12).</w:t>
      </w:r>
    </w:p>
    <w:p>
      <w:pPr>
        <w:spacing w:after="100"/>
      </w:pPr>
      <w:r>
        <w:rPr>
          <w:b w:val="0"/>
          <w:i w:val="0"/>
          <w:color w:val="333333"/>
          <w:sz w:val="20"/>
        </w:rPr>
        <w:t>FE/ET (March 2025) confirms KVB fixed deposits outgrowing CASA, pressuring cost of funds. Loan mix: RAM (Retail/Agri/MSME) ~86% of advances (FY25/FY26); gold loans 28% of advances as of March 2025 (up from 25%), capped below 35% by management (FE, May 2025; CNBC-TV18). Corporate book cut to 14% (from 40% in 2019) but management now plans to raise it back to ~20% over 2-3 years via lease-rental-discounting/NCD “credit substitution” (ET interview, 2026) — a strategic reversal worth flagging just as margins compress.</w:t>
      </w:r>
    </w:p>
    <w:p>
      <w:pPr>
        <w:spacing w:before="280" w:after="120"/>
      </w:pPr>
      <w:r>
        <w:rPr>
          <w:b/>
          <w:color w:val="1F2D50"/>
          <w:sz w:val="26"/>
        </w:rPr>
        <w:t>7.4 Capital Allocation</w:t>
      </w:r>
    </w:p>
    <w:p>
      <w:pPr>
        <w:spacing w:after="100"/>
      </w:pPr>
      <w:r>
        <w:rPr>
          <w:b w:val="0"/>
          <w:i w:val="0"/>
          <w:color w:val="333333"/>
          <w:sz w:val="20"/>
        </w:rPr>
        <w:t>DPS rising steadily: ₹0.50 (FY21) → ₹1.60 (FY22) → ₹2.00 (FY23) → ₹2.40 (FY24) → ₹2.60 (FY25) → ₹2.60 proposed FY26 (dhan.co; scanx.trade AGM notice), payout ratio low (~15-20%). CRAR strong and rising: 16.05% (Dec 2025) → 18.76% (Mar 2026). 1:5 bonus issue executed Aug 2025 (cosmetic, not a raise). Management stated explicitly (early 2026) no need for external capital over the next two years (CNBC-TV18). No QIP/rights issue found FY22-FY26 — bank appears fully capital-generative from internal accruals.</w:t>
      </w:r>
    </w:p>
    <w:p>
      <w:pPr>
        <w:spacing w:before="280" w:after="120"/>
      </w:pPr>
      <w:r>
        <w:rPr>
          <w:b/>
          <w:color w:val="1F2D50"/>
          <w:sz w:val="26"/>
        </w:rPr>
        <w:t>7.5 Credit Rating</w:t>
      </w:r>
    </w:p>
    <w:p>
      <w:pPr>
        <w:spacing w:after="100"/>
      </w:pPr>
      <w:r>
        <w:rPr>
          <w:b w:val="0"/>
          <w:i w:val="0"/>
          <w:color w:val="333333"/>
          <w:sz w:val="20"/>
        </w:rPr>
        <w:t>ICRA reaffirmed 'ICRA AA (Stable)' issuer rating and 'ICRA A1+' for CD program, raising program size ₹10,000cr→₹12,000cr (TradingView/Moneycontrol, 2026); A1+ for CDs reaffirmed again 29 June 2026 (investywise.com). CRISIL FAAA cited only via a secondary FD-aggregator source (angelone.in) — NOT verified against a primary CRISIL rationale document. Direct attempts to retrieve the qualitative rationale text (strengths/concerns) from icra.in's rationale archive were unsuccessful — only rating level/program-size changes confirmed (see Section 12: open item).</w:t>
      </w:r>
    </w:p>
    <w:p>
      <w:pPr>
        <w:spacing w:before="280" w:after="120"/>
      </w:pPr>
      <w:r>
        <w:rPr>
          <w:b/>
          <w:color w:val="1F2D50"/>
          <w:sz w:val="26"/>
        </w:rPr>
        <w:t>7.6 Valuation Context vs. Peers</w:t>
      </w:r>
    </w:p>
    <w:p>
      <w:pPr>
        <w:spacing w:after="100"/>
      </w:pPr>
      <w:r>
        <w:rPr>
          <w:b w:val="0"/>
          <w:i w:val="0"/>
          <w:color w:val="333333"/>
          <w:sz w:val="20"/>
        </w:rPr>
        <w:t>KVB: P/E ~11.6x, market cap ~₹29,500cr, ROE ~19.2% recently, FY27 consensus ROE ~17.5% — reportedly highest among mid-size peers (ET BFSI: “among mid-sized private banks, Karur Vysya Bank stands out with a projected FY27 ROE of 17.5 per cent, the highest among its peers”). City Union Bank ROE ~12-13.5% (sources diverge: shareprice-target.com cites 12.08%, ET BFSI cites &gt;13%), P/E ~16.5x. RBL Bank P/E ~63x despite weaker CASA (~29.2%) — likely reflects a low earnings base, not superior quality.</w:t>
      </w:r>
    </w:p>
    <w:p>
      <w:pPr>
        <w:spacing w:after="100"/>
      </w:pPr>
      <w:r>
        <w:rPr>
          <w:b w:val="0"/>
          <w:i w:val="0"/>
          <w:color w:val="333333"/>
          <w:sz w:val="20"/>
        </w:rPr>
        <w:t>Directionally, KVB screens cheaper than City Union Bank despite comparable/superior ROE — a real relative-value gap, plausibly explained by smaller scale, Tamil Nadu geographic concentration, and lingering NPA-cleanup-history discount rather than hidden risk.</w:t>
      </w:r>
    </w:p>
    <w:p>
      <w:pPr>
        <w:spacing w:before="280" w:after="120"/>
      </w:pPr>
      <w:r>
        <w:rPr>
          <w:b/>
          <w:color w:val="1F2D50"/>
          <w:sz w:val="26"/>
        </w:rPr>
        <w:t>7.7 Red Flags Checked</w:t>
      </w:r>
    </w:p>
    <w:p>
      <w:pPr>
        <w:spacing w:after="100"/>
      </w:pPr>
      <w:r>
        <w:rPr>
          <w:b w:val="0"/>
          <w:i w:val="0"/>
          <w:color w:val="333333"/>
          <w:sz w:val="20"/>
        </w:rPr>
        <w:t>Promoter holding is minimal (~2.06%) — KVB is professionally managed, not promoter-controlled. No RBI enforcement action or governance scandal found. One immaterial consumer-court matter (₹10,000 ATM dispute, penalty dating to 2017) surfaced (Indian Express, 2026) — indicates slow historical grievance redressal but not a material red flag. No auditor qualifications/adverse Key Audit Matters found in search snippets, but the full annual report audit section was not directly accessed — needs direct confirmation (Section 12). No large single-borrower concentration issues surfaced, consistent with the bank's deliberate 2019+ corporate de-risking.</w:t>
      </w:r>
    </w:p>
    <w:p>
      <w:pPr>
        <w:spacing w:before="280" w:after="120"/>
      </w:pPr>
      <w:r>
        <w:rPr>
          <w:b/>
          <w:color w:val="1F2D50"/>
          <w:sz w:val="26"/>
        </w:rPr>
        <w:t>7.8 Growth Runway</w:t>
      </w:r>
    </w:p>
    <w:p>
      <w:pPr>
        <w:spacing w:after="100"/>
      </w:pPr>
      <w:r>
        <w:rPr>
          <w:b w:val="0"/>
          <w:i w:val="0"/>
          <w:color w:val="333333"/>
          <w:sz w:val="20"/>
        </w:rPr>
        <w:t>FY26 credit growth guidance “1-2% above industry” was delivered (industry 16.1%, KVB ~17%) per Ramesh Babu (ET interview, 2026). Branch count ~902 as of 2026. Confirmed new initiatives directly from the MD: credit cards (imminent launch, via 80-lakh BNPL/Amazon customer base), loans against mutual funds, microfinance scale-up (₹180cr → target ₹500-700cr), affordable housing re-entry (₹20-50 lakh tickets via co-lending), and corporate book expansion 14%→20% via lease-rental-discounting/NCD substitution. These read as credible incremental diversification, though the corporate re-lever is the key underwritten risk for a 3-5 year thesis.</w:t>
      </w:r>
    </w:p>
    <w:p>
      <w:r>
        <w:br w:type="page"/>
      </w:r>
    </w:p>
    <w:p>
      <w:pPr>
        <w:spacing w:before="280" w:after="120"/>
      </w:pPr>
      <w:r>
        <w:rPr>
          <w:b/>
          <w:color w:val="1F2D50"/>
          <w:sz w:val="34"/>
        </w:rPr>
        <w:t>8. Deep Diligence — Techno Electric &amp; Engineering (Rejected After Deep Diligence)</w:t>
      </w:r>
    </w:p>
    <w:p>
      <w:pPr>
        <w:spacing w:after="40" w:before="40"/>
        <w:pBdr>
          <w:bottom w:val="single" w:sz="8" w:space="1" w:color="1F2D50"/>
        </w:pBdr>
      </w:pPr>
    </w:p>
    <w:p>
      <w:pPr>
        <w:spacing w:before="280" w:after="120"/>
      </w:pPr>
      <w:r>
        <w:rPr>
          <w:b/>
          <w:color w:val="1F2D50"/>
          <w:sz w:val="26"/>
        </w:rPr>
        <w:t>8.1 Priority Item: Sankhya Financial Services NCD Issue</w:t>
      </w:r>
    </w:p>
    <w:p>
      <w:pPr>
        <w:spacing w:after="100"/>
      </w:pPr>
      <w:r>
        <w:rPr>
          <w:b w:val="0"/>
          <w:i w:val="0"/>
          <w:color w:val="333333"/>
          <w:sz w:val="20"/>
        </w:rPr>
        <w:t>The actual disclosure (BSE/NSE corporate update, ~28 May 2026, coincident with FY26 board meeting on 25 May): “Received Rs.80 crore on 25.05.2026 against Sankhya Financial Services NCDs; residual balance resolution under discussion.” Source: Screener.in filings feed (mirrors BSE/NSE) and Groww market-news feed.</w:t>
      </w:r>
    </w:p>
    <w:p>
      <w:pPr>
        <w:spacing w:after="100"/>
      </w:pPr>
      <w:r>
        <w:rPr>
          <w:b w:val="0"/>
          <w:i w:val="0"/>
          <w:color w:val="333333"/>
          <w:sz w:val="20"/>
        </w:rPr>
        <w:t>Sankhya Financial Services Pvt Ltd = the NBFC arm of the Mumbai-based “Trust Group” (Trust Investment Advisors / Trust Mutual Fund, CEO Sandeep Bagla), a debt-capital-markets house founded 2005, active in repo/corporate bond trading (Cbonds issuer data). No evidence found linking Sankhya/Trust Group to Techno's promoters (P.P. Gupta, Chatterjee family) or to known group entities (Simran Wind Project, Techno Infra) — these appear to be two unrelated business houses (Kolkata industrial promoters vs. Mumbai debt-market promoters).</w:t>
      </w:r>
    </w:p>
    <w:p>
      <w:pPr>
        <w:spacing w:after="100"/>
      </w:pPr>
      <w:r>
        <w:rPr>
          <w:b w:val="0"/>
          <w:i w:val="0"/>
          <w:color w:val="333333"/>
          <w:sz w:val="20"/>
        </w:rPr>
        <w:t>Techno is debt-free with a large treasury book (~₹2,600 Cr cash+investments; balance-sheet “Investments” line grew ₹1,142 Cr FY24 → ₹2,836 Cr FY25 → ₹2,258 Cr FY26). Sankhya NCDs are most plausibly one line within this treasury/yield portfolio, not a strategic or related-party investment — this reads as a counterparty-credit/treasury-management issue, not evidence of fund diversion.</w:t>
      </w:r>
    </w:p>
    <w:p>
      <w:pPr>
        <w:spacing w:after="100"/>
      </w:pPr>
      <w:r>
        <w:rPr>
          <w:b/>
          <w:i w:val="0"/>
          <w:color w:val="333333"/>
          <w:sz w:val="20"/>
        </w:rPr>
        <w:t>CRITICAL GAP: the FY26 Annual Report's actual “Investments” note or “Related Party Transactions” note could not be accessed (not yet indexed/available online at time of research) to (i) confirm original exposure size, (ii) confirm Sankhya is NOT classified as a related party, (iii) check if any impairment/provision was booked. Conclusion on this item alone was provisional: “verify, then proceed” — not a clear rejection trigger by itself.</w:t>
      </w:r>
    </w:p>
    <w:p>
      <w:pPr>
        <w:spacing w:before="280" w:after="120"/>
      </w:pPr>
      <w:r>
        <w:rPr>
          <w:b/>
          <w:color w:val="1F2D50"/>
          <w:sz w:val="26"/>
        </w:rPr>
        <w:t>8.2 The Decisive Issue: Operating Cash Flow Quality</w:t>
      </w:r>
    </w:p>
    <w:p>
      <w:pPr>
        <w:spacing w:after="100"/>
      </w:pPr>
      <w:r>
        <w:rPr>
          <w:b w:val="0"/>
          <w:i w:val="0"/>
          <w:color w:val="333333"/>
          <w:sz w:val="20"/>
        </w:rPr>
        <w:t>Independent of the Sankhya matter, the cash flow statement (goodreturns.in, cross-checked against Screener.in working-capital-days data) shows a pattern that, on its own, is sufficient grounds for rejection on a 3-5 year long thesis:</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681"/>
            <w:shd w:val="clear" w:color="auto" w:fill="1F2D50"/>
          </w:tcPr>
          <w:p>
            <w:pPr>
              <w:spacing w:after="40"/>
            </w:pPr>
            <w:r>
              <w:rPr>
                <w:b/>
                <w:color w:val="FFFFFF"/>
                <w:sz w:val="17"/>
              </w:rPr>
              <w:t>₹ Cr</w:t>
            </w:r>
          </w:p>
        </w:tc>
        <w:tc>
          <w:tcPr>
            <w:tcW w:type="dxa" w:w="1681"/>
            <w:shd w:val="clear" w:color="auto" w:fill="1F2D50"/>
          </w:tcPr>
          <w:p>
            <w:pPr>
              <w:spacing w:after="40"/>
            </w:pPr>
            <w:r>
              <w:rPr>
                <w:b/>
                <w:color w:val="FFFFFF"/>
                <w:sz w:val="17"/>
              </w:rPr>
              <w:t>FY22</w:t>
            </w:r>
          </w:p>
        </w:tc>
        <w:tc>
          <w:tcPr>
            <w:tcW w:type="dxa" w:w="1681"/>
            <w:shd w:val="clear" w:color="auto" w:fill="1F2D50"/>
          </w:tcPr>
          <w:p>
            <w:pPr>
              <w:spacing w:after="40"/>
            </w:pPr>
            <w:r>
              <w:rPr>
                <w:b/>
                <w:color w:val="FFFFFF"/>
                <w:sz w:val="17"/>
              </w:rPr>
              <w:t>FY23</w:t>
            </w:r>
          </w:p>
        </w:tc>
        <w:tc>
          <w:tcPr>
            <w:tcW w:type="dxa" w:w="1681"/>
            <w:shd w:val="clear" w:color="auto" w:fill="1F2D50"/>
          </w:tcPr>
          <w:p>
            <w:pPr>
              <w:spacing w:after="40"/>
            </w:pPr>
            <w:r>
              <w:rPr>
                <w:b/>
                <w:color w:val="FFFFFF"/>
                <w:sz w:val="17"/>
              </w:rPr>
              <w:t>FY24</w:t>
            </w:r>
          </w:p>
        </w:tc>
        <w:tc>
          <w:tcPr>
            <w:tcW w:type="dxa" w:w="1681"/>
            <w:shd w:val="clear" w:color="auto" w:fill="1F2D50"/>
          </w:tcPr>
          <w:p>
            <w:pPr>
              <w:spacing w:after="40"/>
            </w:pPr>
            <w:r>
              <w:rPr>
                <w:b/>
                <w:color w:val="FFFFFF"/>
                <w:sz w:val="17"/>
              </w:rPr>
              <w:t>FY25</w:t>
            </w:r>
          </w:p>
        </w:tc>
        <w:tc>
          <w:tcPr>
            <w:tcW w:type="dxa" w:w="1681"/>
            <w:shd w:val="clear" w:color="auto" w:fill="1F2D50"/>
          </w:tcPr>
          <w:p>
            <w:pPr>
              <w:spacing w:after="40"/>
            </w:pPr>
            <w:r>
              <w:rPr>
                <w:b/>
                <w:color w:val="FFFFFF"/>
                <w:sz w:val="17"/>
              </w:rPr>
              <w:t>FY26</w:t>
            </w:r>
          </w:p>
        </w:tc>
      </w:tr>
      <w:tr>
        <w:tc>
          <w:tcPr>
            <w:tcW w:type="dxa" w:w="1681"/>
          </w:tcPr>
          <w:p>
            <w:pPr>
              <w:spacing w:after="40"/>
            </w:pPr>
            <w:r>
              <w:rPr>
                <w:sz w:val="17"/>
              </w:rPr>
              <w:t>PBT</w:t>
            </w:r>
          </w:p>
        </w:tc>
        <w:tc>
          <w:tcPr>
            <w:tcW w:type="dxa" w:w="1681"/>
          </w:tcPr>
          <w:p>
            <w:pPr>
              <w:spacing w:after="40"/>
            </w:pPr>
            <w:r>
              <w:rPr>
                <w:sz w:val="17"/>
              </w:rPr>
              <w:t>326.35</w:t>
            </w:r>
          </w:p>
        </w:tc>
        <w:tc>
          <w:tcPr>
            <w:tcW w:type="dxa" w:w="1681"/>
          </w:tcPr>
          <w:p>
            <w:pPr>
              <w:spacing w:after="40"/>
            </w:pPr>
            <w:r>
              <w:rPr>
                <w:sz w:val="17"/>
              </w:rPr>
              <w:t>288.12</w:t>
            </w:r>
          </w:p>
        </w:tc>
        <w:tc>
          <w:tcPr>
            <w:tcW w:type="dxa" w:w="1681"/>
          </w:tcPr>
          <w:p>
            <w:pPr>
              <w:spacing w:after="40"/>
            </w:pPr>
            <w:r>
              <w:rPr>
                <w:sz w:val="17"/>
              </w:rPr>
              <w:t>334.46</w:t>
            </w:r>
          </w:p>
        </w:tc>
        <w:tc>
          <w:tcPr>
            <w:tcW w:type="dxa" w:w="1681"/>
          </w:tcPr>
          <w:p>
            <w:pPr>
              <w:spacing w:after="40"/>
            </w:pPr>
            <w:r>
              <w:rPr>
                <w:sz w:val="17"/>
              </w:rPr>
              <w:t>545.63</w:t>
            </w:r>
          </w:p>
        </w:tc>
        <w:tc>
          <w:tcPr>
            <w:tcW w:type="dxa" w:w="1681"/>
          </w:tcPr>
          <w:p>
            <w:pPr>
              <w:spacing w:after="40"/>
            </w:pPr>
            <w:r>
              <w:rPr>
                <w:sz w:val="17"/>
              </w:rPr>
              <w:t>590.68</w:t>
            </w:r>
          </w:p>
        </w:tc>
      </w:tr>
      <w:tr>
        <w:tc>
          <w:tcPr>
            <w:tcW w:type="dxa" w:w="1681"/>
            <w:shd w:val="clear" w:color="auto" w:fill="F2F2F2"/>
          </w:tcPr>
          <w:p>
            <w:pPr>
              <w:spacing w:after="40"/>
            </w:pPr>
            <w:r>
              <w:rPr>
                <w:sz w:val="17"/>
              </w:rPr>
              <w:t>Operating Cash Flow</w:t>
            </w:r>
          </w:p>
        </w:tc>
        <w:tc>
          <w:tcPr>
            <w:tcW w:type="dxa" w:w="1681"/>
            <w:shd w:val="clear" w:color="auto" w:fill="F2F2F2"/>
          </w:tcPr>
          <w:p>
            <w:pPr>
              <w:spacing w:after="40"/>
            </w:pPr>
            <w:r>
              <w:rPr>
                <w:sz w:val="17"/>
              </w:rPr>
              <w:t>258.73</w:t>
            </w:r>
          </w:p>
        </w:tc>
        <w:tc>
          <w:tcPr>
            <w:tcW w:type="dxa" w:w="1681"/>
            <w:shd w:val="clear" w:color="auto" w:fill="F2F2F2"/>
          </w:tcPr>
          <w:p>
            <w:pPr>
              <w:spacing w:after="40"/>
            </w:pPr>
            <w:r>
              <w:rPr>
                <w:sz w:val="17"/>
              </w:rPr>
              <w:t>32.55</w:t>
            </w:r>
          </w:p>
        </w:tc>
        <w:tc>
          <w:tcPr>
            <w:tcW w:type="dxa" w:w="1681"/>
            <w:shd w:val="clear" w:color="auto" w:fill="F2F2F2"/>
          </w:tcPr>
          <w:p>
            <w:pPr>
              <w:spacing w:after="40"/>
            </w:pPr>
            <w:r>
              <w:rPr>
                <w:sz w:val="17"/>
              </w:rPr>
              <w:t>-337.42</w:t>
            </w:r>
          </w:p>
        </w:tc>
        <w:tc>
          <w:tcPr>
            <w:tcW w:type="dxa" w:w="1681"/>
            <w:shd w:val="clear" w:color="auto" w:fill="F2F2F2"/>
          </w:tcPr>
          <w:p>
            <w:pPr>
              <w:spacing w:after="40"/>
            </w:pPr>
            <w:r>
              <w:rPr>
                <w:sz w:val="17"/>
              </w:rPr>
              <w:t>837.28</w:t>
            </w:r>
          </w:p>
        </w:tc>
        <w:tc>
          <w:tcPr>
            <w:tcW w:type="dxa" w:w="1681"/>
            <w:shd w:val="clear" w:color="auto" w:fill="F2F2F2"/>
          </w:tcPr>
          <w:p>
            <w:pPr>
              <w:spacing w:after="40"/>
            </w:pPr>
            <w:r>
              <w:rPr>
                <w:sz w:val="17"/>
              </w:rPr>
              <w:t>-574.91</w:t>
            </w:r>
          </w:p>
        </w:tc>
      </w:tr>
      <w:tr>
        <w:tc>
          <w:tcPr>
            <w:tcW w:type="dxa" w:w="1681"/>
          </w:tcPr>
          <w:p>
            <w:pPr>
              <w:spacing w:after="40"/>
            </w:pPr>
            <w:r>
              <w:rPr>
                <w:sz w:val="17"/>
              </w:rPr>
              <w:t>Investing Cash Flow</w:t>
            </w:r>
          </w:p>
        </w:tc>
        <w:tc>
          <w:tcPr>
            <w:tcW w:type="dxa" w:w="1681"/>
          </w:tcPr>
          <w:p>
            <w:pPr>
              <w:spacing w:after="40"/>
            </w:pPr>
            <w:r>
              <w:rPr>
                <w:sz w:val="17"/>
              </w:rPr>
              <w:t>-197.39</w:t>
            </w:r>
          </w:p>
        </w:tc>
        <w:tc>
          <w:tcPr>
            <w:tcW w:type="dxa" w:w="1681"/>
          </w:tcPr>
          <w:p>
            <w:pPr>
              <w:spacing w:after="40"/>
            </w:pPr>
            <w:r>
              <w:rPr>
                <w:sz w:val="17"/>
              </w:rPr>
              <w:t>73.33</w:t>
            </w:r>
          </w:p>
        </w:tc>
        <w:tc>
          <w:tcPr>
            <w:tcW w:type="dxa" w:w="1681"/>
          </w:tcPr>
          <w:p>
            <w:pPr>
              <w:spacing w:after="40"/>
            </w:pPr>
            <w:r>
              <w:rPr>
                <w:sz w:val="17"/>
              </w:rPr>
              <w:t>403.29</w:t>
            </w:r>
          </w:p>
        </w:tc>
        <w:tc>
          <w:tcPr>
            <w:tcW w:type="dxa" w:w="1681"/>
          </w:tcPr>
          <w:p>
            <w:pPr>
              <w:spacing w:after="40"/>
            </w:pPr>
            <w:r>
              <w:rPr>
                <w:sz w:val="17"/>
              </w:rPr>
              <w:t>-1,978.80</w:t>
            </w:r>
          </w:p>
        </w:tc>
        <w:tc>
          <w:tcPr>
            <w:tcW w:type="dxa" w:w="1681"/>
          </w:tcPr>
          <w:p>
            <w:pPr>
              <w:spacing w:after="40"/>
            </w:pPr>
            <w:r>
              <w:rPr>
                <w:sz w:val="17"/>
              </w:rPr>
              <w:t>699.35</w:t>
            </w:r>
          </w:p>
        </w:tc>
      </w:tr>
    </w:tbl>
    <w:p>
      <w:pPr>
        <w:spacing w:after="100"/>
      </w:pPr>
      <w:r>
        <w:rPr>
          <w:b/>
          <w:i w:val="0"/>
          <w:color w:val="333333"/>
          <w:sz w:val="20"/>
        </w:rPr>
        <w:t>Operating cash flow was negative in two of the last three years, and FY26's operating cash outflow (-₹575 Cr) is the worst in the five-year window, arriving in the same year reported profit hit a record high. The offsetting positive investing-activity cash flow in FY26 (+₹699 Cr) suggests the company funded operations by liquidating part of its treasury/investment book (the same balance sheet line that holds the still-unresolved Sankhya exposure) rather than converting profit into cash.</w:t>
      </w:r>
    </w:p>
    <w:p>
      <w:pPr>
        <w:spacing w:after="100"/>
      </w:pPr>
      <w:r>
        <w:rPr>
          <w:b w:val="0"/>
          <w:i w:val="0"/>
          <w:color w:val="333333"/>
          <w:sz w:val="20"/>
        </w:rPr>
        <w:t>This corroborates, rather than resolves, the working-capital-days blowout (222→430) found during screening. Deep diligence further established that debtor days actually FELL over the same period (282→108→137, FY23-26) — meaning the deterioration is NOT simple government-receivables stretch as commonly assumed in Indian EPC/power names; it more likely traces to swings in the current-investments/treasury book. No management explanation was found on available transcripts.</w:t>
      </w:r>
    </w:p>
    <w:p>
      <w:pPr>
        <w:spacing w:before="280" w:after="120"/>
      </w:pPr>
      <w:r>
        <w:rPr>
          <w:b/>
          <w:color w:val="1F2D50"/>
          <w:sz w:val="26"/>
        </w:rPr>
        <w:t>8.3 Other Findings</w:t>
      </w:r>
    </w:p>
    <w:p>
      <w:pPr>
        <w:pStyle w:val="ListBullet"/>
        <w:spacing w:after="60"/>
      </w:pPr>
      <w:r>
        <w:rPr>
          <w:sz w:val="19"/>
        </w:rPr>
        <w:t>Management guidance FY26 (from FY24 concall: revenue ₹3,500-3,600 Cr, EPS ₹50) vs delivered (₹3,252 Cr standalone revenue, EPS ₹46.60) — a modest miss after a string of in-line/beat years. FY27 guidance now ₹4,000 Cr / EPS ₹60.</w:t>
      </w:r>
    </w:p>
    <w:p>
      <w:pPr>
        <w:pStyle w:val="ListBullet"/>
        <w:spacing w:after="60"/>
      </w:pPr>
      <w:r>
        <w:rPr>
          <w:sz w:val="19"/>
        </w:rPr>
        <w:t>FY26 growth driven by broad EPC/transmission execution (~65% of ₹9,566 Cr order book), not one-offs. Data centers and smart metering still small contributors (data center FY27 revenue guided only ₹40-50 Cr; management explicitly walked back market expectations of ₹100 Cr).</w:t>
      </w:r>
    </w:p>
    <w:p>
      <w:pPr>
        <w:pStyle w:val="ListBullet"/>
        <w:spacing w:after="60"/>
      </w:pPr>
      <w:r>
        <w:rPr>
          <w:sz w:val="19"/>
        </w:rPr>
        <w:t>Order book ₹9,566 Cr, ~65% transmission EPC, PSU/state-utility/Navratna CPSU-heavy (RailTel, DVC, state DISCOMs) — structurally normal for Indian T&amp;D EPC.</w:t>
      </w:r>
    </w:p>
    <w:p>
      <w:pPr>
        <w:pStyle w:val="ListBullet"/>
        <w:spacing w:after="60"/>
      </w:pPr>
      <w:r>
        <w:rPr>
          <w:sz w:val="19"/>
        </w:rPr>
        <w:t>Debt-free balance sheet, FY26 dividend ₹7/share, unmodified (clean) audit opinion for FY26, no SEBI action or qualified opinion found. Promoter holding declined 61.5%→56.9% over 3 years (moderate dilution flag, not pledging/fraud signal).</w:t>
      </w:r>
    </w:p>
    <w:p>
      <w:pPr>
        <w:pStyle w:val="ListBullet"/>
        <w:spacing w:after="60"/>
      </w:pPr>
      <w:r>
        <w:rPr>
          <w:sz w:val="19"/>
        </w:rPr>
        <w:t>Credit ratings (ICRA/CRISIL, “AA stable” per management commentary) rating rationale PDFs were not directly accessible — rationale text on related-party/receivables commentary remains unverified.</w:t>
      </w:r>
    </w:p>
    <w:p>
      <w:pPr>
        <w:spacing w:before="40" w:after="120"/>
      </w:pPr>
      <w:r>
        <w:rPr>
          <w:b/>
          <w:color w:val="8A1F1F"/>
          <w:sz w:val="20"/>
        </w:rPr>
        <w:t>VERDICT: REJECTED. Do not treat the Sankhya matter alone as a disqualifying related-party diversion — the counterparty appears unaffiliated. However, combined with two years of negative operating cash flow against rising reported profit, and no management explanation for the working-capital anomaly available in accessible transcripts, the bear case (poor cash conversion, opaque treasury exposure) is at least as strong as the bull case (T&amp;D capex cycle, data center optionality). Rejected per the mandate to reject where evidence of a mispricing is weak.</w:t>
      </w:r>
    </w:p>
    <w:p>
      <w:r>
        <w:rPr>
          <w:b/>
          <w:i/>
          <w:sz w:val="17"/>
        </w:rPr>
        <w:t xml:space="preserve">Sources: </w:t>
      </w:r>
      <w:r>
        <w:rPr>
          <w:i/>
          <w:color w:val="666666"/>
          <w:sz w:val="17"/>
        </w:rPr>
        <w:t>BSE/NSE corporate disclosure (~28 May 2026); goodreturns.in cash flow statement; screener.in working-capital data; Quartr Q4 25/26 and prior-quarter transcript summaries; FY26 results filings.</w:t>
      </w:r>
    </w:p>
    <w:p>
      <w:r>
        <w:br w:type="page"/>
      </w:r>
    </w:p>
    <w:p>
      <w:pPr>
        <w:spacing w:before="280" w:after="120"/>
      </w:pPr>
      <w:r>
        <w:rPr>
          <w:b/>
          <w:color w:val="1F2D50"/>
          <w:sz w:val="34"/>
        </w:rPr>
        <w:t>9. Deep Diligence — CCL Products India (Promoted Finalist)</w:t>
      </w:r>
    </w:p>
    <w:p>
      <w:pPr>
        <w:spacing w:after="40" w:before="40"/>
        <w:pBdr>
          <w:bottom w:val="single" w:sz="8" w:space="1" w:color="1F2D50"/>
        </w:pBdr>
      </w:pPr>
    </w:p>
    <w:p>
      <w:pPr>
        <w:spacing w:before="280" w:after="120"/>
      </w:pPr>
      <w:r>
        <w:rPr>
          <w:b/>
          <w:color w:val="1F2D50"/>
          <w:sz w:val="26"/>
        </w:rPr>
        <w:t>9.1 Margin Compression Explanation</w:t>
      </w:r>
    </w:p>
    <w:p>
      <w:pPr>
        <w:spacing w:after="100"/>
      </w:pPr>
      <w:r>
        <w:rPr>
          <w:b w:val="0"/>
          <w:i w:val="0"/>
          <w:color w:val="333333"/>
          <w:sz w:val="20"/>
        </w:rPr>
        <w:t>OPM fell ~18%→~16% in FY26, but management (per Tradebrains/Financial Express coverage of the Q4 FY26 call, May 2026) frames this as an optical/cost-plus pass-through effect — rising green coffee prices inflate revenue faster than absolute profit, mechanically depressing the margin percentage. EBITDA/kg actually rose ₹120→₹135-140 over FY26, driven by freeze-dried mix shift, small-pack growth, and capacity utilization. Assessed as largely transient, corroborated by unit economics — not structural margin loss.</w:t>
      </w:r>
    </w:p>
    <w:p>
      <w:pPr>
        <w:spacing w:before="280" w:after="120"/>
      </w:pPr>
      <w:r>
        <w:rPr>
          <w:b/>
          <w:color w:val="1F2D50"/>
          <w:sz w:val="26"/>
        </w:rPr>
        <w:t>9.2 Capacity Expansion</w:t>
      </w:r>
    </w:p>
    <w:p>
      <w:pPr>
        <w:spacing w:after="100"/>
      </w:pPr>
      <w:r>
        <w:rPr>
          <w:b w:val="0"/>
          <w:i w:val="0"/>
          <w:color w:val="333333"/>
          <w:sz w:val="20"/>
        </w:rPr>
        <w:t>Combined India+Vietnam capacity ~77,000 MT (up from 38,500 TPA in FY22). Utilization currently ~65%, guided to reach 72-73% (FY27) and 80-85% (FY28). Management explicitly guided NO major capex for 2 years (only ₹25-35 Cr/yr maintenance) — FY27-28 growth runway is fundable from existing capacity.</w:t>
      </w:r>
    </w:p>
    <w:p>
      <w:pPr>
        <w:spacing w:before="280" w:after="120"/>
      </w:pPr>
      <w:r>
        <w:rPr>
          <w:b/>
          <w:color w:val="1F2D50"/>
          <w:sz w:val="26"/>
        </w:rPr>
        <w:t>9.3 Customer Concentration — Unresolved Gap</w:t>
      </w:r>
    </w:p>
    <w:p>
      <w:pPr>
        <w:spacing w:after="100"/>
      </w:pPr>
      <w:r>
        <w:rPr>
          <w:b/>
          <w:i w:val="0"/>
          <w:color w:val="333333"/>
          <w:sz w:val="20"/>
        </w:rPr>
        <w:t>Could NOT find hard top-5/top-10 revenue percentage in any source reviewed, including a direct web_fetch attempt against cclproducts.com/investors (returned no matching content). Directional evidence (Karnik Substack commentary) suggests broad diversification (100+ countries, “hundreds of customers,” no single dominant client) versus smaller peer Vintage Coffee's concentrated Russia exposure, but this is not a substitute for hard disclosure. Flagged as a material verification gap requiring a direct annual report pull (see Section 12).</w:t>
      </w:r>
    </w:p>
    <w:p>
      <w:pPr>
        <w:spacing w:before="280" w:after="120"/>
      </w:pPr>
      <w:r>
        <w:rPr>
          <w:b/>
          <w:color w:val="1F2D50"/>
          <w:sz w:val="26"/>
        </w:rPr>
        <w:t>9.4 Branded Business Optionality</w:t>
      </w:r>
    </w:p>
    <w:p>
      <w:pPr>
        <w:spacing w:after="100"/>
      </w:pPr>
      <w:r>
        <w:rPr>
          <w:b w:val="0"/>
          <w:i w:val="0"/>
          <w:color w:val="333333"/>
          <w:sz w:val="20"/>
        </w:rPr>
        <w:t>Continental Coffee ~₹430-440 Cr FY26 branded sales (~10% of ₹4,466 Cr consolidated revenue), growing 40-50% YoY, now India's #3 instant coffee brand. Real optionality/re-rating lever, but unproven at national scale beyond its South India stronghold.</w:t>
      </w:r>
    </w:p>
    <w:p>
      <w:pPr>
        <w:spacing w:before="280" w:after="120"/>
      </w:pPr>
      <w:r>
        <w:rPr>
          <w:b/>
          <w:color w:val="1F2D50"/>
          <w:sz w:val="26"/>
        </w:rPr>
        <w:t>9.5 Capital Allocation</w:t>
      </w:r>
    </w:p>
    <w:p>
      <w:pPr>
        <w:spacing w:after="100"/>
      </w:pPr>
      <w:r>
        <w:rPr>
          <w:b w:val="0"/>
          <w:i w:val="0"/>
          <w:color w:val="333333"/>
          <w:sz w:val="20"/>
        </w:rPr>
        <w:t>Net debt cut from ~₹1,815-2,000 Cr to ₹1,073 Cr (&gt;₹750 Cr reduction), net debt/EBITDA 3.1x→1.45x, FCF swung to +₹788 Cr in FY26. Dividends maintained (20-33% historical payout). Promoter holding stable ~46.1% (dhan.co shareholding pattern, Jun 2025–Jun 2026), no pledge evidence found but NOT independently verified against a primary BSE filing (Section 12).</w:t>
      </w:r>
    </w:p>
    <w:p>
      <w:pPr>
        <w:spacing w:before="280" w:after="120"/>
      </w:pPr>
      <w:r>
        <w:rPr>
          <w:b/>
          <w:color w:val="1F2D50"/>
          <w:sz w:val="26"/>
        </w:rPr>
        <w:t>9.6 Management Track Record</w:t>
      </w:r>
    </w:p>
    <w:p>
      <w:pPr>
        <w:spacing w:after="100"/>
      </w:pPr>
      <w:r>
        <w:rPr>
          <w:b w:val="0"/>
          <w:i w:val="0"/>
          <w:color w:val="333333"/>
          <w:sz w:val="20"/>
        </w:rPr>
        <w:t>Generally credible — defended FY25 volume guidance through a weak Q3, and FY26 guidance was beaten significantly (though largely commodity-price driven, not pure execution alpha). FY27 guidance reset conservatively to 15% volume / 15% EBITDA growth, with no major capex planned (Q4 25/26 transcript, stockanalysis.com).</w:t>
      </w:r>
    </w:p>
    <w:p>
      <w:pPr>
        <w:spacing w:before="280" w:after="120"/>
      </w:pPr>
      <w:r>
        <w:rPr>
          <w:b/>
          <w:color w:val="1F2D50"/>
          <w:sz w:val="26"/>
        </w:rPr>
        <w:t>9.7 Industry Structure</w:t>
      </w:r>
    </w:p>
    <w:p>
      <w:pPr>
        <w:spacing w:after="100"/>
      </w:pPr>
      <w:r>
        <w:rPr>
          <w:b w:val="0"/>
          <w:i w:val="0"/>
          <w:color w:val="333333"/>
          <w:sz w:val="20"/>
        </w:rPr>
        <w:t>CCL growing 18-20% vs. ~5% global instant coffee market growth strongly implies share gains, though no direct Nestlé/Olam/Tata Coffee head-to-head share data was found — this is an inference, not a stated fact, and is flagged as such in the final pitch. Structural tailwinds (premiumization, India coffee culture shift, natural FX hedge) are real; robusta/arabica price volatility is a live risk (Arabica hit an all-time record October 2025).</w:t>
      </w:r>
    </w:p>
    <w:p>
      <w:pPr>
        <w:spacing w:before="280" w:after="120"/>
      </w:pPr>
      <w:r>
        <w:rPr>
          <w:b/>
          <w:color w:val="1F2D50"/>
          <w:sz w:val="26"/>
        </w:rPr>
        <w:t>9.8 Credit Rating — Resolved</w:t>
      </w:r>
    </w:p>
    <w:p>
      <w:pPr>
        <w:spacing w:after="100"/>
      </w:pPr>
      <w:r>
        <w:rPr>
          <w:b w:val="0"/>
          <w:i w:val="0"/>
          <w:color w:val="333333"/>
          <w:sz w:val="20"/>
        </w:rPr>
        <w:t>Initial diligence pass could not verify a credit rating letter grade despite multiple attempts (Screener.in confirmed Fitch/India Ratings as agency of record for historical updates, 2019-2026, but letter grade was not retrievable). Follow-up search resolved this: ET Markets explicitly lists CCL Products as “No Rating (NR)” (economictimes.indiatimes.com, accessed Jul 2026). This is consistent with a company that has been actively delevering and likely runs primarily on bank working-capital lines rather than rated public debt instruments — not evidence of distress. The falling net debt/EBITDA trend (3.1x→1.45x) corroborates this benign reading.</w:t>
      </w:r>
    </w:p>
    <w:p>
      <w:pPr>
        <w:spacing w:before="280" w:after="120"/>
      </w:pPr>
      <w:r>
        <w:rPr>
          <w:b/>
          <w:color w:val="1F2D50"/>
          <w:sz w:val="26"/>
        </w:rPr>
        <w:t>9.9 Red Flags Checked</w:t>
      </w:r>
    </w:p>
    <w:p>
      <w:pPr>
        <w:spacing w:after="100"/>
      </w:pPr>
      <w:r>
        <w:rPr>
          <w:b w:val="0"/>
          <w:i w:val="0"/>
          <w:color w:val="333333"/>
          <w:sz w:val="20"/>
        </w:rPr>
        <w:t>Inventory days normalized favorably (262→131 days, FY21→FY26) as commodity prices eased. No auditor qualification found, but this is an information gap rather than a clean-bill confirmation — the annual report auditor's report/RPT note should be pulled directly (Section 12). Stock has re-rated sharply (~₹475→~₹1,220 in ~1 year, now ~41-42x P/E vs 5yr median ~31x per etmoney.com and tradebrains.in) — valuation/de-rating risk if FY27's guided deceleration disappoints, especially since the FY26 beat was largely commodity-driven.</w:t>
      </w:r>
    </w:p>
    <w:p>
      <w:pPr>
        <w:spacing w:before="40" w:after="120"/>
      </w:pPr>
      <w:r>
        <w:rPr>
          <w:b/>
          <w:color w:val="1E6B3A"/>
          <w:sz w:val="20"/>
        </w:rPr>
        <w:t>VERDICT: PROMOTED AS FINALIST #2. Margin compression resolved as transient/optical (EBITDA/kg confirms improving unit economics). Capacity, deleveraging, and branded-business optionality are real and well-evidenced. Customer concentration remains a genuine, unresolved disclosure gap and is carried into the final pitch as an explicit limitation rather than assumed away.</w:t>
      </w:r>
    </w:p>
    <w:p>
      <w:r>
        <w:rPr>
          <w:b/>
          <w:i/>
          <w:sz w:val="17"/>
        </w:rPr>
        <w:t xml:space="preserve">Sources: </w:t>
      </w:r>
      <w:r>
        <w:rPr>
          <w:i/>
          <w:color w:val="666666"/>
          <w:sz w:val="17"/>
        </w:rPr>
        <w:t>cclproducts.com/investors (direct fetch attempt); Tradebrains, Financial Express (Q4 FY26 call coverage, May 2026); Q1-Q4 FY25/FY26 transcript summaries (stockanalysis.com, Quartr); dhan.co shareholding pattern; etmoney.com valuation snapshot; economictimes.indiatimes.com rating listing.</w:t>
      </w:r>
    </w:p>
    <w:p>
      <w:r>
        <w:br w:type="page"/>
      </w:r>
    </w:p>
    <w:p>
      <w:pPr>
        <w:spacing w:before="280" w:after="120"/>
      </w:pPr>
      <w:r>
        <w:rPr>
          <w:b/>
          <w:color w:val="1F2D50"/>
          <w:sz w:val="34"/>
        </w:rPr>
        <w:t>10. Valuation Data-Gathering Notes</w:t>
      </w:r>
    </w:p>
    <w:p>
      <w:pPr>
        <w:spacing w:after="40" w:before="40"/>
        <w:pBdr>
          <w:bottom w:val="single" w:sz="8" w:space="1" w:color="1F2D50"/>
        </w:pBdr>
      </w:pPr>
    </w:p>
    <w:p>
      <w:pPr>
        <w:spacing w:before="280" w:after="120"/>
      </w:pPr>
      <w:r>
        <w:rPr>
          <w:b/>
          <w:color w:val="1F2D50"/>
          <w:sz w:val="26"/>
        </w:rPr>
        <w:t>10.1 Karur Vysya Bank — Live Data Points (15 Jul 2026)</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val="clear" w:color="auto" w:fill="1F2D50"/>
          </w:tcPr>
          <w:p>
            <w:pPr>
              <w:spacing w:after="40"/>
            </w:pPr>
            <w:r>
              <w:rPr>
                <w:b/>
                <w:color w:val="FFFFFF"/>
                <w:sz w:val="17"/>
              </w:rPr>
              <w:t>Metric</w:t>
            </w:r>
          </w:p>
        </w:tc>
        <w:tc>
          <w:tcPr>
            <w:tcW w:type="dxa" w:w="3362"/>
            <w:shd w:val="clear" w:color="auto" w:fill="1F2D50"/>
          </w:tcPr>
          <w:p>
            <w:pPr>
              <w:spacing w:after="40"/>
            </w:pPr>
            <w:r>
              <w:rPr>
                <w:b/>
                <w:color w:val="FFFFFF"/>
                <w:sz w:val="17"/>
              </w:rPr>
              <w:t>Value</w:t>
            </w:r>
          </w:p>
        </w:tc>
        <w:tc>
          <w:tcPr>
            <w:tcW w:type="dxa" w:w="3362"/>
            <w:shd w:val="clear" w:color="auto" w:fill="1F2D50"/>
          </w:tcPr>
          <w:p>
            <w:pPr>
              <w:spacing w:after="40"/>
            </w:pPr>
            <w:r>
              <w:rPr>
                <w:b/>
                <w:color w:val="FFFFFF"/>
                <w:sz w:val="17"/>
              </w:rPr>
              <w:t>Source</w:t>
            </w:r>
          </w:p>
        </w:tc>
      </w:tr>
      <w:tr>
        <w:tc>
          <w:tcPr>
            <w:tcW w:type="dxa" w:w="3362"/>
          </w:tcPr>
          <w:p>
            <w:pPr>
              <w:spacing w:after="40"/>
            </w:pPr>
            <w:r>
              <w:rPr>
                <w:sz w:val="17"/>
              </w:rPr>
              <w:t>Price</w:t>
            </w:r>
          </w:p>
        </w:tc>
        <w:tc>
          <w:tcPr>
            <w:tcW w:type="dxa" w:w="3362"/>
          </w:tcPr>
          <w:p>
            <w:pPr>
              <w:spacing w:after="40"/>
            </w:pPr>
            <w:r>
              <w:rPr>
                <w:sz w:val="17"/>
              </w:rPr>
              <w:t>₹305.40</w:t>
            </w:r>
          </w:p>
        </w:tc>
        <w:tc>
          <w:tcPr>
            <w:tcW w:type="dxa" w:w="3362"/>
          </w:tcPr>
          <w:p>
            <w:pPr>
              <w:spacing w:after="40"/>
            </w:pPr>
            <w:r>
              <w:rPr>
                <w:sz w:val="17"/>
              </w:rPr>
              <w:t>dhan.co, 15 Jul 2026, 3:45 PM</w:t>
            </w:r>
          </w:p>
        </w:tc>
      </w:tr>
      <w:tr>
        <w:tc>
          <w:tcPr>
            <w:tcW w:type="dxa" w:w="3362"/>
            <w:shd w:val="clear" w:color="auto" w:fill="F2F2F2"/>
          </w:tcPr>
          <w:p>
            <w:pPr>
              <w:spacing w:after="40"/>
            </w:pPr>
            <w:r>
              <w:rPr>
                <w:sz w:val="17"/>
              </w:rPr>
              <w:t>Market cap</w:t>
            </w:r>
          </w:p>
        </w:tc>
        <w:tc>
          <w:tcPr>
            <w:tcW w:type="dxa" w:w="3362"/>
            <w:shd w:val="clear" w:color="auto" w:fill="F2F2F2"/>
          </w:tcPr>
          <w:p>
            <w:pPr>
              <w:spacing w:after="40"/>
            </w:pPr>
            <w:r>
              <w:rPr>
                <w:sz w:val="17"/>
              </w:rPr>
              <w:t>₹29,517 Cr</w:t>
            </w:r>
          </w:p>
        </w:tc>
        <w:tc>
          <w:tcPr>
            <w:tcW w:type="dxa" w:w="3362"/>
            <w:shd w:val="clear" w:color="auto" w:fill="F2F2F2"/>
          </w:tcPr>
          <w:p>
            <w:pPr>
              <w:spacing w:after="40"/>
            </w:pPr>
            <w:r>
              <w:rPr>
                <w:sz w:val="17"/>
              </w:rPr>
              <w:t>dhan.co</w:t>
            </w:r>
          </w:p>
        </w:tc>
      </w:tr>
      <w:tr>
        <w:tc>
          <w:tcPr>
            <w:tcW w:type="dxa" w:w="3362"/>
          </w:tcPr>
          <w:p>
            <w:pPr>
              <w:spacing w:after="40"/>
            </w:pPr>
            <w:r>
              <w:rPr>
                <w:sz w:val="17"/>
              </w:rPr>
              <w:t>P/E (TTM)</w:t>
            </w:r>
          </w:p>
        </w:tc>
        <w:tc>
          <w:tcPr>
            <w:tcW w:type="dxa" w:w="3362"/>
          </w:tcPr>
          <w:p>
            <w:pPr>
              <w:spacing w:after="40"/>
            </w:pPr>
            <w:r>
              <w:rPr>
                <w:sz w:val="17"/>
              </w:rPr>
              <w:t>11.60x</w:t>
            </w:r>
          </w:p>
        </w:tc>
        <w:tc>
          <w:tcPr>
            <w:tcW w:type="dxa" w:w="3362"/>
          </w:tcPr>
          <w:p>
            <w:pPr>
              <w:spacing w:after="40"/>
            </w:pPr>
            <w:r>
              <w:rPr>
                <w:sz w:val="17"/>
              </w:rPr>
              <w:t>dhan.co</w:t>
            </w:r>
          </w:p>
        </w:tc>
      </w:tr>
      <w:tr>
        <w:tc>
          <w:tcPr>
            <w:tcW w:type="dxa" w:w="3362"/>
            <w:shd w:val="clear" w:color="auto" w:fill="F2F2F2"/>
          </w:tcPr>
          <w:p>
            <w:pPr>
              <w:spacing w:after="40"/>
            </w:pPr>
            <w:r>
              <w:rPr>
                <w:sz w:val="17"/>
              </w:rPr>
              <w:t>Book value / share</w:t>
            </w:r>
          </w:p>
        </w:tc>
        <w:tc>
          <w:tcPr>
            <w:tcW w:type="dxa" w:w="3362"/>
            <w:shd w:val="clear" w:color="auto" w:fill="F2F2F2"/>
          </w:tcPr>
          <w:p>
            <w:pPr>
              <w:spacing w:after="40"/>
            </w:pPr>
            <w:r>
              <w:rPr>
                <w:sz w:val="17"/>
              </w:rPr>
              <w:t>~₹146</w:t>
            </w:r>
          </w:p>
        </w:tc>
        <w:tc>
          <w:tcPr>
            <w:tcW w:type="dxa" w:w="3362"/>
            <w:shd w:val="clear" w:color="auto" w:fill="F2F2F2"/>
          </w:tcPr>
          <w:p>
            <w:pPr>
              <w:spacing w:after="40"/>
            </w:pPr>
            <w:r>
              <w:rPr>
                <w:sz w:val="17"/>
              </w:rPr>
              <w:t>screener.in</w:t>
            </w:r>
          </w:p>
        </w:tc>
      </w:tr>
      <w:tr>
        <w:tc>
          <w:tcPr>
            <w:tcW w:type="dxa" w:w="3362"/>
          </w:tcPr>
          <w:p>
            <w:pPr>
              <w:spacing w:after="40"/>
            </w:pPr>
            <w:r>
              <w:rPr>
                <w:sz w:val="17"/>
              </w:rPr>
              <w:t>ROE</w:t>
            </w:r>
          </w:p>
        </w:tc>
        <w:tc>
          <w:tcPr>
            <w:tcW w:type="dxa" w:w="3362"/>
          </w:tcPr>
          <w:p>
            <w:pPr>
              <w:spacing w:after="40"/>
            </w:pPr>
            <w:r>
              <w:rPr>
                <w:sz w:val="17"/>
              </w:rPr>
              <w:t>19.1-19.2%</w:t>
            </w:r>
          </w:p>
        </w:tc>
        <w:tc>
          <w:tcPr>
            <w:tcW w:type="dxa" w:w="3362"/>
          </w:tcPr>
          <w:p>
            <w:pPr>
              <w:spacing w:after="40"/>
            </w:pPr>
            <w:r>
              <w:rPr>
                <w:sz w:val="17"/>
              </w:rPr>
              <w:t>screener.in; ET BFSI</w:t>
            </w:r>
          </w:p>
        </w:tc>
      </w:tr>
      <w:tr>
        <w:tc>
          <w:tcPr>
            <w:tcW w:type="dxa" w:w="3362"/>
            <w:shd w:val="clear" w:color="auto" w:fill="F2F2F2"/>
          </w:tcPr>
          <w:p>
            <w:pPr>
              <w:spacing w:after="40"/>
            </w:pPr>
            <w:r>
              <w:rPr>
                <w:sz w:val="17"/>
              </w:rPr>
              <w:t>FY27 consensus ROE</w:t>
            </w:r>
          </w:p>
        </w:tc>
        <w:tc>
          <w:tcPr>
            <w:tcW w:type="dxa" w:w="3362"/>
            <w:shd w:val="clear" w:color="auto" w:fill="F2F2F2"/>
          </w:tcPr>
          <w:p>
            <w:pPr>
              <w:spacing w:after="40"/>
            </w:pPr>
            <w:r>
              <w:rPr>
                <w:sz w:val="17"/>
              </w:rPr>
              <w:t>17.5% (highest among mid-size peers)</w:t>
            </w:r>
          </w:p>
        </w:tc>
        <w:tc>
          <w:tcPr>
            <w:tcW w:type="dxa" w:w="3362"/>
            <w:shd w:val="clear" w:color="auto" w:fill="F2F2F2"/>
          </w:tcPr>
          <w:p>
            <w:pPr>
              <w:spacing w:after="40"/>
            </w:pPr>
            <w:r>
              <w:rPr>
                <w:sz w:val="17"/>
              </w:rPr>
              <w:t>ET BFSI, 2026</w:t>
            </w:r>
          </w:p>
        </w:tc>
      </w:tr>
      <w:tr>
        <w:tc>
          <w:tcPr>
            <w:tcW w:type="dxa" w:w="3362"/>
          </w:tcPr>
          <w:p>
            <w:pPr>
              <w:spacing w:after="40"/>
            </w:pPr>
            <w:r>
              <w:rPr>
                <w:sz w:val="17"/>
              </w:rPr>
              <w:t>City Union Bank P/E</w:t>
            </w:r>
          </w:p>
        </w:tc>
        <w:tc>
          <w:tcPr>
            <w:tcW w:type="dxa" w:w="3362"/>
          </w:tcPr>
          <w:p>
            <w:pPr>
              <w:spacing w:after="40"/>
            </w:pPr>
            <w:r>
              <w:rPr>
                <w:sz w:val="17"/>
              </w:rPr>
              <w:t>~16.5x</w:t>
            </w:r>
          </w:p>
        </w:tc>
        <w:tc>
          <w:tcPr>
            <w:tcW w:type="dxa" w:w="3362"/>
          </w:tcPr>
          <w:p>
            <w:pPr>
              <w:spacing w:after="40"/>
            </w:pPr>
            <w:r>
              <w:rPr>
                <w:sz w:val="17"/>
              </w:rPr>
              <w:t>moneycontrol.com peer comparison</w:t>
            </w:r>
          </w:p>
        </w:tc>
      </w:tr>
      <w:tr>
        <w:tc>
          <w:tcPr>
            <w:tcW w:type="dxa" w:w="3362"/>
            <w:shd w:val="clear" w:color="auto" w:fill="F2F2F2"/>
          </w:tcPr>
          <w:p>
            <w:pPr>
              <w:spacing w:after="40"/>
            </w:pPr>
            <w:r>
              <w:rPr>
                <w:sz w:val="17"/>
              </w:rPr>
              <w:t>City Union Bank ROE</w:t>
            </w:r>
          </w:p>
        </w:tc>
        <w:tc>
          <w:tcPr>
            <w:tcW w:type="dxa" w:w="3362"/>
            <w:shd w:val="clear" w:color="auto" w:fill="F2F2F2"/>
          </w:tcPr>
          <w:p>
            <w:pPr>
              <w:spacing w:after="40"/>
            </w:pPr>
            <w:r>
              <w:rPr>
                <w:sz w:val="17"/>
              </w:rPr>
              <w:t>12-13.5% (sources diverge)</w:t>
            </w:r>
          </w:p>
        </w:tc>
        <w:tc>
          <w:tcPr>
            <w:tcW w:type="dxa" w:w="3362"/>
            <w:shd w:val="clear" w:color="auto" w:fill="F2F2F2"/>
          </w:tcPr>
          <w:p>
            <w:pPr>
              <w:spacing w:after="40"/>
            </w:pPr>
            <w:r>
              <w:rPr>
                <w:sz w:val="17"/>
              </w:rPr>
              <w:t>shareprice-target.com; ET BFSI</w:t>
            </w:r>
          </w:p>
        </w:tc>
      </w:tr>
      <w:tr>
        <w:tc>
          <w:tcPr>
            <w:tcW w:type="dxa" w:w="3362"/>
          </w:tcPr>
          <w:p>
            <w:pPr>
              <w:spacing w:after="40"/>
            </w:pPr>
            <w:r>
              <w:rPr>
                <w:sz w:val="17"/>
              </w:rPr>
              <w:t>RBL Bank P/E</w:t>
            </w:r>
          </w:p>
        </w:tc>
        <w:tc>
          <w:tcPr>
            <w:tcW w:type="dxa" w:w="3362"/>
          </w:tcPr>
          <w:p>
            <w:pPr>
              <w:spacing w:after="40"/>
            </w:pPr>
            <w:r>
              <w:rPr>
                <w:sz w:val="17"/>
              </w:rPr>
              <w:t>~63x (low earnings base)</w:t>
            </w:r>
          </w:p>
        </w:tc>
        <w:tc>
          <w:tcPr>
            <w:tcW w:type="dxa" w:w="3362"/>
          </w:tcPr>
          <w:p>
            <w:pPr>
              <w:spacing w:after="40"/>
            </w:pPr>
            <w:r>
              <w:rPr>
                <w:sz w:val="17"/>
              </w:rPr>
              <w:t>cross-source screening</w:t>
            </w:r>
          </w:p>
        </w:tc>
      </w:tr>
    </w:tbl>
    <w:p>
      <w:pPr>
        <w:spacing w:after="100"/>
      </w:pPr>
      <w:r>
        <w:rPr>
          <w:b w:val="0"/>
          <w:i/>
          <w:color w:val="333333"/>
          <w:sz w:val="18"/>
        </w:rPr>
        <w:t>Note: multiple data points show minor divergence across aggregators (e.g., P/E cited as 11.6x-13.6x across dhan.co, cnbctv18.com, and other sources at different snapshot dates) — attributable to timing differences and standalone vs. consolidated presentation. The 11.6x figure (dhan.co, same-day as price used) was used as the base case input.</w:t>
      </w:r>
    </w:p>
    <w:p>
      <w:pPr>
        <w:spacing w:before="280" w:after="120"/>
      </w:pPr>
      <w:r>
        <w:rPr>
          <w:b/>
          <w:color w:val="1F2D50"/>
          <w:sz w:val="26"/>
        </w:rPr>
        <w:t>10.2 CCL Products — Live Data Points (15 Jul 2026)</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val="clear" w:color="auto" w:fill="1F2D50"/>
          </w:tcPr>
          <w:p>
            <w:pPr>
              <w:spacing w:after="40"/>
            </w:pPr>
            <w:r>
              <w:rPr>
                <w:b/>
                <w:color w:val="FFFFFF"/>
                <w:sz w:val="17"/>
              </w:rPr>
              <w:t>Metric</w:t>
            </w:r>
          </w:p>
        </w:tc>
        <w:tc>
          <w:tcPr>
            <w:tcW w:type="dxa" w:w="3362"/>
            <w:shd w:val="clear" w:color="auto" w:fill="1F2D50"/>
          </w:tcPr>
          <w:p>
            <w:pPr>
              <w:spacing w:after="40"/>
            </w:pPr>
            <w:r>
              <w:rPr>
                <w:b/>
                <w:color w:val="FFFFFF"/>
                <w:sz w:val="17"/>
              </w:rPr>
              <w:t>Value</w:t>
            </w:r>
          </w:p>
        </w:tc>
        <w:tc>
          <w:tcPr>
            <w:tcW w:type="dxa" w:w="3362"/>
            <w:shd w:val="clear" w:color="auto" w:fill="1F2D50"/>
          </w:tcPr>
          <w:p>
            <w:pPr>
              <w:spacing w:after="40"/>
            </w:pPr>
            <w:r>
              <w:rPr>
                <w:b/>
                <w:color w:val="FFFFFF"/>
                <w:sz w:val="17"/>
              </w:rPr>
              <w:t>Source</w:t>
            </w:r>
          </w:p>
        </w:tc>
      </w:tr>
      <w:tr>
        <w:tc>
          <w:tcPr>
            <w:tcW w:type="dxa" w:w="3362"/>
          </w:tcPr>
          <w:p>
            <w:pPr>
              <w:spacing w:after="40"/>
            </w:pPr>
            <w:r>
              <w:rPr>
                <w:sz w:val="17"/>
              </w:rPr>
              <w:t>Price</w:t>
            </w:r>
          </w:p>
        </w:tc>
        <w:tc>
          <w:tcPr>
            <w:tcW w:type="dxa" w:w="3362"/>
          </w:tcPr>
          <w:p>
            <w:pPr>
              <w:spacing w:after="40"/>
            </w:pPr>
            <w:r>
              <w:rPr>
                <w:sz w:val="17"/>
              </w:rPr>
              <w:t>~₹1,220 (range ₹1,183-1,229 intraday)</w:t>
            </w:r>
          </w:p>
        </w:tc>
        <w:tc>
          <w:tcPr>
            <w:tcW w:type="dxa" w:w="3362"/>
          </w:tcPr>
          <w:p>
            <w:pPr>
              <w:spacing w:after="40"/>
            </w:pPr>
            <w:r>
              <w:rPr>
                <w:sz w:val="17"/>
              </w:rPr>
              <w:t>dhan.co, etmoney.com, 15 Jul 2026</w:t>
            </w:r>
          </w:p>
        </w:tc>
      </w:tr>
      <w:tr>
        <w:tc>
          <w:tcPr>
            <w:tcW w:type="dxa" w:w="3362"/>
            <w:shd w:val="clear" w:color="auto" w:fill="F2F2F2"/>
          </w:tcPr>
          <w:p>
            <w:pPr>
              <w:spacing w:after="40"/>
            </w:pPr>
            <w:r>
              <w:rPr>
                <w:sz w:val="17"/>
              </w:rPr>
              <w:t>Market cap</w:t>
            </w:r>
          </w:p>
        </w:tc>
        <w:tc>
          <w:tcPr>
            <w:tcW w:type="dxa" w:w="3362"/>
            <w:shd w:val="clear" w:color="auto" w:fill="F2F2F2"/>
          </w:tcPr>
          <w:p>
            <w:pPr>
              <w:spacing w:after="40"/>
            </w:pPr>
            <w:r>
              <w:rPr>
                <w:sz w:val="17"/>
              </w:rPr>
              <w:t>₹15,919 Cr</w:t>
            </w:r>
          </w:p>
        </w:tc>
        <w:tc>
          <w:tcPr>
            <w:tcW w:type="dxa" w:w="3362"/>
            <w:shd w:val="clear" w:color="auto" w:fill="F2F2F2"/>
          </w:tcPr>
          <w:p>
            <w:pPr>
              <w:spacing w:after="40"/>
            </w:pPr>
            <w:r>
              <w:rPr>
                <w:sz w:val="17"/>
              </w:rPr>
              <w:t>etmoney.com</w:t>
            </w:r>
          </w:p>
        </w:tc>
      </w:tr>
      <w:tr>
        <w:tc>
          <w:tcPr>
            <w:tcW w:type="dxa" w:w="3362"/>
          </w:tcPr>
          <w:p>
            <w:pPr>
              <w:spacing w:after="40"/>
            </w:pPr>
            <w:r>
              <w:rPr>
                <w:sz w:val="17"/>
              </w:rPr>
              <w:t>P/E (TTM)</w:t>
            </w:r>
          </w:p>
        </w:tc>
        <w:tc>
          <w:tcPr>
            <w:tcW w:type="dxa" w:w="3362"/>
          </w:tcPr>
          <w:p>
            <w:pPr>
              <w:spacing w:after="40"/>
            </w:pPr>
            <w:r>
              <w:rPr>
                <w:sz w:val="17"/>
              </w:rPr>
              <w:t>41.02x</w:t>
            </w:r>
          </w:p>
        </w:tc>
        <w:tc>
          <w:tcPr>
            <w:tcW w:type="dxa" w:w="3362"/>
          </w:tcPr>
          <w:p>
            <w:pPr>
              <w:spacing w:after="40"/>
            </w:pPr>
            <w:r>
              <w:rPr>
                <w:sz w:val="17"/>
              </w:rPr>
              <w:t>etmoney.com</w:t>
            </w:r>
          </w:p>
        </w:tc>
      </w:tr>
      <w:tr>
        <w:tc>
          <w:tcPr>
            <w:tcW w:type="dxa" w:w="3362"/>
            <w:shd w:val="clear" w:color="auto" w:fill="F2F2F2"/>
          </w:tcPr>
          <w:p>
            <w:pPr>
              <w:spacing w:after="40"/>
            </w:pPr>
            <w:r>
              <w:rPr>
                <w:sz w:val="17"/>
              </w:rPr>
              <w:t>Sector P/E</w:t>
            </w:r>
          </w:p>
        </w:tc>
        <w:tc>
          <w:tcPr>
            <w:tcW w:type="dxa" w:w="3362"/>
            <w:shd w:val="clear" w:color="auto" w:fill="F2F2F2"/>
          </w:tcPr>
          <w:p>
            <w:pPr>
              <w:spacing w:after="40"/>
            </w:pPr>
            <w:r>
              <w:rPr>
                <w:sz w:val="17"/>
              </w:rPr>
              <w:t>58.80x</w:t>
            </w:r>
          </w:p>
        </w:tc>
        <w:tc>
          <w:tcPr>
            <w:tcW w:type="dxa" w:w="3362"/>
            <w:shd w:val="clear" w:color="auto" w:fill="F2F2F2"/>
          </w:tcPr>
          <w:p>
            <w:pPr>
              <w:spacing w:after="40"/>
            </w:pPr>
            <w:r>
              <w:rPr>
                <w:sz w:val="17"/>
              </w:rPr>
              <w:t>etmoney.com</w:t>
            </w:r>
          </w:p>
        </w:tc>
      </w:tr>
      <w:tr>
        <w:tc>
          <w:tcPr>
            <w:tcW w:type="dxa" w:w="3362"/>
          </w:tcPr>
          <w:p>
            <w:pPr>
              <w:spacing w:after="40"/>
            </w:pPr>
            <w:r>
              <w:rPr>
                <w:sz w:val="17"/>
              </w:rPr>
              <w:t>ROE</w:t>
            </w:r>
          </w:p>
        </w:tc>
        <w:tc>
          <w:tcPr>
            <w:tcW w:type="dxa" w:w="3362"/>
          </w:tcPr>
          <w:p>
            <w:pPr>
              <w:spacing w:after="40"/>
            </w:pPr>
            <w:r>
              <w:rPr>
                <w:sz w:val="17"/>
              </w:rPr>
              <w:t>18%</w:t>
            </w:r>
          </w:p>
        </w:tc>
        <w:tc>
          <w:tcPr>
            <w:tcW w:type="dxa" w:w="3362"/>
          </w:tcPr>
          <w:p>
            <w:pPr>
              <w:spacing w:after="40"/>
            </w:pPr>
            <w:r>
              <w:rPr>
                <w:sz w:val="17"/>
              </w:rPr>
              <w:t>etmoney.com</w:t>
            </w:r>
          </w:p>
        </w:tc>
      </w:tr>
      <w:tr>
        <w:tc>
          <w:tcPr>
            <w:tcW w:type="dxa" w:w="3362"/>
            <w:shd w:val="clear" w:color="auto" w:fill="F2F2F2"/>
          </w:tcPr>
          <w:p>
            <w:pPr>
              <w:spacing w:after="40"/>
            </w:pPr>
            <w:r>
              <w:rPr>
                <w:sz w:val="17"/>
              </w:rPr>
              <w:t>ROCE</w:t>
            </w:r>
          </w:p>
        </w:tc>
        <w:tc>
          <w:tcPr>
            <w:tcW w:type="dxa" w:w="3362"/>
            <w:shd w:val="clear" w:color="auto" w:fill="F2F2F2"/>
          </w:tcPr>
          <w:p>
            <w:pPr>
              <w:spacing w:after="40"/>
            </w:pPr>
            <w:r>
              <w:rPr>
                <w:sz w:val="17"/>
              </w:rPr>
              <w:t>15.90%</w:t>
            </w:r>
          </w:p>
        </w:tc>
        <w:tc>
          <w:tcPr>
            <w:tcW w:type="dxa" w:w="3362"/>
            <w:shd w:val="clear" w:color="auto" w:fill="F2F2F2"/>
          </w:tcPr>
          <w:p>
            <w:pPr>
              <w:spacing w:after="40"/>
            </w:pPr>
            <w:r>
              <w:rPr>
                <w:sz w:val="17"/>
              </w:rPr>
              <w:t>etmoney.com</w:t>
            </w:r>
          </w:p>
        </w:tc>
      </w:tr>
      <w:tr>
        <w:tc>
          <w:tcPr>
            <w:tcW w:type="dxa" w:w="3362"/>
          </w:tcPr>
          <w:p>
            <w:pPr>
              <w:spacing w:after="40"/>
            </w:pPr>
            <w:r>
              <w:rPr>
                <w:sz w:val="17"/>
              </w:rPr>
              <w:t>Book value / share</w:t>
            </w:r>
          </w:p>
        </w:tc>
        <w:tc>
          <w:tcPr>
            <w:tcW w:type="dxa" w:w="3362"/>
          </w:tcPr>
          <w:p>
            <w:pPr>
              <w:spacing w:after="40"/>
            </w:pPr>
            <w:r>
              <w:rPr>
                <w:sz w:val="17"/>
              </w:rPr>
              <w:t>₹175.59</w:t>
            </w:r>
          </w:p>
        </w:tc>
        <w:tc>
          <w:tcPr>
            <w:tcW w:type="dxa" w:w="3362"/>
          </w:tcPr>
          <w:p>
            <w:pPr>
              <w:spacing w:after="40"/>
            </w:pPr>
            <w:r>
              <w:rPr>
                <w:sz w:val="17"/>
              </w:rPr>
              <w:t>etmoney.com</w:t>
            </w:r>
          </w:p>
        </w:tc>
      </w:tr>
      <w:tr>
        <w:tc>
          <w:tcPr>
            <w:tcW w:type="dxa" w:w="3362"/>
            <w:shd w:val="clear" w:color="auto" w:fill="F2F2F2"/>
          </w:tcPr>
          <w:p>
            <w:pPr>
              <w:spacing w:after="40"/>
            </w:pPr>
            <w:r>
              <w:rPr>
                <w:sz w:val="17"/>
              </w:rPr>
              <w:t>P/B</w:t>
            </w:r>
          </w:p>
        </w:tc>
        <w:tc>
          <w:tcPr>
            <w:tcW w:type="dxa" w:w="3362"/>
            <w:shd w:val="clear" w:color="auto" w:fill="F2F2F2"/>
          </w:tcPr>
          <w:p>
            <w:pPr>
              <w:spacing w:after="40"/>
            </w:pPr>
            <w:r>
              <w:rPr>
                <w:sz w:val="17"/>
              </w:rPr>
              <w:t>6.79x</w:t>
            </w:r>
          </w:p>
        </w:tc>
        <w:tc>
          <w:tcPr>
            <w:tcW w:type="dxa" w:w="3362"/>
            <w:shd w:val="clear" w:color="auto" w:fill="F2F2F2"/>
          </w:tcPr>
          <w:p>
            <w:pPr>
              <w:spacing w:after="40"/>
            </w:pPr>
            <w:r>
              <w:rPr>
                <w:sz w:val="17"/>
              </w:rPr>
              <w:t>etmoney.com</w:t>
            </w:r>
          </w:p>
        </w:tc>
      </w:tr>
      <w:tr>
        <w:tc>
          <w:tcPr>
            <w:tcW w:type="dxa" w:w="3362"/>
          </w:tcPr>
          <w:p>
            <w:pPr>
              <w:spacing w:after="40"/>
            </w:pPr>
            <w:r>
              <w:rPr>
                <w:sz w:val="17"/>
              </w:rPr>
              <w:t>Debt/equity</w:t>
            </w:r>
          </w:p>
        </w:tc>
        <w:tc>
          <w:tcPr>
            <w:tcW w:type="dxa" w:w="3362"/>
          </w:tcPr>
          <w:p>
            <w:pPr>
              <w:spacing w:after="40"/>
            </w:pPr>
            <w:r>
              <w:rPr>
                <w:sz w:val="17"/>
              </w:rPr>
              <w:t>0.55</w:t>
            </w:r>
          </w:p>
        </w:tc>
        <w:tc>
          <w:tcPr>
            <w:tcW w:type="dxa" w:w="3362"/>
          </w:tcPr>
          <w:p>
            <w:pPr>
              <w:spacing w:after="40"/>
            </w:pPr>
            <w:r>
              <w:rPr>
                <w:sz w:val="17"/>
              </w:rPr>
              <w:t>etmoney.com</w:t>
            </w:r>
          </w:p>
        </w:tc>
      </w:tr>
      <w:tr>
        <w:tc>
          <w:tcPr>
            <w:tcW w:type="dxa" w:w="3362"/>
            <w:shd w:val="clear" w:color="auto" w:fill="F2F2F2"/>
          </w:tcPr>
          <w:p>
            <w:pPr>
              <w:spacing w:after="40"/>
            </w:pPr>
            <w:r>
              <w:rPr>
                <w:sz w:val="17"/>
              </w:rPr>
              <w:t>EBITDA margin (TTM)</w:t>
            </w:r>
          </w:p>
        </w:tc>
        <w:tc>
          <w:tcPr>
            <w:tcW w:type="dxa" w:w="3362"/>
            <w:shd w:val="clear" w:color="auto" w:fill="F2F2F2"/>
          </w:tcPr>
          <w:p>
            <w:pPr>
              <w:spacing w:after="40"/>
            </w:pPr>
            <w:r>
              <w:rPr>
                <w:sz w:val="17"/>
              </w:rPr>
              <w:t>16.63%</w:t>
            </w:r>
          </w:p>
        </w:tc>
        <w:tc>
          <w:tcPr>
            <w:tcW w:type="dxa" w:w="3362"/>
            <w:shd w:val="clear" w:color="auto" w:fill="F2F2F2"/>
          </w:tcPr>
          <w:p>
            <w:pPr>
              <w:spacing w:after="40"/>
            </w:pPr>
            <w:r>
              <w:rPr>
                <w:sz w:val="17"/>
              </w:rPr>
              <w:t>etmoney.com</w:t>
            </w:r>
          </w:p>
        </w:tc>
      </w:tr>
      <w:tr>
        <w:tc>
          <w:tcPr>
            <w:tcW w:type="dxa" w:w="3362"/>
          </w:tcPr>
          <w:p>
            <w:pPr>
              <w:spacing w:after="40"/>
            </w:pPr>
            <w:r>
              <w:rPr>
                <w:sz w:val="17"/>
              </w:rPr>
              <w:t>52-week range</w:t>
            </w:r>
          </w:p>
        </w:tc>
        <w:tc>
          <w:tcPr>
            <w:tcW w:type="dxa" w:w="3362"/>
          </w:tcPr>
          <w:p>
            <w:pPr>
              <w:spacing w:after="40"/>
            </w:pPr>
            <w:r>
              <w:rPr>
                <w:sz w:val="17"/>
              </w:rPr>
              <w:t>₹815.50 – ₹1,236.20</w:t>
            </w:r>
          </w:p>
        </w:tc>
        <w:tc>
          <w:tcPr>
            <w:tcW w:type="dxa" w:w="3362"/>
          </w:tcPr>
          <w:p>
            <w:pPr>
              <w:spacing w:after="40"/>
            </w:pPr>
            <w:r>
              <w:rPr>
                <w:sz w:val="17"/>
              </w:rPr>
              <w:t>samco.in</w:t>
            </w:r>
          </w:p>
        </w:tc>
      </w:tr>
      <w:tr>
        <w:tc>
          <w:tcPr>
            <w:tcW w:type="dxa" w:w="3362"/>
            <w:shd w:val="clear" w:color="auto" w:fill="F2F2F2"/>
          </w:tcPr>
          <w:p>
            <w:pPr>
              <w:spacing w:after="40"/>
            </w:pPr>
            <w:r>
              <w:rPr>
                <w:sz w:val="17"/>
              </w:rPr>
              <w:t>Enterprise value</w:t>
            </w:r>
          </w:p>
        </w:tc>
        <w:tc>
          <w:tcPr>
            <w:tcW w:type="dxa" w:w="3362"/>
            <w:shd w:val="clear" w:color="auto" w:fill="F2F2F2"/>
          </w:tcPr>
          <w:p>
            <w:pPr>
              <w:spacing w:after="40"/>
            </w:pPr>
            <w:r>
              <w:rPr>
                <w:sz w:val="17"/>
              </w:rPr>
              <w:t>₹16,876 Cr (≈₹168.76bn)</w:t>
            </w:r>
          </w:p>
        </w:tc>
        <w:tc>
          <w:tcPr>
            <w:tcW w:type="dxa" w:w="3362"/>
            <w:shd w:val="clear" w:color="auto" w:fill="F2F2F2"/>
          </w:tcPr>
          <w:p>
            <w:pPr>
              <w:spacing w:after="40"/>
            </w:pPr>
            <w:r>
              <w:rPr>
                <w:sz w:val="17"/>
              </w:rPr>
              <w:t>stockanalysis.com</w:t>
            </w:r>
          </w:p>
        </w:tc>
      </w:tr>
      <w:tr>
        <w:tc>
          <w:tcPr>
            <w:tcW w:type="dxa" w:w="3362"/>
          </w:tcPr>
          <w:p>
            <w:pPr>
              <w:spacing w:after="40"/>
            </w:pPr>
            <w:r>
              <w:rPr>
                <w:sz w:val="17"/>
              </w:rPr>
              <w:t>Promoter holding</w:t>
            </w:r>
          </w:p>
        </w:tc>
        <w:tc>
          <w:tcPr>
            <w:tcW w:type="dxa" w:w="3362"/>
          </w:tcPr>
          <w:p>
            <w:pPr>
              <w:spacing w:after="40"/>
            </w:pPr>
            <w:r>
              <w:rPr>
                <w:sz w:val="17"/>
              </w:rPr>
              <w:t>46.09-46.14% (stable, Jun25-Jun26)</w:t>
            </w:r>
          </w:p>
        </w:tc>
        <w:tc>
          <w:tcPr>
            <w:tcW w:type="dxa" w:w="3362"/>
          </w:tcPr>
          <w:p>
            <w:pPr>
              <w:spacing w:after="40"/>
            </w:pPr>
            <w:r>
              <w:rPr>
                <w:sz w:val="17"/>
              </w:rPr>
              <w:t>dhan.co shareholding pattern</w:t>
            </w:r>
          </w:p>
        </w:tc>
      </w:tr>
    </w:tbl>
    <w:p>
      <w:pPr>
        <w:spacing w:before="280" w:after="120"/>
      </w:pPr>
      <w:r>
        <w:rPr>
          <w:b/>
          <w:color w:val="1F2D50"/>
          <w:sz w:val="26"/>
        </w:rPr>
        <w:t>10.3 Valuation Methods Selected &amp; Rationale</w:t>
      </w:r>
    </w:p>
    <w:p>
      <w:pPr>
        <w:pStyle w:val="ListBullet"/>
        <w:spacing w:after="60"/>
      </w:pPr>
      <w:r>
        <w:rPr>
          <w:sz w:val="19"/>
        </w:rPr>
        <w:t>Karur Vysya Bank: EPS compounding + terminal P/E re-rating, cross-checked via P/B-ROE. Chosen because bank equity is best valued on earnings power and return-on-equity trajectory rather than EV/EBITDA (not meaningful for a financial institution) or DCF (balance-sheet leverage makes unlevered FCF less informative than for an operating company).</w:t>
      </w:r>
    </w:p>
    <w:p>
      <w:pPr>
        <w:pStyle w:val="ListBullet"/>
        <w:spacing w:after="60"/>
      </w:pPr>
      <w:r>
        <w:rPr>
          <w:sz w:val="19"/>
        </w:rPr>
        <w:t>CCL Products: EV/EBITDA forward multiple applied to guided EBITDA growth. Chosen over pure P/E because the company is mid-deleveraging (net debt/EBITDA falling from 3.1x to 1.45x), so EV/EBITDA better isolates operating performance from the equity-value effect of debt paydown.</w:t>
      </w:r>
    </w:p>
    <w:p>
      <w:pPr>
        <w:pStyle w:val="ListBullet"/>
        <w:spacing w:after="60"/>
      </w:pPr>
      <w:r>
        <w:rPr>
          <w:sz w:val="19"/>
        </w:rPr>
        <w:t>Sensitivity ranges (bear/base/bull) were built directly from the range of management's own guidance statements (e.g., CCL's FY27 guidance of 15%/15%; KVB's FY27 NIM/ROA guidance) rather than arbitrary spreads, so that scenario inputs are traceable to primary commentary.</w:t>
      </w:r>
    </w:p>
    <w:p>
      <w:r>
        <w:br w:type="page"/>
      </w:r>
    </w:p>
    <w:p>
      <w:pPr>
        <w:spacing w:before="280" w:after="120"/>
      </w:pPr>
      <w:r>
        <w:rPr>
          <w:b/>
          <w:color w:val="1F2D50"/>
          <w:sz w:val="34"/>
        </w:rPr>
        <w:t>11. Final Ranking Methodology &amp; Score Rationale</w:t>
      </w:r>
    </w:p>
    <w:p>
      <w:pPr>
        <w:spacing w:after="40" w:before="40"/>
        <w:pBdr>
          <w:bottom w:val="single" w:sz="8" w:space="1" w:color="1F2D50"/>
        </w:pBdr>
      </w:pPr>
    </w:p>
    <w:p>
      <w:pPr>
        <w:spacing w:after="100"/>
      </w:pPr>
      <w:r>
        <w:rPr>
          <w:b w:val="0"/>
          <w:i w:val="0"/>
          <w:color w:val="333333"/>
          <w:sz w:val="20"/>
        </w:rPr>
        <w:t>Each of the 10 non-rejected names was scored 0-100 based on four weighted inputs, assessed qualitatively against the evidence gathered rather than a rigid formula (appropriate given the mix of a bank, industrials, healthcare, and consumer names, which are not directly comparable on identical metrics):</w:t>
      </w:r>
    </w:p>
    <w:p>
      <w:pPr>
        <w:pStyle w:val="ListBullet"/>
        <w:spacing w:after="60"/>
      </w:pPr>
      <w:r>
        <w:rPr>
          <w:sz w:val="20"/>
        </w:rPr>
        <w:t>Evidence of genuine (not cosmetic) fundamental improvement — margin, ROCE/ROE, or cash-flow inflection corroborated by more than one data point (e.g., unit economics vs. headline margin, or multi-year trend vs. single quarter).</w:t>
      </w:r>
    </w:p>
    <w:p>
      <w:pPr>
        <w:pStyle w:val="ListBullet"/>
        <w:spacing w:after="60"/>
      </w:pPr>
      <w:r>
        <w:rPr>
          <w:sz w:val="20"/>
        </w:rPr>
        <w:t>Absence of disqualifying red flags — governance, related-party transactions, promoter pledging, accounting quality, or guidance misses.</w:t>
      </w:r>
    </w:p>
    <w:p>
      <w:pPr>
        <w:pStyle w:val="ListBullet"/>
        <w:spacing w:after="60"/>
      </w:pPr>
      <w:r>
        <w:rPr>
          <w:sz w:val="20"/>
        </w:rPr>
        <w:t>Valuation relative to demonstrated (not promised) quality — names pricing in a turnaround that has not yet shown up in trailing numbers scored lower on this dimension.</w:t>
      </w:r>
    </w:p>
    <w:p>
      <w:pPr>
        <w:pStyle w:val="ListBullet"/>
        <w:spacing w:after="60"/>
      </w:pPr>
      <w:r>
        <w:rPr>
          <w:sz w:val="20"/>
        </w:rPr>
        <w:t>Management credibility — track record of guidance accuracy and candor about deteriorating metrics, drawn from multi-year concall/interview commentary where available.</w:t>
      </w:r>
    </w:p>
    <w:p>
      <w:pPr>
        <w:spacing w:after="100"/>
      </w:pPr>
      <w:r>
        <w:rPr>
          <w:b w:val="0"/>
          <w:i w:val="0"/>
          <w:color w:val="333333"/>
          <w:sz w:val="20"/>
        </w:rPr>
        <w:t>Scores in the range 70-85 (Karur Vysya Bank, CCL Products, and Techno Electric &amp; Engineering pre-deep-diligence) reflect names where the initial screening evidence showed a genuine, multi-point-corroborated improvement with limited red flags. Scores in the 55-68 range (Neuland Labs, Greenpanel, Concord Biotech) reflect a real but less certain thesis — either high quarterly volatility (Neuland), an unproven cyclical inflection (Greenpanel), or a good business at a valuation that already assumes recovery (Concord). Scores below 50 reflect either a valuation that has run ahead of fundamentals (Metropolis, Triveni Turbine, Sansera) or a name where red flags actively outweighed the growth story (Global Health/Medanta's governance overhang; KIMS's pledging and disclosure issues, which placed it at the bottom despite superficially attractive growth headlines).</w:t>
      </w:r>
    </w:p>
    <w:p>
      <w:pPr>
        <w:spacing w:after="100"/>
      </w:pPr>
      <w:r>
        <w:rPr>
          <w:b w:val="0"/>
          <w:i w:val="0"/>
          <w:color w:val="333333"/>
          <w:sz w:val="20"/>
        </w:rPr>
        <w:t>The Techno Electric score was revised down from 74 (screening) to 60 (post-deep-diligence, shown in the final memo's ranking table) rather than removed from the table entirely, so the ranking transparently shows the effect of deeper evidence on the initial assessment — consistent with the requirement to reject where the bear case turns out to be stronger than the bull case, even for a name that screened well initially.</w:t>
      </w:r>
    </w:p>
    <w:p>
      <w:r>
        <w:br w:type="page"/>
      </w:r>
    </w:p>
    <w:p>
      <w:pPr>
        <w:spacing w:before="280" w:after="120"/>
      </w:pPr>
      <w:r>
        <w:rPr>
          <w:b/>
          <w:color w:val="1F2D50"/>
          <w:sz w:val="34"/>
        </w:rPr>
        <w:t>12. Open Items / Unverified Claims Register</w:t>
      </w:r>
    </w:p>
    <w:p>
      <w:pPr>
        <w:spacing w:after="40" w:before="40"/>
        <w:pBdr>
          <w:bottom w:val="single" w:sz="8" w:space="1" w:color="1F2D50"/>
        </w:pBdr>
      </w:pPr>
    </w:p>
    <w:p>
      <w:pPr>
        <w:spacing w:after="100"/>
      </w:pPr>
      <w:r>
        <w:rPr>
          <w:b w:val="0"/>
          <w:i/>
          <w:color w:val="333333"/>
          <w:sz w:val="20"/>
        </w:rPr>
        <w:t>The following items were identified during research as material to the thesis but could not be verified against a primary source within this research session. They are listed here so that anyone acting on this research knows exactly what remains to be confirmed before capital is committed.</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872"/>
            <w:shd w:val="clear" w:color="auto" w:fill="1F2D50"/>
          </w:tcPr>
          <w:p>
            <w:pPr>
              <w:spacing w:after="40"/>
            </w:pPr>
            <w:r>
              <w:rPr>
                <w:b/>
                <w:color w:val="FFFFFF"/>
                <w:sz w:val="17"/>
              </w:rPr>
              <w:t>Company</w:t>
            </w:r>
          </w:p>
        </w:tc>
        <w:tc>
          <w:tcPr>
            <w:tcW w:type="dxa" w:w="2880"/>
            <w:shd w:val="clear" w:color="auto" w:fill="1F2D50"/>
          </w:tcPr>
          <w:p>
            <w:pPr>
              <w:spacing w:after="40"/>
            </w:pPr>
            <w:r>
              <w:rPr>
                <w:b/>
                <w:color w:val="FFFFFF"/>
                <w:sz w:val="17"/>
              </w:rPr>
              <w:t>Open Item</w:t>
            </w:r>
          </w:p>
        </w:tc>
        <w:tc>
          <w:tcPr>
            <w:tcW w:type="dxa" w:w="2592"/>
            <w:shd w:val="clear" w:color="auto" w:fill="1F2D50"/>
          </w:tcPr>
          <w:p>
            <w:pPr>
              <w:spacing w:after="40"/>
            </w:pPr>
            <w:r>
              <w:rPr>
                <w:b/>
                <w:color w:val="FFFFFF"/>
                <w:sz w:val="17"/>
              </w:rPr>
              <w:t>Why It Matters</w:t>
            </w:r>
          </w:p>
        </w:tc>
        <w:tc>
          <w:tcPr>
            <w:tcW w:type="dxa" w:w="2592"/>
            <w:shd w:val="clear" w:color="auto" w:fill="1F2D50"/>
          </w:tcPr>
          <w:p>
            <w:pPr>
              <w:spacing w:after="40"/>
            </w:pPr>
            <w:r>
              <w:rPr>
                <w:b/>
                <w:color w:val="FFFFFF"/>
                <w:sz w:val="17"/>
              </w:rPr>
              <w:t>Recommended Next Step</w:t>
            </w:r>
          </w:p>
        </w:tc>
      </w:tr>
      <w:tr>
        <w:tc>
          <w:tcPr>
            <w:tcW w:type="dxa" w:w="1872"/>
          </w:tcPr>
          <w:p>
            <w:pPr>
              <w:spacing w:after="40"/>
            </w:pPr>
            <w:r>
              <w:rPr>
                <w:sz w:val="17"/>
              </w:rPr>
              <w:t>Karur Vysya Bank</w:t>
            </w:r>
          </w:p>
        </w:tc>
        <w:tc>
          <w:tcPr>
            <w:tcW w:type="dxa" w:w="2880"/>
          </w:tcPr>
          <w:p>
            <w:pPr>
              <w:spacing w:after="40"/>
            </w:pPr>
            <w:r>
              <w:rPr>
                <w:sz w:val="17"/>
              </w:rPr>
              <w:t>CASA ratio discrepancy: 31.16% (ET, Dec-2024) vs. ~39% (other sources cited at screening stage)</w:t>
            </w:r>
          </w:p>
        </w:tc>
        <w:tc>
          <w:tcPr>
            <w:tcW w:type="dxa" w:w="2592"/>
          </w:tcPr>
          <w:p>
            <w:pPr>
              <w:spacing w:after="40"/>
            </w:pPr>
            <w:r>
              <w:rPr>
                <w:sz w:val="17"/>
              </w:rPr>
              <w:t>CASA is central to the margin-sustainability catalyst/risk; a 8pp discrepancy materially changes the read on cost-of-funds trajectory</w:t>
            </w:r>
          </w:p>
        </w:tc>
        <w:tc>
          <w:tcPr>
            <w:tcW w:type="dxa" w:w="2592"/>
          </w:tcPr>
          <w:p>
            <w:pPr>
              <w:spacing w:after="40"/>
            </w:pPr>
            <w:r>
              <w:rPr>
                <w:sz w:val="17"/>
              </w:rPr>
              <w:t>Pull the exact figure from KVB's latest (Q4 FY26 / Q1 FY27) investor presentation PDF directly from karurvysyabank.com</w:t>
            </w:r>
          </w:p>
        </w:tc>
      </w:tr>
      <w:tr>
        <w:tc>
          <w:tcPr>
            <w:tcW w:type="dxa" w:w="1872"/>
            <w:shd w:val="clear" w:color="auto" w:fill="F2F2F2"/>
          </w:tcPr>
          <w:p>
            <w:pPr>
              <w:spacing w:after="40"/>
            </w:pPr>
            <w:r>
              <w:rPr>
                <w:sz w:val="17"/>
              </w:rPr>
              <w:t>Karur Vysya Bank</w:t>
            </w:r>
          </w:p>
        </w:tc>
        <w:tc>
          <w:tcPr>
            <w:tcW w:type="dxa" w:w="2880"/>
            <w:shd w:val="clear" w:color="auto" w:fill="F2F2F2"/>
          </w:tcPr>
          <w:p>
            <w:pPr>
              <w:spacing w:after="40"/>
            </w:pPr>
            <w:r>
              <w:rPr>
                <w:sz w:val="17"/>
              </w:rPr>
              <w:t>Full ICRA/CRISIL rating rationale text (qualitative strengths/concerns), not just the rating level</w:t>
            </w:r>
          </w:p>
        </w:tc>
        <w:tc>
          <w:tcPr>
            <w:tcW w:type="dxa" w:w="2592"/>
            <w:shd w:val="clear" w:color="auto" w:fill="F2F2F2"/>
          </w:tcPr>
          <w:p>
            <w:pPr>
              <w:spacing w:after="40"/>
            </w:pPr>
            <w:r>
              <w:rPr>
                <w:sz w:val="17"/>
              </w:rPr>
              <w:t>Rating agency's own risk framing may surface concerns not visible in ratio analysis</w:t>
            </w:r>
          </w:p>
        </w:tc>
        <w:tc>
          <w:tcPr>
            <w:tcW w:type="dxa" w:w="2592"/>
            <w:shd w:val="clear" w:color="auto" w:fill="F2F2F2"/>
          </w:tcPr>
          <w:p>
            <w:pPr>
              <w:spacing w:after="40"/>
            </w:pPr>
            <w:r>
              <w:rPr>
                <w:sz w:val="17"/>
              </w:rPr>
              <w:t>Retrieve rationale PDF from icra.in/Rating/AllRatingRationales or KVB's credit-ratings IR page</w:t>
            </w:r>
          </w:p>
        </w:tc>
      </w:tr>
      <w:tr>
        <w:tc>
          <w:tcPr>
            <w:tcW w:type="dxa" w:w="1872"/>
          </w:tcPr>
          <w:p>
            <w:pPr>
              <w:spacing w:after="40"/>
            </w:pPr>
            <w:r>
              <w:rPr>
                <w:sz w:val="17"/>
              </w:rPr>
              <w:t>Karur Vysya Bank</w:t>
            </w:r>
          </w:p>
        </w:tc>
        <w:tc>
          <w:tcPr>
            <w:tcW w:type="dxa" w:w="2880"/>
          </w:tcPr>
          <w:p>
            <w:pPr>
              <w:spacing w:after="40"/>
            </w:pPr>
            <w:r>
              <w:rPr>
                <w:sz w:val="17"/>
              </w:rPr>
              <w:t>SMA-2 / restructured book percentages</w:t>
            </w:r>
          </w:p>
        </w:tc>
        <w:tc>
          <w:tcPr>
            <w:tcW w:type="dxa" w:w="2592"/>
          </w:tcPr>
          <w:p>
            <w:pPr>
              <w:spacing w:after="40"/>
            </w:pPr>
            <w:r>
              <w:rPr>
                <w:sz w:val="17"/>
              </w:rPr>
              <w:t>Could indicate asset-quality management via restructuring rather than genuine recovery, if elevated</w:t>
            </w:r>
          </w:p>
        </w:tc>
        <w:tc>
          <w:tcPr>
            <w:tcW w:type="dxa" w:w="2592"/>
          </w:tcPr>
          <w:p>
            <w:pPr>
              <w:spacing w:after="40"/>
            </w:pPr>
            <w:r>
              <w:rPr>
                <w:sz w:val="17"/>
              </w:rPr>
              <w:t>Pull from latest investor presentation, asset-quality slide</w:t>
            </w:r>
          </w:p>
        </w:tc>
      </w:tr>
      <w:tr>
        <w:tc>
          <w:tcPr>
            <w:tcW w:type="dxa" w:w="1872"/>
            <w:shd w:val="clear" w:color="auto" w:fill="F2F2F2"/>
          </w:tcPr>
          <w:p>
            <w:pPr>
              <w:spacing w:after="40"/>
            </w:pPr>
            <w:r>
              <w:rPr>
                <w:sz w:val="17"/>
              </w:rPr>
              <w:t>Karur Vysya Bank</w:t>
            </w:r>
          </w:p>
        </w:tc>
        <w:tc>
          <w:tcPr>
            <w:tcW w:type="dxa" w:w="2880"/>
            <w:shd w:val="clear" w:color="auto" w:fill="F2F2F2"/>
          </w:tcPr>
          <w:p>
            <w:pPr>
              <w:spacing w:after="40"/>
            </w:pPr>
            <w:r>
              <w:rPr>
                <w:sz w:val="17"/>
              </w:rPr>
              <w:t>Key Audit Matters in FY24/FY25 Annual Report audit section</w:t>
            </w:r>
          </w:p>
        </w:tc>
        <w:tc>
          <w:tcPr>
            <w:tcW w:type="dxa" w:w="2592"/>
            <w:shd w:val="clear" w:color="auto" w:fill="F2F2F2"/>
          </w:tcPr>
          <w:p>
            <w:pPr>
              <w:spacing w:after="40"/>
            </w:pPr>
            <w:r>
              <w:rPr>
                <w:sz w:val="17"/>
              </w:rPr>
              <w:t>Any auditor-flagged concerns would be material to management-quality assessment</w:t>
            </w:r>
          </w:p>
        </w:tc>
        <w:tc>
          <w:tcPr>
            <w:tcW w:type="dxa" w:w="2592"/>
            <w:shd w:val="clear" w:color="auto" w:fill="F2F2F2"/>
          </w:tcPr>
          <w:p>
            <w:pPr>
              <w:spacing w:after="40"/>
            </w:pPr>
            <w:r>
              <w:rPr>
                <w:sz w:val="17"/>
              </w:rPr>
              <w:t>Direct read of Annual Report audit section, not yet accessed</w:t>
            </w:r>
          </w:p>
        </w:tc>
      </w:tr>
      <w:tr>
        <w:tc>
          <w:tcPr>
            <w:tcW w:type="dxa" w:w="1872"/>
          </w:tcPr>
          <w:p>
            <w:pPr>
              <w:spacing w:after="40"/>
            </w:pPr>
            <w:r>
              <w:rPr>
                <w:sz w:val="17"/>
              </w:rPr>
              <w:t>CCL Products</w:t>
            </w:r>
          </w:p>
        </w:tc>
        <w:tc>
          <w:tcPr>
            <w:tcW w:type="dxa" w:w="2880"/>
          </w:tcPr>
          <w:p>
            <w:pPr>
              <w:spacing w:after="40"/>
            </w:pPr>
            <w:r>
              <w:rPr>
                <w:sz w:val="17"/>
              </w:rPr>
              <w:t>Top-5 / top-10 customer revenue concentration</w:t>
            </w:r>
          </w:p>
        </w:tc>
        <w:tc>
          <w:tcPr>
            <w:tcW w:type="dxa" w:w="2592"/>
          </w:tcPr>
          <w:p>
            <w:pPr>
              <w:spacing w:after="40"/>
            </w:pPr>
            <w:r>
              <w:rPr>
                <w:sz w:val="17"/>
              </w:rPr>
              <w:t>Private-label export model implies concentration risk not currently quantified anywhere in public sources reviewed</w:t>
            </w:r>
          </w:p>
        </w:tc>
        <w:tc>
          <w:tcPr>
            <w:tcW w:type="dxa" w:w="2592"/>
          </w:tcPr>
          <w:p>
            <w:pPr>
              <w:spacing w:after="40"/>
            </w:pPr>
            <w:r>
              <w:rPr>
                <w:sz w:val="17"/>
              </w:rPr>
              <w:t>Direct pull of FY26 Annual Report customer/segment disclosure notes</w:t>
            </w:r>
          </w:p>
        </w:tc>
      </w:tr>
      <w:tr>
        <w:tc>
          <w:tcPr>
            <w:tcW w:type="dxa" w:w="1872"/>
            <w:shd w:val="clear" w:color="auto" w:fill="F2F2F2"/>
          </w:tcPr>
          <w:p>
            <w:pPr>
              <w:spacing w:after="40"/>
            </w:pPr>
            <w:r>
              <w:rPr>
                <w:sz w:val="17"/>
              </w:rPr>
              <w:t>CCL Products</w:t>
            </w:r>
          </w:p>
        </w:tc>
        <w:tc>
          <w:tcPr>
            <w:tcW w:type="dxa" w:w="2880"/>
            <w:shd w:val="clear" w:color="auto" w:fill="F2F2F2"/>
          </w:tcPr>
          <w:p>
            <w:pPr>
              <w:spacing w:after="40"/>
            </w:pPr>
            <w:r>
              <w:rPr>
                <w:sz w:val="17"/>
              </w:rPr>
              <w:t>Promoter pledge status</w:t>
            </w:r>
          </w:p>
        </w:tc>
        <w:tc>
          <w:tcPr>
            <w:tcW w:type="dxa" w:w="2592"/>
            <w:shd w:val="clear" w:color="auto" w:fill="F2F2F2"/>
          </w:tcPr>
          <w:p>
            <w:pPr>
              <w:spacing w:after="40"/>
            </w:pPr>
            <w:r>
              <w:rPr>
                <w:sz w:val="17"/>
              </w:rPr>
              <w:t>No pledge found in searches, but not verified against a primary BSE shareholding filing</w:t>
            </w:r>
          </w:p>
        </w:tc>
        <w:tc>
          <w:tcPr>
            <w:tcW w:type="dxa" w:w="2592"/>
            <w:shd w:val="clear" w:color="auto" w:fill="F2F2F2"/>
          </w:tcPr>
          <w:p>
            <w:pPr>
              <w:spacing w:after="40"/>
            </w:pPr>
            <w:r>
              <w:rPr>
                <w:sz w:val="17"/>
              </w:rPr>
              <w:t>Cross-check BSE shareholding pattern filing directly</w:t>
            </w:r>
          </w:p>
        </w:tc>
      </w:tr>
      <w:tr>
        <w:tc>
          <w:tcPr>
            <w:tcW w:type="dxa" w:w="1872"/>
          </w:tcPr>
          <w:p>
            <w:pPr>
              <w:spacing w:after="40"/>
            </w:pPr>
            <w:r>
              <w:rPr>
                <w:sz w:val="17"/>
              </w:rPr>
              <w:t>CCL Products</w:t>
            </w:r>
          </w:p>
        </w:tc>
        <w:tc>
          <w:tcPr>
            <w:tcW w:type="dxa" w:w="2880"/>
          </w:tcPr>
          <w:p>
            <w:pPr>
              <w:spacing w:after="40"/>
            </w:pPr>
            <w:r>
              <w:rPr>
                <w:sz w:val="17"/>
              </w:rPr>
              <w:t>Credit rating confirmation</w:t>
            </w:r>
          </w:p>
        </w:tc>
        <w:tc>
          <w:tcPr>
            <w:tcW w:type="dxa" w:w="2592"/>
          </w:tcPr>
          <w:p>
            <w:pPr>
              <w:spacing w:after="40"/>
            </w:pPr>
            <w:r>
              <w:rPr>
                <w:sz w:val="17"/>
              </w:rPr>
              <w:t>ET Markets lists “No Rating (NR)”; consistent with delevering/bank-funded profile but not verified against a primary company filing</w:t>
            </w:r>
          </w:p>
        </w:tc>
        <w:tc>
          <w:tcPr>
            <w:tcW w:type="dxa" w:w="2592"/>
          </w:tcPr>
          <w:p>
            <w:pPr>
              <w:spacing w:after="40"/>
            </w:pPr>
            <w:r>
              <w:rPr>
                <w:sz w:val="17"/>
              </w:rPr>
              <w:t>Confirm via cclproducts.com IR page or BSE filing</w:t>
            </w:r>
          </w:p>
        </w:tc>
      </w:tr>
      <w:tr>
        <w:tc>
          <w:tcPr>
            <w:tcW w:type="dxa" w:w="1872"/>
            <w:shd w:val="clear" w:color="auto" w:fill="F2F2F2"/>
          </w:tcPr>
          <w:p>
            <w:pPr>
              <w:spacing w:after="40"/>
            </w:pPr>
            <w:r>
              <w:rPr>
                <w:sz w:val="17"/>
              </w:rPr>
              <w:t>Techno Electric &amp; Engineering (rejected)</w:t>
            </w:r>
          </w:p>
        </w:tc>
        <w:tc>
          <w:tcPr>
            <w:tcW w:type="dxa" w:w="2880"/>
            <w:shd w:val="clear" w:color="auto" w:fill="F2F2F2"/>
          </w:tcPr>
          <w:p>
            <w:pPr>
              <w:spacing w:after="40"/>
            </w:pPr>
            <w:r>
              <w:rPr>
                <w:sz w:val="17"/>
              </w:rPr>
              <w:t>Nature of Sankhya Financial Services NCD exposure — original size, related-party status, provisioning</w:t>
            </w:r>
          </w:p>
        </w:tc>
        <w:tc>
          <w:tcPr>
            <w:tcW w:type="dxa" w:w="2592"/>
            <w:shd w:val="clear" w:color="auto" w:fill="F2F2F2"/>
          </w:tcPr>
          <w:p>
            <w:pPr>
              <w:spacing w:after="40"/>
            </w:pPr>
            <w:r>
              <w:rPr>
                <w:sz w:val="17"/>
              </w:rPr>
              <w:t>Central to whether this was a benign treasury holding or a governance concern; company was rejected on cash-flow grounds independent of this, but the item remains open</w:t>
            </w:r>
          </w:p>
        </w:tc>
        <w:tc>
          <w:tcPr>
            <w:tcW w:type="dxa" w:w="2592"/>
            <w:shd w:val="clear" w:color="auto" w:fill="F2F2F2"/>
          </w:tcPr>
          <w:p>
            <w:pPr>
              <w:spacing w:after="40"/>
            </w:pPr>
            <w:r>
              <w:rPr>
                <w:sz w:val="17"/>
              </w:rPr>
              <w:t>Pull FY26 Annual Report Investments note and Related-Party-Transactions note directly once indexed/available</w:t>
            </w:r>
          </w:p>
        </w:tc>
      </w:tr>
      <w:tr>
        <w:tc>
          <w:tcPr>
            <w:tcW w:type="dxa" w:w="1872"/>
          </w:tcPr>
          <w:p>
            <w:pPr>
              <w:spacing w:after="40"/>
            </w:pPr>
            <w:r>
              <w:rPr>
                <w:sz w:val="17"/>
              </w:rPr>
              <w:t>Techno Electric &amp; Engineering (rejected)</w:t>
            </w:r>
          </w:p>
        </w:tc>
        <w:tc>
          <w:tcPr>
            <w:tcW w:type="dxa" w:w="2880"/>
          </w:tcPr>
          <w:p>
            <w:pPr>
              <w:spacing w:after="40"/>
            </w:pPr>
            <w:r>
              <w:rPr>
                <w:sz w:val="17"/>
              </w:rPr>
              <w:t>Management explanation for working-capital-days blowout (222→430) despite falling debtor days</w:t>
            </w:r>
          </w:p>
        </w:tc>
        <w:tc>
          <w:tcPr>
            <w:tcW w:type="dxa" w:w="2592"/>
          </w:tcPr>
          <w:p>
            <w:pPr>
              <w:spacing w:after="40"/>
            </w:pPr>
            <w:r>
              <w:rPr>
                <w:sz w:val="17"/>
              </w:rPr>
              <w:t>No explanation found in accessible transcripts; needed to distinguish a one-off treasury timing issue from a recurring cash-conversion problem</w:t>
            </w:r>
          </w:p>
        </w:tc>
        <w:tc>
          <w:tcPr>
            <w:tcW w:type="dxa" w:w="2592"/>
          </w:tcPr>
          <w:p>
            <w:pPr>
              <w:spacing w:after="40"/>
            </w:pPr>
            <w:r>
              <w:rPr>
                <w:sz w:val="17"/>
              </w:rPr>
              <w:t>Direct question at next concall / management commentary review</w:t>
            </w:r>
          </w:p>
        </w:tc>
      </w:tr>
    </w:tbl>
    <w:p>
      <w:pPr>
        <w:spacing w:after="0"/>
      </w:pPr>
      <w:r>
        <w:rPr>
          <w:b w:val="0"/>
          <w:i/>
          <w:color w:val="333333"/>
          <w:sz w:val="19"/>
        </w:rPr>
        <w:t>General methodological caveat: this entire research effort relied on public web search and aggregator sites (Screener.in, stockanalysis.com, Economic Times, Moneycontrol, Quartr transcript summaries, dhan.co, etmoney.com) rather than a Bloomberg/FactSet terminal or guaranteed access to every primary company filing. Multiple direct-fetch attempts against primary sources (icra.in rationale PDFs, cclproducts.com investor pages, NSE filing archives) either returned inaccessible content, redirected to non-primary mirrors, or 404'd. No figures were invented to fill these gaps; every unresolved item is listed above rather than silently assumed.</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