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8A6D0B"/>
          <w:sz w:val="22"/>
        </w:rPr>
        <w:t>EQUITY RESEARCH  |  INITIATING COVERAGE</w:t>
      </w:r>
    </w:p>
    <w:p>
      <w:pPr>
        <w:spacing w:after="280"/>
        <w:jc w:val="center"/>
      </w:pPr>
      <w:r>
        <w:rPr>
          <w:b w:val="0"/>
          <w:i w:val="0"/>
          <w:color w:val="555B66"/>
          <w:sz w:val="20"/>
        </w:rPr>
        <w:t>Consumer Staples, Beverages (Spirits)  •  India</w:t>
      </w:r>
    </w:p>
    <w:p>
      <w:pPr>
        <w:spacing w:after="40"/>
        <w:jc w:val="center"/>
      </w:pPr>
      <w:r>
        <w:rPr>
          <w:b/>
          <w:i w:val="0"/>
          <w:color w:val="0B2545"/>
          <w:sz w:val="60"/>
        </w:rPr>
        <w:t>UNITED SPIRITS LIMITED</w:t>
      </w:r>
    </w:p>
    <w:p>
      <w:pPr>
        <w:spacing w:after="320"/>
        <w:jc w:val="center"/>
      </w:pPr>
      <w:r>
        <w:rPr>
          <w:b w:val="0"/>
          <w:i/>
          <w:color w:val="555B66"/>
          <w:sz w:val="24"/>
        </w:rPr>
        <w:t>a Diageo plc Group company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fill="0B254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RECOMMENDATION</w:t>
              <w:br/>
            </w:r>
            <w:r>
              <w:rPr>
                <w:b/>
                <w:color w:val="FFFFFF"/>
                <w:sz w:val="28"/>
              </w:rPr>
              <w:t>HOLD / NEUTRAL</w:t>
            </w:r>
          </w:p>
        </w:tc>
        <w:tc>
          <w:tcPr>
            <w:tcW w:type="dxa" w:w="3168"/>
            <w:shd w:val="clear" w:fill="EEF2F7"/>
          </w:tcPr>
          <w:p>
            <w:pPr>
              <w:jc w:val="center"/>
            </w:pPr>
            <w:r>
              <w:rPr>
                <w:b/>
                <w:color w:val="555B66"/>
                <w:sz w:val="16"/>
              </w:rPr>
              <w:t>TARGET PRICE</w:t>
              <w:br/>
            </w:r>
            <w:r>
              <w:rPr>
                <w:b/>
                <w:color w:val="2E7D52"/>
                <w:sz w:val="28"/>
              </w:rPr>
              <w:t>₹1,348</w:t>
            </w:r>
          </w:p>
        </w:tc>
        <w:tc>
          <w:tcPr>
            <w:tcW w:type="dxa" w:w="3168"/>
            <w:shd w:val="clear" w:fill="EEF2F7"/>
          </w:tcPr>
          <w:p>
            <w:pPr>
              <w:jc w:val="center"/>
            </w:pPr>
            <w:r>
              <w:rPr>
                <w:b/>
                <w:color w:val="555B66"/>
                <w:sz w:val="16"/>
              </w:rPr>
              <w:t>UPSIDE</w:t>
              <w:br/>
            </w:r>
            <w:r>
              <w:rPr>
                <w:b/>
                <w:color w:val="2E7D52"/>
                <w:sz w:val="28"/>
              </w:rPr>
              <w:t>+1.7%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Tickers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NSE: UNITDSPR  •  BSE: 532432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Current Market Price (CMP)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₹1,326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12-Month Target Price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₹1,348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52-Week Range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₹1,210 - ₹1,489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Market Capitalisation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₹96,453 crore (~US$11.3 bn)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Enterprise Value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₹93,726 crore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Shares Outstanding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72.74 crore (Face value ₹2)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Free Float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~44% (Diageo holds ~56%)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Valuation Basis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60% EV/EBITDA, 20% P/E, 5% EV/EBIT, 15% DCF</w:t>
            </w:r>
          </w:p>
        </w:tc>
      </w:tr>
      <w:tr>
        <w:tc>
          <w:tcPr>
            <w:tcW w:type="dxa" w:w="3744"/>
            <w:shd w:val="clear" w:fill="DCE3E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0B2545"/>
                <w:sz w:val="19"/>
              </w:rPr>
              <w:t>Investment Horizon</w:t>
            </w:r>
          </w:p>
        </w:tc>
        <w:tc>
          <w:tcPr>
            <w:tcW w:type="dxa" w:w="576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9"/>
              </w:rPr>
              <w:t>12 months</w:t>
            </w:r>
          </w:p>
        </w:tc>
      </w:tr>
    </w:tbl>
    <w:p>
      <w:pPr>
        <w:spacing w:after="120"/>
      </w:pPr>
    </w:p>
    <w:p>
      <w:pPr>
        <w:spacing w:after="20"/>
        <w:jc w:val="center"/>
      </w:pPr>
      <w:r>
        <w:rPr>
          <w:b/>
          <w:i w:val="0"/>
          <w:sz w:val="20"/>
        </w:rPr>
        <w:t>Analyst: Senior Equity Research Analyst, CFA</w:t>
      </w:r>
    </w:p>
    <w:p>
      <w:pPr>
        <w:spacing w:after="200"/>
        <w:jc w:val="center"/>
      </w:pPr>
      <w:r>
        <w:rPr>
          <w:b w:val="0"/>
          <w:i w:val="0"/>
          <w:color w:val="555B66"/>
          <w:sz w:val="20"/>
        </w:rPr>
        <w:t>Date of Publication: 25 June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6E9"/>
          </w:tcPr>
          <w:p>
            <w:pPr>
              <w:spacing w:after="40"/>
            </w:pPr>
            <w:r>
              <w:rPr>
                <w:b/>
                <w:color w:val="8A6D0B"/>
                <w:sz w:val="16"/>
              </w:rPr>
              <w:t xml:space="preserve">Disclaimer:  </w:t>
            </w:r>
            <w:r>
              <w:rPr>
                <w:color w:val="555B66"/>
                <w:sz w:val="16"/>
              </w:rPr>
              <w:t>Prepared for academic / capstone and illustrative research purposes per CFA Institute research-reporting standards. This is NOT investment advice and NOT a solicitation to buy or sell any security. Financial forecasts and valuation outputs are sourced from the uploaded model (United Spirits Excell.xlsx) and the United Spirits FY2025 Integrated Annual Report; market/industry/macro context is from public-domain references cited inline. Third-party content has been paraphrased for compliance with licensing restrictions.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1.  Investment Summary</w:t>
      </w:r>
    </w:p>
    <w:p>
      <w:pPr>
        <w:spacing w:after="120"/>
        <w:jc w:val="both"/>
      </w:pPr>
      <w:r>
        <w:rPr>
          <w:b w:val="0"/>
          <w:i w:val="0"/>
          <w:sz w:val="20"/>
        </w:rPr>
        <w:t>We initiate coverage on United Spirits Limited (USL) with a HOLD / NEUTRAL rating and a 12-month target price of ₹1,348, implying ~1.7% upside to the current market price of ₹1,326. USL is, in our view, the highest-quality large-cap proxy for India's structural spirits-premiumisation theme, but after a multi-year re-rating, the current valuation already discounts the bulk of that optimism. The risk-reward is balanced; we would accumulate on weakness below ~₹1,150 and trim above ~₹1,500.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Investment Thesis (Key Points)</w:t>
      </w:r>
    </w:p>
    <w:p>
      <w:pPr>
        <w:pStyle w:val="ListBullet"/>
        <w:spacing w:after="60"/>
      </w:pPr>
      <w:r>
        <w:rPr>
          <w:b/>
          <w:sz w:val="20"/>
        </w:rPr>
        <w:t xml:space="preserve">Premiumisation is the durable growth engine. </w:t>
      </w:r>
      <w:r>
        <w:rPr>
          <w:b w:val="0"/>
          <w:sz w:val="20"/>
        </w:rPr>
        <w:t>Prestige &amp; Above (P&amp;A) brands now contribute ~89-90% of net sales value (NSV), up from ~70% five years ago. With Indian premium/luxury spirits growing at low-double-digit rates vs mid-single-digit mainstream, USL can sustain ~9-10% NSV growth even with only mid-single-digit volume growth.</w:t>
      </w:r>
    </w:p>
    <w:p>
      <w:pPr>
        <w:pStyle w:val="ListBullet"/>
        <w:spacing w:after="60"/>
      </w:pPr>
      <w:r>
        <w:rPr>
          <w:b/>
          <w:sz w:val="20"/>
        </w:rPr>
        <w:t xml:space="preserve">Unrivalled brand portfolio and Diageo backing. </w:t>
      </w:r>
      <w:r>
        <w:rPr>
          <w:b w:val="0"/>
          <w:sz w:val="20"/>
        </w:rPr>
        <w:t>A full-ladder portfolio, McDowell's No.1, Royal Challenge, Signature, Antiquity through Black Dog, Black &amp; White, Godawan, Johnnie Walker, Singleton, Tanqueray, Don Julio, Smirnoff, backed by parent Diageo plc (~56%).</w:t>
      </w:r>
    </w:p>
    <w:p>
      <w:pPr>
        <w:pStyle w:val="ListBullet"/>
        <w:spacing w:after="60"/>
      </w:pPr>
      <w:r>
        <w:rPr>
          <w:b/>
          <w:sz w:val="20"/>
        </w:rPr>
        <w:t xml:space="preserve">Structural margin expansion. </w:t>
      </w:r>
      <w:r>
        <w:rPr>
          <w:b w:val="0"/>
          <w:sz w:val="20"/>
        </w:rPr>
        <w:t>EBITDA margin rose from ~13% (FY23) to ~18% (FY26) and is modelled to reach ~20% by FY30E on mix, operating leverage and productivity.</w:t>
      </w:r>
    </w:p>
    <w:p>
      <w:pPr>
        <w:pStyle w:val="ListBullet"/>
        <w:spacing w:after="60"/>
      </w:pPr>
      <w:r>
        <w:rPr>
          <w:b/>
          <w:sz w:val="20"/>
        </w:rPr>
        <w:t xml:space="preserve">Fortress balance sheet and high returns. </w:t>
      </w:r>
      <w:r>
        <w:rPr>
          <w:b w:val="0"/>
          <w:sz w:val="20"/>
        </w:rPr>
        <w:t>Net cash (net debt/EBITDA ~ -1.2x), ROCE/ROE ~20-23%, asset-light model, ~70% dividend payout.</w:t>
      </w:r>
    </w:p>
    <w:p>
      <w:pPr>
        <w:pStyle w:val="ListBullet"/>
        <w:spacing w:after="60"/>
      </w:pPr>
      <w:r>
        <w:rPr>
          <w:b/>
          <w:sz w:val="20"/>
        </w:rPr>
        <w:t xml:space="preserve">Crystallised optionality, the RCB monetisation. </w:t>
      </w:r>
      <w:r>
        <w:rPr>
          <w:b w:val="0"/>
          <w:sz w:val="20"/>
        </w:rPr>
        <w:t>March 2026: USL completed the ₹16,660 crore all-cash sale of the Royal Challengers Bengaluru franchise to an Aditya Birla-led consortium, value not captured in our model-derived target and a source of potential capital return / re-rating.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Why HOLD rather than BUY</w:t>
      </w:r>
    </w:p>
    <w:p>
      <w:pPr>
        <w:spacing w:after="120"/>
        <w:jc w:val="both"/>
      </w:pPr>
      <w:r>
        <w:rPr>
          <w:b w:val="0"/>
          <w:i w:val="0"/>
          <w:sz w:val="20"/>
        </w:rPr>
        <w:t>Our blended fair value of ₹1,348 sits essentially level with the market price. The DCF value of ₹642 is well below the market price; the valuation is sustained almost entirely by rich relative multiples (~37-39x forward EV/EBITDA, ~52x trailing P/E). This is justified by quality and growth but leaves a thin margin of safety, the business case and the valuation case diverge.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Valuation Summary (per uploaded 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176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Methodology</w:t>
            </w:r>
          </w:p>
        </w:tc>
        <w:tc>
          <w:tcPr>
            <w:tcW w:type="dxa" w:w="244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Implied Value/Share (₹)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187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Contribution (₹)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EV/EBITDA (FY27E, peer median)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1,411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846</w:t>
            </w:r>
          </w:p>
        </w:tc>
      </w:tr>
      <w:tr>
        <w:tc>
          <w:tcPr>
            <w:tcW w:type="dxa" w:w="417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P/E (FY27E, peer median)</w:t>
            </w:r>
          </w:p>
        </w:tc>
        <w:tc>
          <w:tcPr>
            <w:tcW w:type="dxa" w:w="244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1,675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187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335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 (FY27E, peer median)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1,408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417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DCF (FCFF, 2-stage)</w:t>
            </w:r>
          </w:p>
        </w:tc>
        <w:tc>
          <w:tcPr>
            <w:tcW w:type="dxa" w:w="244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642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187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96</w:t>
            </w:r>
          </w:p>
        </w:tc>
      </w:tr>
      <w:tr>
        <w:tc>
          <w:tcPr>
            <w:tcW w:type="dxa" w:w="417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Blended Target Price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1,348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35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football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6: Valuation summary, implied value per methodology &amp; blended target.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Key Risks</w:t>
      </w:r>
    </w:p>
    <w:p>
      <w:pPr>
        <w:spacing w:after="120"/>
        <w:jc w:val="both"/>
      </w:pPr>
      <w:r>
        <w:rPr>
          <w:b w:val="0"/>
          <w:i w:val="0"/>
          <w:sz w:val="20"/>
        </w:rPr>
        <w:t>Adverse state excise/tax actions; pricing-approval lags vs input inflation; intensifying premium competition (Pernod Ricard, Radico Khaitan, a recapitalised Tilaknagar Industries, Allied Blenders); customer/geographic concentration (a single state corporation ~30% of revenue); ENA/grain, glass and scotch-concentrate cost volatility; valuation de-rating risk; and ESG/health-policy headwinds.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2.  Company Overview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2.1  History and Ownership</w:t>
      </w:r>
    </w:p>
    <w:p>
      <w:pPr>
        <w:spacing w:after="120"/>
        <w:jc w:val="both"/>
      </w:pPr>
      <w:r>
        <w:rPr>
          <w:b w:val="0"/>
          <w:i w:val="0"/>
          <w:sz w:val="20"/>
        </w:rPr>
        <w:t>United Spirits Limited is India's largest beverage-alcohol (alcobev) company and the local operating company of Diageo plc, the world's leading premium-spirits group. USL traces its lineage to the McDowell &amp; Co. and UB spirits businesses consolidated under the erstwhile UB Group; Diageo acquired control in 2013 (a landmark ~US$1.9 bn transaction, then India's largest in the sector) and currently holds ~56% of equity, with the balance ~44% free float. The company is listed on the NSE (UNITDSPR) and BSE (532432), with 72.74 crore shares (₹2 face value).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2.2  Business Segments</w:t>
      </w:r>
    </w:p>
    <w:p>
      <w:pPr>
        <w:pStyle w:val="ListBullet"/>
        <w:spacing w:after="60"/>
      </w:pPr>
      <w:r>
        <w:rPr>
          <w:b/>
          <w:sz w:val="20"/>
        </w:rPr>
        <w:t xml:space="preserve">Beverage Alcohol (~96%+ of net sales): </w:t>
      </w:r>
      <w:r>
        <w:rPr>
          <w:b w:val="0"/>
          <w:sz w:val="20"/>
        </w:rPr>
        <w:t>the core IMFL franchise, whisky, brandy, rum, vodka and gin across the full price ladder.</w:t>
      </w:r>
    </w:p>
    <w:p>
      <w:pPr>
        <w:pStyle w:val="ListBullet"/>
        <w:spacing w:after="60"/>
      </w:pPr>
      <w:r>
        <w:rPr>
          <w:b/>
          <w:sz w:val="20"/>
        </w:rPr>
        <w:t xml:space="preserve">Sports (discontinued): </w:t>
      </w:r>
      <w:r>
        <w:rPr>
          <w:b w:val="0"/>
          <w:sz w:val="20"/>
        </w:rPr>
        <w:t>the RCB IPL/WPL franchise via RCSPL, classified held-for-sale and fully divested in March 2026 (see §2.7).</w:t>
      </w:r>
    </w:p>
    <w:p>
      <w:pPr>
        <w:spacing w:after="120"/>
        <w:jc w:val="both"/>
      </w:pPr>
      <w:r>
        <w:rPr>
          <w:b w:val="0"/>
          <w:i w:val="0"/>
          <w:sz w:val="20"/>
        </w:rPr>
        <w:t>Within beverage alcohol: Prestige &amp; Above (P&amp;A), the growth/margin driver, was ~89% of NSV in FY25; Popular is mass-market and deliberately de-emphasised (a tranche was franchised/slump-sold in FY2023).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2.3  Product Portfolio, Key Brands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662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Representative Brands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Lower / Mid Prestige</w:t>
            </w:r>
          </w:p>
        </w:tc>
        <w:tc>
          <w:tcPr>
            <w:tcW w:type="dxa" w:w="66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McDowell's No.1 (whisky/brandy/rum), Royal Challenge</w:t>
            </w:r>
          </w:p>
        </w:tc>
      </w:tr>
      <w:tr>
        <w:tc>
          <w:tcPr>
            <w:tcW w:type="dxa" w:w="288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Upper Prestige</w:t>
            </w:r>
          </w:p>
        </w:tc>
        <w:tc>
          <w:tcPr>
            <w:tcW w:type="dxa" w:w="66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Signature, Antiquity, Royal Challenge American Pride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Premium Scotch</w:t>
            </w:r>
          </w:p>
        </w:tc>
        <w:tc>
          <w:tcPr>
            <w:tcW w:type="dxa" w:w="66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Black &amp; White (fastest-growing primary Scotch globally; India largest market), Black Dog</w:t>
            </w:r>
          </w:p>
        </w:tc>
      </w:tr>
      <w:tr>
        <w:tc>
          <w:tcPr>
            <w:tcW w:type="dxa" w:w="288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Luxury / Imported (Diageo)</w:t>
            </w:r>
          </w:p>
        </w:tc>
        <w:tc>
          <w:tcPr>
            <w:tcW w:type="dxa" w:w="66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Johnnie Walker, The Singleton, Don Julio (tequila), Tanqueray (gin), Cîroc, Ketel One, Captain Morgan, Baileys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Indian Craft / Luxury Malt</w:t>
            </w:r>
          </w:p>
        </w:tc>
        <w:tc>
          <w:tcPr>
            <w:tcW w:type="dxa" w:w="66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Godawan (India's most-awarded artisanal single malt, 85+ accolades)</w:t>
            </w:r>
          </w:p>
        </w:tc>
      </w:tr>
      <w:tr>
        <w:tc>
          <w:tcPr>
            <w:tcW w:type="dxa" w:w="288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White Spirits / New-to-World</w:t>
            </w:r>
          </w:p>
        </w:tc>
        <w:tc>
          <w:tcPr>
            <w:tcW w:type="dxa" w:w="66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Smirnoff (incl. flavours), McDowell's X Series (gin/vodka/rum)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Craft (via Ventures)</w:t>
            </w:r>
          </w:p>
        </w:tc>
        <w:tc>
          <w:tcPr>
            <w:tcW w:type="dxa" w:w="66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Greater Than &amp; Hāpusa gin (NAO Spirits)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2.4  Manufacturing Footprint</w:t>
      </w:r>
    </w:p>
    <w:p>
      <w:pPr>
        <w:spacing w:after="120"/>
        <w:jc w:val="both"/>
      </w:pPr>
      <w:r>
        <w:rPr>
          <w:b w:val="0"/>
          <w:i w:val="0"/>
          <w:sz w:val="20"/>
        </w:rPr>
        <w:t>Asset-light and geographically dispersed: owned distilleries/bottling units plus tie-up/contract manufacturing and franchisee bottlers across ~40+ facilities. Because alcohol is a State subject with inter-state movement restrictions, production is largely in-state. Asset turnover (~7x) and capex (~1-2% of NSV) reflect this capital-light structure; an ongoing supply-agility programme drives structural cost savings.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2.5  Distribution Network</w:t>
      </w:r>
    </w:p>
    <w:p>
      <w:pPr>
        <w:spacing w:after="120"/>
        <w:jc w:val="both"/>
      </w:pPr>
      <w:r>
        <w:rPr>
          <w:b w:val="0"/>
          <w:i w:val="0"/>
          <w:sz w:val="20"/>
        </w:rPr>
        <w:t>USL reaches 70,000+ retail outlets. India's route-to-market is state-controlled: in many states USL sells to government beverage corporations (e.g., TASMAC), creating customer concentration, a single state customer is ~30% of revenue, a structural risk typical of the industry.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2.6  The Diageo Relationship</w:t>
      </w:r>
    </w:p>
    <w:p>
      <w:pPr>
        <w:spacing w:after="120"/>
        <w:jc w:val="both"/>
      </w:pPr>
      <w:r>
        <w:rPr>
          <w:b w:val="0"/>
          <w:i w:val="0"/>
          <w:sz w:val="20"/>
        </w:rPr>
        <w:t>As Diageo's India arm, USL gains access to the global luxury portfolio, R&amp;D/marketing and responsible-drinking frameworks, conservative treasury/governance, and a global premiumisation playbook. India is a structural bright spot within Diageo's portfolio at a time the parent has cut global guidance (see §5 and §12).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2.7  Recent Strategic Developments</w:t>
      </w:r>
    </w:p>
    <w:p>
      <w:pPr>
        <w:pStyle w:val="ListBullet"/>
        <w:spacing w:after="60"/>
      </w:pPr>
      <w:r>
        <w:rPr>
          <w:b/>
          <w:sz w:val="20"/>
        </w:rPr>
        <w:t xml:space="preserve">RCB divestiture (completed March 2026): </w:t>
      </w:r>
      <w:r>
        <w:rPr>
          <w:b w:val="0"/>
          <w:sz w:val="20"/>
        </w:rPr>
        <w:t>USL sold 100% of RCSPL for ₹16,660 crore (~US$1.7-1.9 bn) all-cash to a consortium led by the Aditya Birla Group (with The Times of India Group, Bolt Ventures, Blackstone/BXPE). The franchise was ~17% of market cap; brokerages widely viewed the exit as value-unlocking.</w:t>
      </w:r>
    </w:p>
    <w:p>
      <w:pPr>
        <w:pStyle w:val="ListBullet"/>
        <w:spacing w:after="60"/>
      </w:pPr>
      <w:r>
        <w:rPr>
          <w:b/>
          <w:sz w:val="20"/>
        </w:rPr>
        <w:t xml:space="preserve">NAO Spirits acquisition / Ventures: </w:t>
      </w:r>
      <w:r>
        <w:rPr>
          <w:b w:val="0"/>
          <w:sz w:val="20"/>
        </w:rPr>
        <w:t>Through Diageo India Ventures, USL invested in craft start-ups, NAO Spirits (Greater Than, Hāpusa gin), Pistola, Sober, Quaffine (FY25: ₹18 cr secured loan to NAO plus equity). Rationale: low-cost early exposure to fast-growing craft/new-to-world categories, strengthening the premiumisation funnel toward younger consumers.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3.  Industry Analysis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3.1  Market Structure and Size</w:t>
      </w:r>
    </w:p>
    <w:p>
      <w:pPr>
        <w:spacing w:after="120"/>
        <w:jc w:val="both"/>
      </w:pPr>
      <w:r>
        <w:rPr>
          <w:b w:val="0"/>
          <w:i w:val="0"/>
          <w:sz w:val="20"/>
        </w:rPr>
        <w:t>India is the world's third-largest alcobev market by volume and the largest whisky market. Total IMFL volumes are ~410 million cases (2024, IWSR) and the broader alcohol market roughly US$50-70 billion, growing ~6% CAGR. The IMFL spirits market is an oligopoly: USL (Diageo) and Pernod Ricard India lead, followed by Allied Blenders, Radico Khaitan, Tilaknagar Industries and Globus Spirits, plus regional players.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3.2  Porter's Five Forces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Force</w:t>
            </w:r>
          </w:p>
        </w:tc>
        <w:tc>
          <w:tcPr>
            <w:tcW w:type="dxa" w:w="172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Intensity</w:t>
            </w:r>
          </w:p>
        </w:tc>
        <w:tc>
          <w:tcPr>
            <w:tcW w:type="dxa" w:w="532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Threat of New Entrants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High barriers: 30+ state excise regimes, capital/working-capital intensity (maturation), advertising bans, entrenched distribution.</w:t>
            </w:r>
          </w:p>
        </w:tc>
      </w:tr>
      <w:tr>
        <w:tc>
          <w:tcPr>
            <w:tcW w:type="dxa" w:w="24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Supplier Power</w:t>
            </w:r>
          </w:p>
        </w:tc>
        <w:tc>
          <w:tcPr>
            <w:tcW w:type="dxa" w:w="172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Moderate</w:t>
            </w:r>
          </w:p>
        </w:tc>
        <w:tc>
          <w:tcPr>
            <w:tcW w:type="dxa" w:w="532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ENA/grain, scotch concentrate, glass and packaging can spike (glass/ENA hit FY23). Scale + Diageo sourcing offset.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Buyer Power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State corporations control pricing/RTM and cap MRP; ~30% revenue concentration in one customer amplifies this.</w:t>
            </w:r>
          </w:p>
        </w:tc>
      </w:tr>
      <w:tr>
        <w:tc>
          <w:tcPr>
            <w:tcW w:type="dxa" w:w="24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Threat of Substitutes</w:t>
            </w:r>
          </w:p>
        </w:tc>
        <w:tc>
          <w:tcPr>
            <w:tcW w:type="dxa" w:w="172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Moderate</w:t>
            </w:r>
          </w:p>
        </w:tc>
        <w:tc>
          <w:tcPr>
            <w:tcW w:type="dxa" w:w="532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Beer, wine, country liquor, low/no-alcohol; premiumisation shifts consumers toward branded premium spirits.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Competitive Rivalry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High &amp; rising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Pernod, Radico, ABDL and a recapitalised Tilaknagar (Imperial Blue). USL competes on value share and brand equity.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/>
          <w:sz w:val="20"/>
        </w:rPr>
        <w:t>Net assessment: high entry barriers and structural premiumisation are attractive, but buyer power (state control) and rising rivalry cap pricing freedom and returns, supporting premium-but-not-unlimited multiples.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3.3  Premiumisation, The Structural Growth Driver</w:t>
      </w:r>
    </w:p>
    <w:p>
      <w:pPr>
        <w:spacing w:after="120"/>
        <w:jc w:val="both"/>
      </w:pPr>
      <w:r>
        <w:rPr>
          <w:b w:val="0"/>
          <w:i w:val="0"/>
          <w:sz w:val="20"/>
        </w:rPr>
        <w:t>P&amp;A IMFL and premium beer are growing at low-double-digit rates vs mid-single-digit mainstream (JM Financial, Sep-2025). Luxury spirits are only ~3% of cases sold but &gt;20% of industry profits (IWSR). Financial implication for USL: with a ~89-90% P&amp;A mix, each point of mix enrichment and price/mix gain flows disproportionately to gross and EBITDA margins, the mechanism behind our modelled ~46%→48% gross and ~18%→20% EBITDA margin path. Value growth, not volume growth, is the engine.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0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volume_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3: Volume mix shift, deliberate exit of 'Popular'; P&amp;A now the overwhelming majority of volume and value.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3.4  State Regulation, Taxation and Distribution Barriers</w:t>
      </w:r>
    </w:p>
    <w:p>
      <w:pPr>
        <w:spacing w:after="120"/>
        <w:jc w:val="both"/>
      </w:pPr>
      <w:r>
        <w:rPr>
          <w:b w:val="0"/>
          <w:i w:val="0"/>
          <w:sz w:val="20"/>
        </w:rPr>
        <w:t>Alcohol sits outside GST and is a State subject: each state controls licensing, pricing approvals, label registration, RTM and excise duty (a pass-through). Hence the topline is best tracked on Net Sales Value (NSV = revenue net of excise). Key 2025-26 developments:</w:t>
      </w:r>
    </w:p>
    <w:p>
      <w:pPr>
        <w:pStyle w:val="ListBullet"/>
        <w:spacing w:after="60"/>
      </w:pPr>
      <w:r>
        <w:rPr>
          <w:b/>
          <w:sz w:val="20"/>
        </w:rPr>
        <w:t xml:space="preserve">Karnataka Alcohol-in-Beverage (AIB) excise (effective 11 May 2026): </w:t>
      </w:r>
      <w:r>
        <w:rPr>
          <w:b w:val="0"/>
          <w:sz w:val="20"/>
        </w:rPr>
        <w:t>first Indian state to adopt alcohol-content-based duty within rationalised slabs, deregulating price-fixation so producers set prices by market/alcohol content; targets ~₹45,000 cr excise revenue, transitioning over 3-4 years. As Karnataka is ~17% of national whisky volumes, greater pricing freedom is a structural positive for premium players, though the transition adds near-term uncertainty.</w:t>
      </w:r>
    </w:p>
    <w:p>
      <w:pPr>
        <w:pStyle w:val="ListBullet"/>
        <w:spacing w:after="60"/>
      </w:pPr>
      <w:r>
        <w:rPr>
          <w:b/>
          <w:sz w:val="20"/>
        </w:rPr>
        <w:t xml:space="preserve">Prohibition / RTM risk: </w:t>
      </w:r>
      <w:r>
        <w:rPr>
          <w:b w:val="0"/>
          <w:sz w:val="20"/>
        </w:rPr>
        <w:t>dry states (Gujarat, Bihar) and periodic RTM reversals (Delhi, Andhra Pradesh) remain the principal regulatory tail risks.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4.  Economic and Macro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Macro Indicator</w:t>
            </w:r>
          </w:p>
        </w:tc>
        <w:tc>
          <w:tcPr>
            <w:tcW w:type="dxa" w:w="432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Reading</w:t>
            </w:r>
          </w:p>
        </w:tc>
        <w:tc>
          <w:tcPr>
            <w:tcW w:type="dxa" w:w="187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India real GDP growth FY26</w:t>
            </w:r>
          </w:p>
        </w:tc>
        <w:tc>
          <w:tcPr>
            <w:tcW w:type="dxa" w:w="432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+7.7% (Q4 +7.8%); nominal +8.9%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MoSPI / Economic Survey</w:t>
            </w:r>
          </w:p>
        </w:tc>
      </w:tr>
      <w:tr>
        <w:tc>
          <w:tcPr>
            <w:tcW w:type="dxa" w:w="3312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FY27 GDP projection</w:t>
            </w:r>
          </w:p>
        </w:tc>
        <w:tc>
          <w:tcPr>
            <w:tcW w:type="dxa" w:w="432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6.8-7.2% (Economic Survey); RBI ~7.4%</w:t>
            </w:r>
          </w:p>
        </w:tc>
        <w:tc>
          <w:tcPr>
            <w:tcW w:type="dxa" w:w="187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PRS / RBI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Fastest-growing major economy (4th yr)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Economic Survey 2025-26</w:t>
            </w:r>
          </w:p>
        </w:tc>
      </w:tr>
      <w:tr>
        <w:tc>
          <w:tcPr>
            <w:tcW w:type="dxa" w:w="3312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Demographics</w:t>
            </w:r>
          </w:p>
        </w:tc>
        <w:tc>
          <w:tcPr>
            <w:tcW w:type="dxa" w:w="432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Large young legal-drinking-age base; rising urbanisation</w:t>
            </w:r>
          </w:p>
        </w:tc>
        <w:tc>
          <w:tcPr>
            <w:tcW w:type="dxa" w:w="187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n/a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Transmission to spirits demand. India's combination of ~9% nominal GDP growth, an expanding middle class, rising disposable incomes, rapid urbanisation, and a young aspirational legal-drinking-age cohort creates a powerful structural tailwind for value-led alcobev consumption. Per-capita consumption is low by global standards, leaving a long runway. Growth is increasingly 'drinking better, not more', favouring USL's premium mix. The main macro risk is a discretionary-spending slowdown (high food inflation or weak urban sentiment) prompting down-trading that disproportionately affects the upper-premium tier.</w:t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5.  Competitive Positioning</w:t>
      </w:r>
    </w:p>
    <w:p>
      <w:pPr>
        <w:spacing w:after="120"/>
        <w:jc w:val="both"/>
      </w:pPr>
      <w:r>
        <w:rPr>
          <w:b w:val="0"/>
          <w:i w:val="0"/>
          <w:sz w:val="20"/>
        </w:rPr>
        <w:t>USL is the #1 spirits company in India by volume and a value leader. Below we benchmark USL against listed peers on the metrics in the uploaded model (FY26 actuals; United Breweries as a beer reference). Tilaknagar Industries is discussed qualitatively (not in the model's comparable set).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5.1  Peer Comparison (FY2026)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736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115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NSV (₹cr)</w:t>
            </w:r>
          </w:p>
        </w:tc>
        <w:tc>
          <w:tcPr>
            <w:tcW w:type="dxa" w:w="122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EBITDA (₹cr)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EBITDA %</w:t>
            </w:r>
          </w:p>
        </w:tc>
        <w:tc>
          <w:tcPr>
            <w:tcW w:type="dxa" w:w="13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Mkt Cap (₹cr)</w:t>
            </w:r>
          </w:p>
        </w:tc>
        <w:tc>
          <w:tcPr>
            <w:tcW w:type="dxa" w:w="122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EV (₹cr)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EV/EBITDA</w:t>
            </w:r>
          </w:p>
        </w:tc>
        <w:tc>
          <w:tcPr>
            <w:tcW w:type="dxa" w:w="86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P/E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United Spirits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12,467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2,279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18.3%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96,453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93,726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41.1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52.5</w:t>
            </w:r>
          </w:p>
        </w:tc>
      </w:tr>
      <w:tr>
        <w:tc>
          <w:tcPr>
            <w:tcW w:type="dxa" w:w="273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Radico Khaitan</w:t>
            </w:r>
          </w:p>
        </w:tc>
        <w:tc>
          <w:tcPr>
            <w:tcW w:type="dxa" w:w="115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6,050</w:t>
            </w:r>
          </w:p>
        </w:tc>
        <w:tc>
          <w:tcPr>
            <w:tcW w:type="dxa" w:w="12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1,038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17.1%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50,274</w:t>
            </w:r>
          </w:p>
        </w:tc>
        <w:tc>
          <w:tcPr>
            <w:tcW w:type="dxa" w:w="12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50,883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49.0</w:t>
            </w:r>
          </w:p>
        </w:tc>
        <w:tc>
          <w:tcPr>
            <w:tcW w:type="dxa" w:w="86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81.5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United Breweries (beer ref.)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9,240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8.9%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35,605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36,350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44.1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86.2</w:t>
            </w:r>
          </w:p>
        </w:tc>
      </w:tr>
      <w:tr>
        <w:tc>
          <w:tcPr>
            <w:tcW w:type="dxa" w:w="273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Allied Blenders &amp; Distillers</w:t>
            </w:r>
          </w:p>
        </w:tc>
        <w:tc>
          <w:tcPr>
            <w:tcW w:type="dxa" w:w="115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3,923</w:t>
            </w:r>
          </w:p>
        </w:tc>
        <w:tc>
          <w:tcPr>
            <w:tcW w:type="dxa" w:w="12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13.8%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17,640</w:t>
            </w:r>
          </w:p>
        </w:tc>
        <w:tc>
          <w:tcPr>
            <w:tcW w:type="dxa" w:w="12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18,635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34.4</w:t>
            </w:r>
          </w:p>
        </w:tc>
        <w:tc>
          <w:tcPr>
            <w:tcW w:type="dxa" w:w="86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77.0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Peer median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44.1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81.5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b w:val="0"/>
          <w:i/>
          <w:sz w:val="18"/>
        </w:rPr>
        <w:t>ROE/ROCE: USL ~20-23% (model), the highest-quality return profile in the peer set on a scale-adjusted basis.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30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peer_multi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5: Peer valuation (FY26), USL trades below premium peers on P/E.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5.2  Competitor Assessment</w:t>
      </w:r>
    </w:p>
    <w:p>
      <w:pPr>
        <w:pStyle w:val="ListBullet"/>
        <w:spacing w:after="60"/>
      </w:pPr>
      <w:r>
        <w:rPr>
          <w:b/>
          <w:sz w:val="20"/>
        </w:rPr>
        <w:t xml:space="preserve">Radico Khaitan, </w:t>
      </w:r>
      <w:r>
        <w:rPr>
          <w:b w:val="0"/>
          <w:sz w:val="20"/>
        </w:rPr>
        <w:t>fastest-premiumising challenger; strong FY26 (Q3 EBITDA margin ~17%, gross ~47%; luxury value growth ~50% YoY) on Rampur, Jaisalmer, After Dark. Trades at a premium (~49x EV/EBITDA).</w:t>
      </w:r>
    </w:p>
    <w:p>
      <w:pPr>
        <w:pStyle w:val="ListBullet"/>
        <w:spacing w:after="60"/>
      </w:pPr>
      <w:r>
        <w:rPr>
          <w:b/>
          <w:sz w:val="20"/>
        </w:rPr>
        <w:t xml:space="preserve">Allied Blenders (ABDL), </w:t>
      </w:r>
      <w:r>
        <w:rPr>
          <w:b w:val="0"/>
          <w:sz w:val="20"/>
        </w:rPr>
        <w:t>record FY26 (revenue +11.5%, EBITDA +28.5% to ₹568 cr, margin +163 bps to 14.4%; adj. PAT +36%), pushing premiumisation (ICONiC). Lower-margin but improving fast.</w:t>
      </w:r>
    </w:p>
    <w:p>
      <w:pPr>
        <w:pStyle w:val="ListBullet"/>
        <w:spacing w:after="60"/>
      </w:pPr>
      <w:r>
        <w:rPr>
          <w:b/>
          <w:sz w:val="20"/>
        </w:rPr>
        <w:t xml:space="preserve">Tilaknagar Industries, </w:t>
      </w:r>
      <w:r>
        <w:rPr>
          <w:b w:val="0"/>
          <w:sz w:val="20"/>
        </w:rPr>
        <w:t>brandy leader (Mansion House) that acquired Pernod's Imperial Blue whisky for ~₹4,150 cr EV (completed Dec-2025), India's largest alcobev deal since Diageo-USL (2013), intensifying mid-premium whisky competition.</w:t>
      </w:r>
    </w:p>
    <w:p>
      <w:pPr>
        <w:pStyle w:val="ListBullet"/>
        <w:spacing w:after="60"/>
      </w:pPr>
      <w:r>
        <w:rPr>
          <w:b/>
          <w:sz w:val="20"/>
        </w:rPr>
        <w:t xml:space="preserve">United Breweries (reference), </w:t>
      </w:r>
      <w:r>
        <w:rPr>
          <w:b w:val="0"/>
          <w:sz w:val="20"/>
        </w:rPr>
        <w:t>India's beer leader (Heineken-controlled); a substitute/wallet competitor rather than a direct spirits peer.</w:t>
      </w:r>
    </w:p>
    <w:p>
      <w:pPr>
        <w:pStyle w:val="ListBullet"/>
        <w:spacing w:after="60"/>
      </w:pPr>
      <w:r>
        <w:rPr>
          <w:b/>
          <w:sz w:val="20"/>
        </w:rPr>
        <w:t xml:space="preserve">Diageo plc (parent), </w:t>
      </w:r>
      <w:r>
        <w:rPr>
          <w:b w:val="0"/>
          <w:sz w:val="20"/>
        </w:rPr>
        <w:t>supplies USL's premium/luxury portfolio and global capabilities; its global softness contrasts with India's strength.</w:t>
      </w:r>
    </w:p>
    <w:p>
      <w:pPr>
        <w:spacing w:after="120"/>
        <w:jc w:val="both"/>
      </w:pPr>
      <w:r>
        <w:rPr>
          <w:b w:val="0"/>
          <w:i/>
          <w:sz w:val="20"/>
        </w:rPr>
        <w:t>Positioning verdict: USL has the broadest portfolio, deepest distribution, strongest returns (ROCE ~22%) and most defensive (net-cash) balance sheet, but cedes some top-line growth optics to Radico and faces a re-energised Tilaknagar. Its value-share-over-volume-share strategy is the right one for a premiumising market.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6.  Financial Analysis (Historical, FY2017-FY2026)</w:t>
      </w:r>
    </w:p>
    <w:p>
      <w:pPr>
        <w:spacing w:after="120"/>
        <w:jc w:val="left"/>
      </w:pPr>
      <w:r>
        <w:rPr>
          <w:b w:val="0"/>
          <w:i/>
          <w:sz w:val="18"/>
        </w:rPr>
        <w:t>All figures consolidated, NSV (net-of-excise) basis, ₹ crore. Source: United Spirits Excell.xlsx and FY2025 Integrated Annual Report.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6.1  Income Statement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16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FY22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FY23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FY24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FY25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FY26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Net Sales Value (NSV)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9,712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10,612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11,321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12,069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12,467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NSV growth 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+9.3%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+6.7%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+6.6%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+3.3%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Gross profit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4,032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4,109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4,779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5,209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5,793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Gross margin 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42%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39%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42%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43%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46%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EBITDA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1,595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1,417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2,000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2,236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2,279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EBITDA margin 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16%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13%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18%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19%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18%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1,291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1,134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1,725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1,953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1,990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PAT (reported)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811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1,126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1,408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1,582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1,838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PAT margin %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11%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12%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13%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Read-through. NSV grew every year while total volume fell (from ~79 mn cases in FY22 to ~64 mn in FY25), a direct consequence of the Popular exit and premiumisation; topline is now realisation-led. Gross margin recovered sharply from the FY23 input-cost trough (39%) to ~46% by FY26. FY26 results were corroborated by reported numbers, consolidated NSV ₹12,467 cr (+7.7%), Q4 PAT +28% YoY, Q4 EBITDA beating estimates.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35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nsv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1: Net Sales Value &amp; growth, premiumisation-led topline (FY22-FY30E).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35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marg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2: Margin trajectory, structural expansion on mix &amp; operating leverage.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6.2  Balance Sheet, Leverage and Capital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16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FY22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FY23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FY24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FY25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FY26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Debt/Equity (x)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0.13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0.04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0.05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0.07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Net debt/EBITDA (x)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-0.01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-0.67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-0.81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-1.08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-1.20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Current ratio (x)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1.42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1.76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1.93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2.07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Interest coverage (x)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14.7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10.9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22.7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21.9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12.6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Cash &amp; treasury (₹cr)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282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1,139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1,868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2,903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3,134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USL deleveraged to a net-cash position (~₹3,134 cr at FY26, net debt/EBITDA ~ -1.2x), reflecting strong cash generation and Diageo's conservative treasury. This fortress balance sheet underpins the dividend and provides ample flexibility, now augmented by ₹16,660 cr of RCB proceeds.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6.3  Working Capital</w:t>
      </w:r>
    </w:p>
    <w:p>
      <w:pPr>
        <w:spacing w:after="120"/>
        <w:jc w:val="both"/>
      </w:pPr>
      <w:r>
        <w:rPr>
          <w:b w:val="0"/>
          <w:i w:val="0"/>
          <w:sz w:val="20"/>
        </w:rPr>
        <w:t>Steady-state assumptions: receivables ~97 days, inventory ~135 days, payables ~104 days. Inventory is structurally high (whisky maturation); receivables are elevated by dependence on state corporations. This is a working-capital-intensive model and the principal drag on free-cash conversion.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6.4  Cash Flow and Cash Conversion</w:t>
      </w:r>
    </w:p>
    <w:p>
      <w:pPr>
        <w:spacing w:after="120"/>
        <w:jc w:val="both"/>
      </w:pPr>
      <w:r>
        <w:rPr>
          <w:b w:val="0"/>
          <w:i w:val="0"/>
          <w:sz w:val="20"/>
        </w:rPr>
        <w:t>Operating cash flow was ~₹1,459 cr in FY26; capex is consistently small (~₹180-330 cr p.a.). Healthy CFO, low capex and ~70% dividend payout make USL a reliable cash compounder, though working-capital build in growth years moderates free-cash conversion in any given year.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682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9_fcf_di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9: Free cash flow vs dividends (~70% payout).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7.  Forecast Analysis (FY2027E-FY2030E)</w:t>
      </w:r>
    </w:p>
    <w:p>
      <w:pPr>
        <w:spacing w:after="120"/>
        <w:jc w:val="left"/>
      </w:pPr>
      <w:r>
        <w:rPr>
          <w:b w:val="0"/>
          <w:i/>
          <w:sz w:val="18"/>
        </w:rPr>
        <w:t>FY2026 is the last actual; forecasts are the continuing beverage-alcohol business per the uploaded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316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₹ crore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FY26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FY27E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FY28E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FY29E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FY30E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Net Sales Value (NSV)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12,467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13,589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14,812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15,997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17,117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NSV growth 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+3.3%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+9.0%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+9.0%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+8.0%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+7.0%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EBITDA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2,279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2,547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2,851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3,159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3,465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EBITDA margin 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18.3%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18.7%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19.2%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19.7%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20.2%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EBIT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1,990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2,170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2,433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2,700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2,965</w:t>
            </w:r>
          </w:p>
        </w:tc>
      </w:tr>
      <w:tr>
        <w:tc>
          <w:tcPr>
            <w:tcW w:type="dxa" w:w="316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PAT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1,838*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1,709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1,891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2,119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2,318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EPS (₹)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25.3*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23.5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31.9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b w:val="0"/>
          <w:i/>
          <w:sz w:val="17"/>
        </w:rPr>
        <w:t>*FY26 PAT/EPS include one-off/discontinued-operation items; FY27E reflects normalised continuing operations, hence the optical YoY dip.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7.1  Revenue Drivers</w:t>
      </w:r>
    </w:p>
    <w:p>
      <w:pPr>
        <w:pStyle w:val="ListBullet"/>
        <w:spacing w:after="60"/>
      </w:pPr>
      <w:r>
        <w:rPr>
          <w:b/>
          <w:sz w:val="20"/>
        </w:rPr>
        <w:t xml:space="preserve">Premiumisation &amp; mix: </w:t>
      </w:r>
      <w:r>
        <w:rPr>
          <w:b w:val="0"/>
          <w:sz w:val="20"/>
        </w:rPr>
        <w:t>continued P&amp;A salience gains (toward ~90%+ of NSV) and trade-up within categories drive realisation growth.</w:t>
      </w:r>
    </w:p>
    <w:p>
      <w:pPr>
        <w:pStyle w:val="ListBullet"/>
        <w:spacing w:after="60"/>
      </w:pPr>
      <w:r>
        <w:rPr>
          <w:b/>
          <w:sz w:val="20"/>
        </w:rPr>
        <w:t xml:space="preserve">Volume: </w:t>
      </w:r>
      <w:r>
        <w:rPr>
          <w:b w:val="0"/>
          <w:sz w:val="20"/>
        </w:rPr>
        <w:t>mid-single-digit, now the Popular-exit drag has lapped.</w:t>
      </w:r>
    </w:p>
    <w:p>
      <w:pPr>
        <w:pStyle w:val="ListBullet"/>
        <w:spacing w:after="60"/>
      </w:pPr>
      <w:r>
        <w:rPr>
          <w:b/>
          <w:sz w:val="20"/>
        </w:rPr>
        <w:t xml:space="preserve">Pricing: </w:t>
      </w:r>
      <w:r>
        <w:rPr>
          <w:b w:val="0"/>
          <w:sz w:val="20"/>
        </w:rPr>
        <w:t>state-by-state increases; Karnataka AIB deregulation could improve pricing freedom over time.</w:t>
      </w:r>
    </w:p>
    <w:p>
      <w:pPr>
        <w:pStyle w:val="ListBullet"/>
        <w:spacing w:after="60"/>
      </w:pPr>
      <w:r>
        <w:rPr>
          <w:b/>
          <w:sz w:val="20"/>
        </w:rPr>
        <w:t xml:space="preserve">New products: </w:t>
      </w:r>
      <w:r>
        <w:rPr>
          <w:b w:val="0"/>
          <w:sz w:val="20"/>
        </w:rPr>
        <w:t>white spirits (Smirnoff/X Series), luxury malts (Godawan), craft (NAO) extend the funnel.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7.2  Margin Drivers</w:t>
      </w:r>
    </w:p>
    <w:p>
      <w:pPr>
        <w:spacing w:after="120"/>
        <w:jc w:val="both"/>
      </w:pPr>
      <w:r>
        <w:rPr>
          <w:b w:val="0"/>
          <w:i w:val="0"/>
          <w:sz w:val="20"/>
        </w:rPr>
        <w:t>EBITDA margin expands ~40-50 bps p.a. (18.3%→~20.2%) on mix enrichment (gross margin ~46%→48%), operating leverage, and supply-agility savings (partly reinvested in A&amp;P). We stop short of the &gt;22% margins implied by bulls, given state-gated pricing and rising competition.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7.3  Key Model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Assumption</w:t>
            </w:r>
          </w:p>
        </w:tc>
        <w:tc>
          <w:tcPr>
            <w:tcW w:type="dxa" w:w="230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31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Effective tax rate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Normalised</w:t>
            </w:r>
          </w:p>
        </w:tc>
      </w:tr>
      <w:tr>
        <w:tc>
          <w:tcPr>
            <w:tcW w:type="dxa" w:w="388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Dividend payout</w:t>
            </w:r>
          </w:p>
        </w:tc>
        <w:tc>
          <w:tcPr>
            <w:tcW w:type="dxa" w:w="230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331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Held at FY26 level</w:t>
            </w:r>
          </w:p>
        </w:tc>
      </w:tr>
      <w:tr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Receivable / Inventory / Payable days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97 / 135 / 104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10-yr / 3-yr medians</w:t>
            </w:r>
          </w:p>
        </w:tc>
      </w:tr>
      <w:tr>
        <w:tc>
          <w:tcPr>
            <w:tcW w:type="dxa" w:w="388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Capex</w:t>
            </w:r>
          </w:p>
        </w:tc>
        <w:tc>
          <w:tcPr>
            <w:tcW w:type="dxa" w:w="230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~1-2% of NSV</w:t>
            </w:r>
          </w:p>
        </w:tc>
        <w:tc>
          <w:tcPr>
            <w:tcW w:type="dxa" w:w="331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4-5 yr median</w:t>
            </w:r>
          </w:p>
        </w:tc>
      </w:tr>
      <w:tr>
        <w:tc>
          <w:tcPr>
            <w:tcW w:type="dxa" w:w="388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Depreciation useful life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16 years</w:t>
            </w:r>
          </w:p>
        </w:tc>
        <w:tc>
          <w:tcPr>
            <w:tcW w:type="dxa" w:w="331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~1/6.2% avg</w:t>
            </w:r>
          </w:p>
        </w:tc>
      </w:tr>
      <w:tr>
        <w:tc>
          <w:tcPr>
            <w:tcW w:type="dxa" w:w="388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Treasury yield</w:t>
            </w:r>
          </w:p>
        </w:tc>
        <w:tc>
          <w:tcPr>
            <w:tcW w:type="dxa" w:w="230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market yield on deposits/MFs</w:t>
            </w:r>
          </w:p>
        </w:tc>
        <w:tc>
          <w:tcPr>
            <w:tcW w:type="dxa" w:w="331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n/a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8.  Valuation</w:t>
      </w:r>
    </w:p>
    <w:p>
      <w:pPr>
        <w:spacing w:after="120"/>
        <w:jc w:val="both"/>
      </w:pPr>
      <w:r>
        <w:rPr>
          <w:b w:val="0"/>
          <w:i w:val="0"/>
          <w:sz w:val="20"/>
        </w:rPr>
        <w:t>We adopt the uploaded model's blended methodology, emphasising relative multiples (forward-looking, market-anchored) with a DCF cross-check.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8.1  DCF Valuation (FCFF, 2-stage)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45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Risk-free rate (10-yr G-Sec)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7.0%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Equity risk premium (Rm - Rf)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4.0%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Adjusted beta (0.67 × 0.89 + 0.33)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0.92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Cost of equity (CAPM) = WACC (debt negligible)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11.0%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Terminal growth (g)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6.0%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Sum of PV of explicit FCFF (FY27-34)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₹11,269 cr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PV of terminal value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₹32,721 cr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Enterprise Value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₹43,990 cr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(+) Cash / (-) Debt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+₹3,134 cr / -₹407 cr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Equity Value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₹46,717 cr</w:t>
            </w:r>
          </w:p>
        </w:tc>
      </w:tr>
      <w:tr>
        <w:tc>
          <w:tcPr>
            <w:tcW w:type="dxa" w:w="60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Shares outstanding</w:t>
            </w:r>
          </w:p>
        </w:tc>
        <w:tc>
          <w:tcPr>
            <w:tcW w:type="dxa" w:w="34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72.74 cr</w:t>
            </w:r>
          </w:p>
        </w:tc>
      </w:tr>
      <w:tr>
        <w:tc>
          <w:tcPr>
            <w:tcW w:type="dxa" w:w="60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DCF Value per Share</w:t>
            </w:r>
          </w:p>
        </w:tc>
        <w:tc>
          <w:tcPr>
            <w:tcW w:type="dxa" w:w="34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₹642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Honest finding: even on supportive inputs, the DCF yields ~₹642, well below the market price. High working-capital intensity depresses free-cash conversion, and the market implicitly applies a lower discount rate / higher perpetual growth than our base case. The DCF therefore functions as a valuation floor, hence its 15% blend weight.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930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7_dcf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7: DCF sensitivity, fair value/share (₹). Base case WACC 11% / g 6% → ₹642.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8.2  Relative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Multiple</w:t>
            </w:r>
          </w:p>
        </w:tc>
        <w:tc>
          <w:tcPr>
            <w:tcW w:type="dxa" w:w="288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Peer median (x)</w:t>
            </w:r>
          </w:p>
        </w:tc>
        <w:tc>
          <w:tcPr>
            <w:tcW w:type="dxa" w:w="31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Implied Value/Share (₹)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EV/EBITDA</w:t>
            </w:r>
          </w:p>
        </w:tc>
        <w:tc>
          <w:tcPr>
            <w:tcW w:type="dxa" w:w="28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39.2</w:t>
            </w:r>
          </w:p>
        </w:tc>
        <w:tc>
          <w:tcPr>
            <w:tcW w:type="dxa" w:w="31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1,411</w:t>
            </w:r>
          </w:p>
        </w:tc>
      </w:tr>
      <w:tr>
        <w:tc>
          <w:tcPr>
            <w:tcW w:type="dxa" w:w="345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P/E</w:t>
            </w:r>
          </w:p>
        </w:tc>
        <w:tc>
          <w:tcPr>
            <w:tcW w:type="dxa" w:w="288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71.3</w:t>
            </w:r>
          </w:p>
        </w:tc>
        <w:tc>
          <w:tcPr>
            <w:tcW w:type="dxa" w:w="31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1,675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</w:t>
            </w:r>
          </w:p>
        </w:tc>
        <w:tc>
          <w:tcPr>
            <w:tcW w:type="dxa" w:w="28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45.9</w:t>
            </w:r>
          </w:p>
        </w:tc>
        <w:tc>
          <w:tcPr>
            <w:tcW w:type="dxa" w:w="31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1,408</w:t>
            </w:r>
          </w:p>
        </w:tc>
      </w:tr>
      <w:tr>
        <w:tc>
          <w:tcPr>
            <w:tcW w:type="dxa" w:w="345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EV/Revenue (reference)</w:t>
            </w:r>
          </w:p>
        </w:tc>
        <w:tc>
          <w:tcPr>
            <w:tcW w:type="dxa" w:w="288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4.4</w:t>
            </w:r>
          </w:p>
        </w:tc>
        <w:tc>
          <w:tcPr>
            <w:tcW w:type="dxa" w:w="31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859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Peer selection: Radico Khaitan, United Breweries and Allied Blenders. Premium/discount justification: USL trades at a discount to the fastest-growing premium peer (Radico) on P/E but a premium to mass-market peers, appropriate given USL's leadership, mix and superior returns, while its slower headline growth caps the premium. Multiples frame USL as fully, but not egregiously, valued.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8.3  Target Price Methodology and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619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EV/EBITDA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619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Capital-structure-neutral; the market's primary lens for staples; most reliable cross-peer metric.</w:t>
            </w:r>
          </w:p>
        </w:tc>
      </w:tr>
      <w:tr>
        <w:tc>
          <w:tcPr>
            <w:tcW w:type="dxa" w:w="201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P/E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619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Captures earnings power / equity-investor lens.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619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Secondary cross-check on operating value.</w:t>
            </w:r>
          </w:p>
        </w:tc>
      </w:tr>
      <w:tr>
        <w:tc>
          <w:tcPr>
            <w:tcW w:type="dxa" w:w="201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DCF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619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Long-horizon intrinsic anchor; down-weighted due to terminal-value sensitivity and WC-driven FCF volatility.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Justification of the DCF/relative split (15% / 85%): (i) forecast visibility, multi-year cash flows for a state-regulated, WC-intensive business carry wide confidence intervals, making the DCF terminal value highly sensitive; (ii) industry maturity, a deep set of listed, actively-traded Indian alcobev comparables makes market multiples informative; (iii) reliability of market multiples, for a high-quality, widely-followed staple, traded multiples capture the premiumisation/quality premium better than a single discount-rate assumption. A more DCF-weighted analyst would arrive at a lower fair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16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Implied (₹)</w:t>
            </w:r>
          </w:p>
        </w:tc>
        <w:tc>
          <w:tcPr>
            <w:tcW w:type="dxa" w:w="144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02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Contribution (₹)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EV/EBITDA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1,411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846</w:t>
            </w:r>
          </w:p>
        </w:tc>
      </w:tr>
      <w:tr>
        <w:tc>
          <w:tcPr>
            <w:tcW w:type="dxa" w:w="288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P/E</w:t>
            </w:r>
          </w:p>
        </w:tc>
        <w:tc>
          <w:tcPr>
            <w:tcW w:type="dxa" w:w="216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1,675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335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EV/EBIT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1,408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288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DCF</w:t>
            </w:r>
          </w:p>
        </w:tc>
        <w:tc>
          <w:tcPr>
            <w:tcW w:type="dxa" w:w="216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642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96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Blended Target Price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1,348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8.4  Upside not in the Target, RCB Proceeds</w:t>
      </w:r>
    </w:p>
    <w:p>
      <w:pPr>
        <w:spacing w:after="120"/>
        <w:jc w:val="both"/>
      </w:pPr>
      <w:r>
        <w:rPr>
          <w:b w:val="0"/>
          <w:i w:val="0"/>
          <w:sz w:val="20"/>
        </w:rPr>
        <w:t>The model-derived ₹1,348 target does not capitalise the ₹16,660 crore RCB sale proceeds (~17% of market cap). Net of taxes/leakage and depending on redeployment (special dividend, buyback or core reinvestment), this is a material upside option and a key reason we rate HOLD rather than Reduce.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9.  ESG Analysis</w:t>
      </w:r>
    </w:p>
    <w:p>
      <w:pPr>
        <w:spacing w:after="120"/>
        <w:jc w:val="both"/>
      </w:pPr>
      <w:r>
        <w:rPr>
          <w:b w:val="0"/>
          <w:i w:val="0"/>
          <w:sz w:val="20"/>
        </w:rPr>
        <w:t>USL's ESG agenda, 'Spirit of Progress' (aligned to Diageo's global framework), is a genuine competitive and risk-mitigation asset (FY2025 Integrated Annual Report).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9.1  Environmental</w:t>
      </w:r>
    </w:p>
    <w:p>
      <w:pPr>
        <w:pStyle w:val="ListBullet"/>
        <w:spacing w:after="60"/>
      </w:pPr>
      <w:r>
        <w:rPr>
          <w:b/>
          <w:sz w:val="20"/>
        </w:rPr>
        <w:t xml:space="preserve">Water: </w:t>
      </w:r>
      <w:r>
        <w:rPr>
          <w:b w:val="0"/>
          <w:sz w:val="20"/>
        </w:rPr>
        <w:t>~54% improvement in water used per litre of spirit distilled vs FY2020; ~671k kilolitres consumed; 'Preserve Water for Life' stewardship, replenishment and regenerative agriculture (Godavari Initiative).</w:t>
      </w:r>
    </w:p>
    <w:p>
      <w:pPr>
        <w:pStyle w:val="ListBullet"/>
        <w:spacing w:after="60"/>
      </w:pPr>
      <w:r>
        <w:rPr>
          <w:b/>
          <w:sz w:val="20"/>
        </w:rPr>
        <w:t xml:space="preserve">Energy &amp; emissions: </w:t>
      </w:r>
      <w:r>
        <w:rPr>
          <w:b w:val="0"/>
          <w:sz w:val="20"/>
        </w:rPr>
        <w:t>99% renewable energy in direct operations (since FY2020); ~93% reduction in absolute Scope 1 &amp; 2 GHG vs FY2020 (Scope 2 market-based ~zero after i-RECs).</w:t>
      </w:r>
    </w:p>
    <w:p>
      <w:pPr>
        <w:pStyle w:val="ListBullet"/>
        <w:spacing w:after="60"/>
      </w:pPr>
      <w:r>
        <w:rPr>
          <w:b/>
          <w:sz w:val="20"/>
        </w:rPr>
        <w:t xml:space="preserve">Net Zero roadmap: </w:t>
      </w:r>
      <w:r>
        <w:rPr>
          <w:b w:val="0"/>
          <w:sz w:val="20"/>
        </w:rPr>
        <w:t>Net Zero in direct operations by 2030; across the value chain by 2050.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9.2  Social</w:t>
      </w:r>
    </w:p>
    <w:p>
      <w:pPr>
        <w:pStyle w:val="ListBullet"/>
        <w:spacing w:after="60"/>
      </w:pPr>
      <w:r>
        <w:rPr>
          <w:b/>
          <w:sz w:val="20"/>
        </w:rPr>
        <w:t xml:space="preserve">Responsible drinking: </w:t>
      </w:r>
      <w:r>
        <w:rPr>
          <w:b w:val="0"/>
          <w:sz w:val="20"/>
        </w:rPr>
        <w:t>~0.7 million people educated (Act Smart India on underage drinking; DRINKiQ).</w:t>
      </w:r>
    </w:p>
    <w:p>
      <w:pPr>
        <w:pStyle w:val="ListBullet"/>
        <w:spacing w:after="60"/>
      </w:pPr>
      <w:r>
        <w:rPr>
          <w:b/>
          <w:sz w:val="20"/>
        </w:rPr>
        <w:t xml:space="preserve">People: </w:t>
      </w:r>
      <w:r>
        <w:rPr>
          <w:b w:val="0"/>
          <w:sz w:val="20"/>
        </w:rPr>
        <w:t>~2,400+ employees, ~86% retention, ~89% engagement, ~28% women's representation; active inclusion &amp; diversity initiatives.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9.3  Governance</w:t>
      </w:r>
    </w:p>
    <w:p>
      <w:pPr>
        <w:pStyle w:val="ListBullet"/>
        <w:spacing w:after="60"/>
      </w:pPr>
      <w:r>
        <w:rPr>
          <w:b w:val="0"/>
          <w:sz w:val="20"/>
        </w:rPr>
      </w:r>
      <w:r>
        <w:rPr>
          <w:b w:val="0"/>
          <w:sz w:val="20"/>
        </w:rPr>
        <w:t>Diageo governance standards and board oversight; robust corporate-governance framework; Diageo Marketing Code and consumer-information standards; conservative treasury policy.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9.4  Impact on Valuation &amp; Risk</w:t>
      </w:r>
    </w:p>
    <w:p>
      <w:pPr>
        <w:spacing w:after="120"/>
        <w:jc w:val="both"/>
      </w:pPr>
      <w:r>
        <w:rPr>
          <w:b w:val="0"/>
          <w:i w:val="0"/>
          <w:sz w:val="20"/>
        </w:rPr>
        <w:t>Strong ESG execution reduces regulatory/reputational tail-risk in a sector under perennial health/policy scrutiny, supports premium-brand equity, and is consistent with the low beta in our WACC. We assign no explicit valuation premium but view USL's ESG leadership as supportive of multiple durability and a lower cost of capital over time.</w:t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10.  Risk Analysis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10.1  Risk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744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44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129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024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Mitigant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Regulatory / RTM disruption (policy reversals, prohibition)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Diversification across 30+ states; Diageo compliance</w:t>
            </w:r>
          </w:p>
        </w:tc>
      </w:tr>
      <w:tr>
        <w:tc>
          <w:tcPr>
            <w:tcW w:type="dxa" w:w="3744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Excise / tax increases not passed through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Med-High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Med-High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Premium mix, pricing power, AIB freedom (Karnataka)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Raw-material inflation (ENA/grain, glass, scotch)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Scale sourcing, supply-agility savings, productivity</w:t>
            </w:r>
          </w:p>
        </w:tc>
      </w:tr>
      <w:tr>
        <w:tc>
          <w:tcPr>
            <w:tcW w:type="dxa" w:w="3744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Competitive pressure (Pernod, Radico, Tilaknagar, ABDL)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Portfolio breadth, distribution, value-share focus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Consumer down-trading (macro slowdown)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Med-High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Full price-ladder portfolio; mass-to-premium funnel</w:t>
            </w:r>
          </w:p>
        </w:tc>
      </w:tr>
      <w:tr>
        <w:tc>
          <w:tcPr>
            <w:tcW w:type="dxa" w:w="3744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Currency / import cost (scotch concentrate)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Low-Med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Local production; partial hedging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Customer concentration (~30% one state corp.)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Structural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Industry-wide norm; receivables management</w:t>
            </w:r>
          </w:p>
        </w:tc>
      </w:tr>
      <w:tr>
        <w:tc>
          <w:tcPr>
            <w:tcW w:type="dxa" w:w="3744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ESG / health-policy headwinds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024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ESG leadership; responsible-drinking programmes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Valuation de-rating (rich multiple)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Quality, growth, RCB cash optionality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10.2  International / Global Risk Context</w:t>
      </w:r>
    </w:p>
    <w:p>
      <w:pPr>
        <w:spacing w:after="120"/>
        <w:jc w:val="both"/>
      </w:pPr>
      <w:r>
        <w:rPr>
          <w:b w:val="0"/>
          <w:i w:val="0"/>
          <w:sz w:val="20"/>
        </w:rPr>
        <w:t>USL is a domestic IMFL business (limiting direct US-tariff exposure), but the global backdrop matters: IWSR data show global beverage-alcohol volumes fell ~2% in 2025 (third straight year), premiumisation has 'stalled'/fragmented amid macro pressure, and US tariffs cut Scotch exports to the US ~15% by volume. Parent Diageo cut FY26 guidance on US/China weakness and tariffs, reduced its dividend (Feb-2026), and is pursuing selective disposals (the RCB exit fits this). Implication: India stands out as a structural growth engine within a stagnant global spirits market, a relative positive for USL, though scotch-concentrate costs and parent-level strategy shifts bear watching.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11.  Investment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604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60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HOLD / NEUTRAL</w:t>
            </w:r>
          </w:p>
        </w:tc>
      </w:tr>
      <w:tr>
        <w:tc>
          <w:tcPr>
            <w:tcW w:type="dxa" w:w="345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12-Month Target Price</w:t>
            </w:r>
          </w:p>
        </w:tc>
        <w:tc>
          <w:tcPr>
            <w:tcW w:type="dxa" w:w="604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₹1,348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Current Market Price</w:t>
            </w:r>
          </w:p>
        </w:tc>
        <w:tc>
          <w:tcPr>
            <w:tcW w:type="dxa" w:w="60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₹1,326</w:t>
            </w:r>
          </w:p>
        </w:tc>
      </w:tr>
      <w:tr>
        <w:tc>
          <w:tcPr>
            <w:tcW w:type="dxa" w:w="3456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Expected Total Return</w:t>
            </w:r>
          </w:p>
        </w:tc>
        <w:tc>
          <w:tcPr>
            <w:tcW w:type="dxa" w:w="604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~+1.7% price + ~1.0% dividend yield ≈ ~3%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Investment Horizon</w:t>
            </w:r>
          </w:p>
        </w:tc>
        <w:tc>
          <w:tcPr>
            <w:tcW w:type="dxa" w:w="60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12 months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Rationale. USL is a best-in-class, structurally advantaged compounder, the cleanest large-cap proxy for Indian spirits premiumisation, with a net-cash balance sheet, ~22% ROCE and a multi-year margin runway. However, the business case and the valuation case diverge: at ~37-39x forward EV/EBITDA and ~52x trailing earnings, the stock already discounts years of double-digit growth and margin expansion. Our blended fair value of ₹1,348 sits essentially at the market price, and the DCF floor (₹642) underscores how much rests on sustained premium multiples.</w:t>
      </w:r>
    </w:p>
    <w:p>
      <w:pPr>
        <w:spacing w:after="120"/>
        <w:jc w:val="both"/>
      </w:pPr>
      <w:r>
        <w:rPr>
          <w:b w:val="0"/>
          <w:i w:val="0"/>
          <w:sz w:val="20"/>
        </w:rPr>
        <w:t>Why USL deserves a premium to mass-market peers (but not to Radico). USL warrants a premium over ABDL/Globus for leadership, portfolio breadth, ~89-90% P&amp;A mix, superior returns and balance-sheet strength. It trades at a discount to Radico Khaitan, whose faster top-line and luxury growth command a higher multiple, a gap we view as fair given USL's larger, more mature base.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33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8_scen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8: Scenario-weighted target prices.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47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Key assumptions</w:t>
            </w:r>
          </w:p>
        </w:tc>
        <w:tc>
          <w:tcPr>
            <w:tcW w:type="dxa" w:w="1440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Target (₹)</w:t>
            </w:r>
          </w:p>
        </w:tc>
        <w:tc>
          <w:tcPr>
            <w:tcW w:type="dxa" w:w="1152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vs CMP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Bull</w:t>
            </w:r>
          </w:p>
        </w:tc>
        <w:tc>
          <w:tcPr>
            <w:tcW w:type="dxa" w:w="54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Vol +6%, realisation +6%, EBITDA margin →~24%, lower WACC, RCB cash redeployed accretively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~1,760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+33%</w:t>
            </w:r>
          </w:p>
        </w:tc>
      </w:tr>
      <w:tr>
        <w:tc>
          <w:tcPr>
            <w:tcW w:type="dxa" w:w="144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Base</w:t>
            </w:r>
          </w:p>
        </w:tc>
        <w:tc>
          <w:tcPr>
            <w:tcW w:type="dxa" w:w="547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Vol +4-4.5%, realisation +5%, margin →~20%, WACC 11%/g 6%</w:t>
            </w:r>
          </w:p>
        </w:tc>
        <w:tc>
          <w:tcPr>
            <w:tcW w:type="dxa" w:w="1440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1,348</w:t>
            </w:r>
          </w:p>
        </w:tc>
        <w:tc>
          <w:tcPr>
            <w:tcW w:type="dxa" w:w="1152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+1.7%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Bear</w:t>
            </w:r>
          </w:p>
        </w:tc>
        <w:tc>
          <w:tcPr>
            <w:tcW w:type="dxa" w:w="54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Vol +2.5%, realisation +4%, margin stalls ~17%, de-rating, adverse excise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~920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-31%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0"/>
        </w:rPr>
        <w:t>Action. Hold core positions for compounding and the un-modelled RCB-cash optionality. Accumulate below ~₹1,150; trim above ~₹1,500. Catalysts to monitor: redeployment of RCB proceeds (special dividend / buyback), Karnataka AIB pricing outcomes, P&amp;A volume momentum, input-cost trajectory, and Diageo's August-2026 global strategy refresh.</w:t>
      </w:r>
    </w:p>
    <w:p>
      <w:r>
        <w:br w:type="page"/>
      </w:r>
    </w:p>
    <w:p>
      <w:pPr>
        <w:spacing w:before="240" w:after="80"/>
        <w:pBdr>
          <w:bottom w:val="single" w:sz="8" w:space="3" w:color="0B2545"/>
        </w:pBdr>
      </w:pPr>
      <w:r>
        <w:rPr>
          <w:rFonts w:ascii="Calibri" w:hAnsi="Calibri"/>
          <w:b/>
          <w:color w:val="0B2545"/>
          <w:sz w:val="30"/>
        </w:rPr>
        <w:t>12.  Appendices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Appendix A, Integrated Income Statement (₹ cr, NSV basis)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1440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FY22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FY23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FY24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FY25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FY26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FY27E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FY28E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FY29E</w:t>
            </w:r>
          </w:p>
        </w:tc>
        <w:tc>
          <w:tcPr>
            <w:tcW w:type="dxa" w:w="893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5"/>
              </w:rPr>
              <w:t>FY30E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NSV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9,712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10,612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11,321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12,069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12,467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13,589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14,812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15,997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17,117</w:t>
            </w:r>
          </w:p>
        </w:tc>
      </w:tr>
      <w:tr>
        <w:tc>
          <w:tcPr>
            <w:tcW w:type="dxa" w:w="144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COGS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5,681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6,503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6,542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6,860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6,674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7,406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7,999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8,558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9,072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Gross profit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4,032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4,109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4,779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5,209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5,793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6,183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6,814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7,439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8,045</w:t>
            </w:r>
          </w:p>
        </w:tc>
      </w:tr>
      <w:tr>
        <w:tc>
          <w:tcPr>
            <w:tcW w:type="dxa" w:w="144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EBITDA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1,595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1,417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2,000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2,236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2,279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2,547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2,851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3,159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3,465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EBIT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1,291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1,134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1,725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1,953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1,990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2,170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2,433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2,700</w:t>
            </w:r>
          </w:p>
        </w:tc>
        <w:tc>
          <w:tcPr>
            <w:tcW w:type="dxa" w:w="893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2,965</w:t>
            </w:r>
          </w:p>
        </w:tc>
      </w:tr>
      <w:tr>
        <w:tc>
          <w:tcPr>
            <w:tcW w:type="dxa" w:w="1440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5"/>
              </w:rPr>
              <w:t>PAT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811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1,126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1,408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1,582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1,838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1,709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1,891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2,119</w:t>
            </w:r>
          </w:p>
        </w:tc>
        <w:tc>
          <w:tcPr>
            <w:tcW w:type="dxa" w:w="893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5"/>
              </w:rPr>
              <w:t>2,318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Appendix B, Key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FY24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FY25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FY26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FY27E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FY28E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FY29E</w:t>
            </w:r>
          </w:p>
        </w:tc>
        <w:tc>
          <w:tcPr>
            <w:tcW w:type="dxa" w:w="100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6"/>
              </w:rPr>
              <w:t>FY30E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Gross margin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42%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43%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46%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46%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46%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47%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47%</w:t>
            </w:r>
          </w:p>
        </w:tc>
      </w:tr>
      <w:tr>
        <w:tc>
          <w:tcPr>
            <w:tcW w:type="dxa" w:w="24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EBITDA margin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18%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18%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ROE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19%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</w:tr>
      <w:tr>
        <w:tc>
          <w:tcPr>
            <w:tcW w:type="dxa" w:w="2448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ROCE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23%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23%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23%</w:t>
            </w:r>
          </w:p>
        </w:tc>
        <w:tc>
          <w:tcPr>
            <w:tcW w:type="dxa" w:w="100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23%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Net debt/EBITDA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-0.8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-1.1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-1.2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-1.1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-1.0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-1.1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6"/>
              </w:rPr>
              <w:t>-1.1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041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retur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B66"/>
          <w:sz w:val="16"/>
        </w:rPr>
        <w:t>Exhibit 4: Capital returns, sustained ~20%+ ROE / ROCE.</w:t>
      </w: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Appendix C, Cash Flow Summary (₹ cr)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shd w:val="clear" w:fill="0B254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3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FY26</w:t>
            </w:r>
          </w:p>
        </w:tc>
        <w:tc>
          <w:tcPr>
            <w:tcW w:type="dxa" w:w="13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FY27E</w:t>
            </w:r>
          </w:p>
        </w:tc>
        <w:tc>
          <w:tcPr>
            <w:tcW w:type="dxa" w:w="13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FY28E</w:t>
            </w:r>
          </w:p>
        </w:tc>
        <w:tc>
          <w:tcPr>
            <w:tcW w:type="dxa" w:w="1368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FY29E</w:t>
            </w:r>
          </w:p>
        </w:tc>
        <w:tc>
          <w:tcPr>
            <w:tcW w:type="dxa" w:w="1656"/>
            <w:shd w:val="clear" w:fill="0B2545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7"/>
              </w:rPr>
              <w:t>FY30E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CFO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1,459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1,292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2,345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1,957</w:t>
            </w:r>
          </w:p>
        </w:tc>
        <w:tc>
          <w:tcPr>
            <w:tcW w:type="dxa" w:w="16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2,831</w:t>
            </w:r>
          </w:p>
        </w:tc>
      </w:tr>
      <w:tr>
        <w:tc>
          <w:tcPr>
            <w:tcW w:type="dxa" w:w="2592"/>
            <w:shd w:val="clear" w:fill="EEF2F7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Capex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(181)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(204)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(222)</w:t>
            </w:r>
          </w:p>
        </w:tc>
        <w:tc>
          <w:tcPr>
            <w:tcW w:type="dxa" w:w="1368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(240)</w:t>
            </w:r>
          </w:p>
        </w:tc>
        <w:tc>
          <w:tcPr>
            <w:tcW w:type="dxa" w:w="1656"/>
            <w:shd w:val="clear" w:fill="EEF2F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(257)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7"/>
              </w:rPr>
              <w:t>Dividends paid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(1,263)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(1,145)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(1,267)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(1,420)</w:t>
            </w:r>
          </w:p>
        </w:tc>
        <w:tc>
          <w:tcPr>
            <w:tcW w:type="dxa" w:w="165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7"/>
              </w:rPr>
              <w:t>(1,553)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13558C"/>
          <w:sz w:val="23"/>
        </w:rPr>
        <w:t>Appendix D, Sources</w:t>
      </w:r>
    </w:p>
    <w:p>
      <w:pPr>
        <w:spacing w:after="120"/>
        <w:jc w:val="both"/>
      </w:pPr>
      <w:r>
        <w:rPr>
          <w:b w:val="0"/>
          <w:i w:val="0"/>
          <w:sz w:val="18"/>
        </w:rPr>
        <w:t>Primary (per analyst mandate): United Spirits 'United Spirits Excell.xlsx' financial model (DCF, Comps, Valuation Summary, P&amp;L, Balance Sheet, Cash Flow, Ratio Analysis, Beta); United Spirits Annual Reports FY2017, FY2019, FY2021, FY2023 and FY2025 Integrated Annual Report.</w:t>
      </w:r>
    </w:p>
    <w:p>
      <w:pPr>
        <w:spacing w:after="120"/>
        <w:jc w:val="both"/>
      </w:pPr>
      <w:r>
        <w:rPr>
          <w:b w:val="0"/>
          <w:i w:val="0"/>
          <w:sz w:val="18"/>
        </w:rPr>
        <w:t>Secondary (public domain, cited inline): Diageo India / Diageo plc investor communications; IWSR; The Hindu; Economic Times; Livemint/Mint; Financial Express; Hindustan Times; NDTV Profit; Reuters; Outlook Business; The Spirits Business; Quartr; PRS / Economic Survey 2025-26; MoSPI; RBI.</w:t>
      </w:r>
    </w:p>
    <w:p>
      <w:pPr>
        <w:spacing w:after="120"/>
        <w:jc w:val="left"/>
      </w:pPr>
      <w:r>
        <w:rPr>
          <w:b w:val="0"/>
          <w:i/>
          <w:color w:val="555B66"/>
          <w:sz w:val="17"/>
        </w:rPr>
        <w:t>All third-party content paraphrased/summarised for compliance with licensing restrictions. This document is an educational research report and does not constitute investment advice.</w:t>
      </w:r>
    </w:p>
    <w:sectPr w:rsidR="00FC693F" w:rsidRPr="0006063C" w:rsidSect="00034616"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5"/>
      </w:rPr>
      <w:t xml:space="preserve">United Spirits Limited (UNITDSPR)  |  Equity Research, HOLD, TP ₹1,348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