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8A6D0B"/>
          <w:sz w:val="24"/>
        </w:rPr>
        <w:t>EQUITY RESEARCH  |  STOCK NOTE</w:t>
      </w:r>
    </w:p>
    <w:p>
      <w:pPr>
        <w:spacing w:after="360"/>
        <w:jc w:val="center"/>
      </w:pPr>
      <w:r>
        <w:rPr>
          <w:b w:val="0"/>
          <w:i w:val="0"/>
          <w:color w:val="555B66"/>
          <w:sz w:val="20"/>
        </w:rPr>
        <w:t>Sector: Alcoholic Beverages (Alcobev)  |  India</w:t>
      </w:r>
    </w:p>
    <w:p>
      <w:pPr>
        <w:spacing w:after="40"/>
        <w:jc w:val="center"/>
      </w:pPr>
      <w:r>
        <w:rPr>
          <w:b/>
          <w:i w:val="0"/>
          <w:color w:val="0B2545"/>
          <w:sz w:val="60"/>
        </w:rPr>
        <w:t>UNITED SPIRITS LIMITED</w:t>
      </w:r>
    </w:p>
    <w:p>
      <w:pPr>
        <w:spacing w:after="480"/>
        <w:jc w:val="center"/>
      </w:pPr>
      <w:r>
        <w:rPr>
          <w:b w:val="0"/>
          <w:i/>
          <w:color w:val="555B66"/>
          <w:sz w:val="26"/>
        </w:rPr>
        <w:t>A Diageo Group Company</w:t>
      </w:r>
    </w:p>
    <w:tbl>
      <w:tblPr>
        <w:tblW w:type="auto" w:w="0"/>
        <w:jc w:val="center"/>
        <w:tblLook w:firstColumn="1" w:firstRow="1" w:lastColumn="0" w:lastRow="0" w:noHBand="0" w:noVBand="1" w:val="04A0"/>
      </w:tblPr>
      <w:tblGrid>
        <w:gridCol w:w="3408"/>
        <w:gridCol w:w="3408"/>
        <w:gridCol w:w="3408"/>
      </w:tblGrid>
      <w:tr>
        <w:tc>
          <w:tcPr>
            <w:tcW w:type="dxa" w:w="3312"/>
            <w:shd w:val="clear" w:fill="0B2545"/>
          </w:tcPr>
          <w:p>
            <w:pPr>
              <w:jc w:val="center"/>
            </w:pPr>
            <w:r>
              <w:rPr>
                <w:b/>
                <w:color w:val="FFFFFF"/>
                <w:sz w:val="16"/>
              </w:rPr>
              <w:t>RECOMMENDATION</w:t>
              <w:br/>
            </w:r>
            <w:r>
              <w:rPr>
                <w:b/>
                <w:color w:val="FFFFFF"/>
                <w:sz w:val="30"/>
              </w:rPr>
              <w:t>HOLD</w:t>
            </w:r>
          </w:p>
        </w:tc>
        <w:tc>
          <w:tcPr>
            <w:tcW w:type="dxa" w:w="3312"/>
            <w:shd w:val="clear" w:fill="EEF2F7"/>
          </w:tcPr>
          <w:p>
            <w:pPr>
              <w:jc w:val="center"/>
            </w:pPr>
            <w:r>
              <w:rPr>
                <w:b/>
                <w:color w:val="555B66"/>
                <w:sz w:val="16"/>
              </w:rPr>
              <w:t>BASE CASE FAIR VALUE</w:t>
              <w:br/>
            </w:r>
            <w:r>
              <w:rPr>
                <w:b/>
                <w:color w:val="2E7D52"/>
                <w:sz w:val="30"/>
              </w:rPr>
              <w:t>Rs 1,348</w:t>
            </w:r>
          </w:p>
        </w:tc>
        <w:tc>
          <w:tcPr>
            <w:tcW w:type="dxa" w:w="3312"/>
            <w:shd w:val="clear" w:fill="EEF2F7"/>
          </w:tcPr>
          <w:p>
            <w:pPr>
              <w:jc w:val="center"/>
            </w:pPr>
            <w:r>
              <w:rPr>
                <w:b/>
                <w:color w:val="555B66"/>
                <w:sz w:val="16"/>
              </w:rPr>
              <w:t>BULL CASE FAIR VALUE</w:t>
              <w:br/>
            </w:r>
            <w:r>
              <w:rPr>
                <w:b/>
                <w:color w:val="2E7D52"/>
                <w:sz w:val="30"/>
              </w:rPr>
              <w:t>Rs 1,500</w:t>
            </w:r>
          </w:p>
        </w:tc>
      </w:tr>
    </w:tbl>
    <w:p>
      <w:pPr>
        <w:spacing w:after="200"/>
      </w:pPr>
    </w:p>
    <w:p>
      <w:pPr>
        <w:spacing w:after="400"/>
        <w:jc w:val="center"/>
      </w:pPr>
      <w:r>
        <w:rPr>
          <w:b/>
          <w:i w:val="0"/>
          <w:color w:val="0B2545"/>
          <w:sz w:val="21"/>
        </w:rPr>
        <w:t>Current Market Price: Rs 1,343        Add on dips band: Rs 1,150 to Rs 1,200        Time Horizon: 12 months</w:t>
      </w:r>
    </w:p>
    <w:p>
      <w:pPr>
        <w:spacing w:after="20"/>
        <w:jc w:val="center"/>
      </w:pPr>
      <w:r>
        <w:rPr>
          <w:b/>
          <w:i w:val="0"/>
          <w:sz w:val="20"/>
        </w:rPr>
        <w:t>Analyst: Equity Research (CFA)</w:t>
      </w:r>
    </w:p>
    <w:p>
      <w:pPr>
        <w:spacing w:after="320"/>
        <w:jc w:val="center"/>
      </w:pPr>
      <w:r>
        <w:rPr>
          <w:b w:val="0"/>
          <w:i w:val="0"/>
          <w:color w:val="555B66"/>
          <w:sz w:val="20"/>
        </w:rPr>
        <w:t>Report Date: 26 June 2026</w:t>
      </w:r>
    </w:p>
    <w:tbl>
      <w:tblPr>
        <w:tblStyle w:val="TableGrid"/>
        <w:tblW w:type="auto" w:w="0"/>
        <w:jc w:val="center"/>
        <w:tblLook w:firstColumn="1" w:firstRow="1" w:lastColumn="0" w:lastRow="0" w:noHBand="0" w:noVBand="1" w:val="04A0"/>
      </w:tblPr>
      <w:tblGrid>
        <w:gridCol w:w="10224"/>
      </w:tblGrid>
      <w:tr>
        <w:tc>
          <w:tcPr>
            <w:tcW w:type="dxa" w:w="10224"/>
            <w:shd w:val="clear" w:fill="FBF6E9"/>
          </w:tcPr>
          <w:p>
            <w:r>
              <w:rPr>
                <w:b/>
                <w:color w:val="8A6D0B"/>
                <w:sz w:val="16"/>
              </w:rPr>
              <w:t xml:space="preserve">For academic and illustrative use only. </w:t>
            </w:r>
            <w:r>
              <w:rPr>
                <w:color w:val="555B66"/>
                <w:sz w:val="16"/>
              </w:rPr>
              <w:t>This Stock Note is prepared for an MBA Finance capstone and follows CFA Institute research reporting essentials. It is not investment advice and not an offer to buy or sell any security. Financial data is taken from the uploaded model (United Spirits Excell.xlsx), the company filing (fy 2026.xlsx) and the FY2025 Annual Report. Industry, quarterly and macro information is taken from public sources that are cited in the text. Third party content has been put in our own words to respect licensing rules.</w:t>
            </w:r>
          </w:p>
        </w:tc>
      </w:tr>
    </w:tbl>
    <w:p>
      <w:r>
        <w:br w:type="page"/>
      </w:r>
    </w:p>
    <w:p>
      <w:pPr>
        <w:spacing w:before="200" w:after="80"/>
        <w:pBdr>
          <w:bottom w:val="single" w:sz="8" w:space="3" w:color="0B2545"/>
        </w:pBdr>
      </w:pPr>
      <w:r>
        <w:rPr>
          <w:b/>
          <w:color w:val="0B2545"/>
          <w:sz w:val="28"/>
        </w:rPr>
        <w:t>United Spirits Ltd  |  Stock Note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296"/>
            <w:shd w:val="clear" w:fill="0B2545"/>
          </w:tcPr>
          <w:p>
            <w:pPr>
              <w:spacing w:after="20" w:before="20"/>
              <w:jc w:val="left"/>
            </w:pPr>
            <w:r/>
            <w:r>
              <w:rPr>
                <w:b/>
                <w:color w:val="FFFFFF"/>
                <w:sz w:val="16"/>
              </w:rPr>
              <w:t>Industry</w:t>
            </w:r>
          </w:p>
        </w:tc>
        <w:tc>
          <w:tcPr>
            <w:tcW w:type="dxa" w:w="1152"/>
            <w:shd w:val="clear" w:fill="0B2545"/>
          </w:tcPr>
          <w:p>
            <w:pPr>
              <w:spacing w:after="20" w:before="20"/>
              <w:jc w:val="center"/>
            </w:pPr>
            <w:r/>
            <w:r>
              <w:rPr>
                <w:b/>
                <w:color w:val="FFFFFF"/>
                <w:sz w:val="16"/>
              </w:rPr>
              <w:t>CMP (Rs)</w:t>
            </w:r>
          </w:p>
        </w:tc>
        <w:tc>
          <w:tcPr>
            <w:tcW w:type="dxa" w:w="3456"/>
            <w:shd w:val="clear" w:fill="0B2545"/>
          </w:tcPr>
          <w:p>
            <w:pPr>
              <w:spacing w:after="20" w:before="20"/>
              <w:jc w:val="center"/>
            </w:pPr>
            <w:r/>
            <w:r>
              <w:rPr>
                <w:b/>
                <w:color w:val="FFFFFF"/>
                <w:sz w:val="16"/>
              </w:rPr>
              <w:t>Recommendation</w:t>
            </w:r>
          </w:p>
        </w:tc>
        <w:tc>
          <w:tcPr>
            <w:tcW w:type="dxa" w:w="1368"/>
            <w:shd w:val="clear" w:fill="0B2545"/>
          </w:tcPr>
          <w:p>
            <w:pPr>
              <w:spacing w:after="20" w:before="20"/>
              <w:jc w:val="center"/>
            </w:pPr>
            <w:r/>
            <w:r>
              <w:rPr>
                <w:b/>
                <w:color w:val="FFFFFF"/>
                <w:sz w:val="16"/>
              </w:rPr>
              <w:t>Base Case FV</w:t>
            </w:r>
          </w:p>
        </w:tc>
        <w:tc>
          <w:tcPr>
            <w:tcW w:type="dxa" w:w="1368"/>
            <w:shd w:val="clear" w:fill="0B2545"/>
          </w:tcPr>
          <w:p>
            <w:pPr>
              <w:spacing w:after="20" w:before="20"/>
              <w:jc w:val="center"/>
            </w:pPr>
            <w:r/>
            <w:r>
              <w:rPr>
                <w:b/>
                <w:color w:val="FFFFFF"/>
                <w:sz w:val="16"/>
              </w:rPr>
              <w:t>Bull Case FV</w:t>
            </w:r>
          </w:p>
        </w:tc>
        <w:tc>
          <w:tcPr>
            <w:tcW w:type="dxa" w:w="1296"/>
            <w:shd w:val="clear" w:fill="0B2545"/>
          </w:tcPr>
          <w:p>
            <w:pPr>
              <w:spacing w:after="20" w:before="20"/>
              <w:jc w:val="center"/>
            </w:pPr>
            <w:r/>
            <w:r>
              <w:rPr>
                <w:b/>
                <w:color w:val="FFFFFF"/>
                <w:sz w:val="16"/>
              </w:rPr>
              <w:t>Horizon</w:t>
            </w:r>
          </w:p>
        </w:tc>
      </w:tr>
      <w:tr>
        <w:tc>
          <w:tcPr>
            <w:tcW w:type="dxa" w:w="1296"/>
          </w:tcPr>
          <w:p>
            <w:pPr>
              <w:spacing w:after="20" w:before="20"/>
              <w:jc w:val="left"/>
            </w:pPr>
            <w:r/>
            <w:r>
              <w:rPr>
                <w:b/>
                <w:sz w:val="16"/>
              </w:rPr>
              <w:t>Alcobev</w:t>
            </w:r>
          </w:p>
        </w:tc>
        <w:tc>
          <w:tcPr>
            <w:tcW w:type="dxa" w:w="1152"/>
          </w:tcPr>
          <w:p>
            <w:pPr>
              <w:spacing w:after="20" w:before="20"/>
              <w:jc w:val="center"/>
            </w:pPr>
            <w:r/>
            <w:r>
              <w:rPr>
                <w:b w:val="0"/>
                <w:sz w:val="16"/>
              </w:rPr>
              <w:t>1,343</w:t>
            </w:r>
          </w:p>
        </w:tc>
        <w:tc>
          <w:tcPr>
            <w:tcW w:type="dxa" w:w="3456"/>
          </w:tcPr>
          <w:p>
            <w:pPr>
              <w:spacing w:after="20" w:before="20"/>
              <w:jc w:val="center"/>
            </w:pPr>
            <w:r/>
            <w:r>
              <w:rPr>
                <w:b w:val="0"/>
                <w:sz w:val="16"/>
              </w:rPr>
              <w:t>HOLD; add on dips in Rs 1,150-1,200 band</w:t>
            </w:r>
          </w:p>
        </w:tc>
        <w:tc>
          <w:tcPr>
            <w:tcW w:type="dxa" w:w="1368"/>
          </w:tcPr>
          <w:p>
            <w:pPr>
              <w:spacing w:after="20" w:before="20"/>
              <w:jc w:val="center"/>
            </w:pPr>
            <w:r/>
            <w:r>
              <w:rPr>
                <w:b w:val="0"/>
                <w:sz w:val="16"/>
              </w:rPr>
              <w:t>Rs 1,348</w:t>
            </w:r>
          </w:p>
        </w:tc>
        <w:tc>
          <w:tcPr>
            <w:tcW w:type="dxa" w:w="1368"/>
          </w:tcPr>
          <w:p>
            <w:pPr>
              <w:spacing w:after="20" w:before="20"/>
              <w:jc w:val="center"/>
            </w:pPr>
            <w:r/>
            <w:r>
              <w:rPr>
                <w:b w:val="0"/>
                <w:sz w:val="16"/>
              </w:rPr>
              <w:t>Rs 1,500</w:t>
            </w:r>
          </w:p>
        </w:tc>
        <w:tc>
          <w:tcPr>
            <w:tcW w:type="dxa" w:w="1296"/>
          </w:tcPr>
          <w:p>
            <w:pPr>
              <w:spacing w:after="20" w:before="20"/>
              <w:jc w:val="center"/>
            </w:pPr>
            <w:r/>
            <w:r>
              <w:rPr>
                <w:b w:val="0"/>
                <w:sz w:val="16"/>
              </w:rPr>
              <w:t>12 months</w:t>
            </w:r>
          </w:p>
        </w:tc>
      </w:tr>
    </w:tbl>
    <w:p>
      <w:pPr>
        <w:spacing w:after="40"/>
      </w:pPr>
    </w:p>
    <w:p>
      <w:pPr>
        <w:spacing w:before="160" w:after="60"/>
      </w:pPr>
      <w:r>
        <w:rPr>
          <w:b/>
          <w:color w:val="13558C"/>
          <w:sz w:val="22"/>
        </w:rPr>
        <w:t>Stock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shd w:val="clear" w:fill="0B2545"/>
          </w:tcPr>
          <w:p>
            <w:pPr>
              <w:spacing w:after="20" w:before="20"/>
              <w:jc w:val="left"/>
            </w:pPr>
            <w:r/>
            <w:r>
              <w:rPr>
                <w:b/>
                <w:color w:val="FFFFFF"/>
                <w:sz w:val="16"/>
              </w:rPr>
              <w:t>Particulars</w:t>
            </w:r>
          </w:p>
        </w:tc>
        <w:tc>
          <w:tcPr>
            <w:tcW w:type="dxa" w:w="2088"/>
            <w:shd w:val="clear" w:fill="0B2545"/>
          </w:tcPr>
          <w:p>
            <w:pPr>
              <w:spacing w:after="20" w:before="20"/>
              <w:jc w:val="center"/>
            </w:pPr>
            <w:r/>
            <w:r>
              <w:rPr>
                <w:b/>
                <w:color w:val="FFFFFF"/>
                <w:sz w:val="16"/>
              </w:rPr>
              <w:t>Value</w:t>
            </w:r>
          </w:p>
        </w:tc>
        <w:tc>
          <w:tcPr>
            <w:tcW w:type="dxa" w:w="2736"/>
            <w:shd w:val="clear" w:fill="0B2545"/>
          </w:tcPr>
          <w:p>
            <w:pPr>
              <w:spacing w:after="20" w:before="20"/>
              <w:jc w:val="center"/>
            </w:pPr>
            <w:r/>
            <w:r>
              <w:rPr>
                <w:b/>
                <w:color w:val="FFFFFF"/>
                <w:sz w:val="16"/>
              </w:rPr>
              <w:t>Particulars</w:t>
            </w:r>
          </w:p>
        </w:tc>
        <w:tc>
          <w:tcPr>
            <w:tcW w:type="dxa" w:w="2088"/>
            <w:shd w:val="clear" w:fill="0B2545"/>
          </w:tcPr>
          <w:p>
            <w:pPr>
              <w:spacing w:after="20" w:before="20"/>
              <w:jc w:val="center"/>
            </w:pPr>
            <w:r/>
            <w:r>
              <w:rPr>
                <w:b/>
                <w:color w:val="FFFFFF"/>
                <w:sz w:val="16"/>
              </w:rPr>
              <w:t>Value</w:t>
            </w:r>
          </w:p>
        </w:tc>
      </w:tr>
      <w:tr>
        <w:tc>
          <w:tcPr>
            <w:tcW w:type="dxa" w:w="2736"/>
          </w:tcPr>
          <w:p>
            <w:pPr>
              <w:spacing w:after="20" w:before="20"/>
              <w:jc w:val="left"/>
            </w:pPr>
            <w:r/>
            <w:r>
              <w:rPr>
                <w:b/>
                <w:sz w:val="16"/>
              </w:rPr>
              <w:t>NSE Code</w:t>
            </w:r>
          </w:p>
        </w:tc>
        <w:tc>
          <w:tcPr>
            <w:tcW w:type="dxa" w:w="2088"/>
          </w:tcPr>
          <w:p>
            <w:pPr>
              <w:spacing w:after="20" w:before="20"/>
              <w:jc w:val="center"/>
            </w:pPr>
            <w:r/>
            <w:r>
              <w:rPr>
                <w:b w:val="0"/>
                <w:sz w:val="16"/>
              </w:rPr>
              <w:t>UNITDSPR</w:t>
            </w:r>
          </w:p>
        </w:tc>
        <w:tc>
          <w:tcPr>
            <w:tcW w:type="dxa" w:w="2736"/>
          </w:tcPr>
          <w:p>
            <w:pPr>
              <w:spacing w:after="20" w:before="20"/>
              <w:jc w:val="center"/>
            </w:pPr>
            <w:r/>
            <w:r>
              <w:rPr>
                <w:b w:val="0"/>
                <w:sz w:val="16"/>
              </w:rPr>
              <w:t>Market Cap (Rs cr)</w:t>
            </w:r>
          </w:p>
        </w:tc>
        <w:tc>
          <w:tcPr>
            <w:tcW w:type="dxa" w:w="2088"/>
          </w:tcPr>
          <w:p>
            <w:pPr>
              <w:spacing w:after="20" w:before="20"/>
              <w:jc w:val="center"/>
            </w:pPr>
            <w:r/>
            <w:r>
              <w:rPr>
                <w:b w:val="0"/>
                <w:sz w:val="16"/>
              </w:rPr>
              <w:t>96,453</w:t>
            </w:r>
          </w:p>
        </w:tc>
      </w:tr>
      <w:tr>
        <w:tc>
          <w:tcPr>
            <w:tcW w:type="dxa" w:w="2736"/>
            <w:shd w:val="clear" w:fill="EEF2F7"/>
          </w:tcPr>
          <w:p>
            <w:pPr>
              <w:spacing w:after="20" w:before="20"/>
              <w:jc w:val="left"/>
            </w:pPr>
            <w:r/>
            <w:r>
              <w:rPr>
                <w:b/>
                <w:sz w:val="16"/>
              </w:rPr>
              <w:t>BSE Code</w:t>
            </w:r>
          </w:p>
        </w:tc>
        <w:tc>
          <w:tcPr>
            <w:tcW w:type="dxa" w:w="2088"/>
            <w:shd w:val="clear" w:fill="EEF2F7"/>
          </w:tcPr>
          <w:p>
            <w:pPr>
              <w:spacing w:after="20" w:before="20"/>
              <w:jc w:val="center"/>
            </w:pPr>
            <w:r/>
            <w:r>
              <w:rPr>
                <w:b w:val="0"/>
                <w:sz w:val="16"/>
              </w:rPr>
              <w:t>532432</w:t>
            </w:r>
          </w:p>
        </w:tc>
        <w:tc>
          <w:tcPr>
            <w:tcW w:type="dxa" w:w="2736"/>
            <w:shd w:val="clear" w:fill="EEF2F7"/>
          </w:tcPr>
          <w:p>
            <w:pPr>
              <w:spacing w:after="20" w:before="20"/>
              <w:jc w:val="center"/>
            </w:pPr>
            <w:r/>
            <w:r>
              <w:rPr>
                <w:b w:val="0"/>
                <w:sz w:val="16"/>
              </w:rPr>
              <w:t>Enterprise Value (Rs cr)</w:t>
            </w:r>
          </w:p>
        </w:tc>
        <w:tc>
          <w:tcPr>
            <w:tcW w:type="dxa" w:w="2088"/>
            <w:shd w:val="clear" w:fill="EEF2F7"/>
          </w:tcPr>
          <w:p>
            <w:pPr>
              <w:spacing w:after="20" w:before="20"/>
              <w:jc w:val="center"/>
            </w:pPr>
            <w:r/>
            <w:r>
              <w:rPr>
                <w:b w:val="0"/>
                <w:sz w:val="16"/>
              </w:rPr>
              <w:t>93,726</w:t>
            </w:r>
          </w:p>
        </w:tc>
      </w:tr>
      <w:tr>
        <w:tc>
          <w:tcPr>
            <w:tcW w:type="dxa" w:w="2736"/>
          </w:tcPr>
          <w:p>
            <w:pPr>
              <w:spacing w:after="20" w:before="20"/>
              <w:jc w:val="left"/>
            </w:pPr>
            <w:r/>
            <w:r>
              <w:rPr>
                <w:b/>
                <w:sz w:val="16"/>
              </w:rPr>
              <w:t>Bloomberg</w:t>
            </w:r>
          </w:p>
        </w:tc>
        <w:tc>
          <w:tcPr>
            <w:tcW w:type="dxa" w:w="2088"/>
          </w:tcPr>
          <w:p>
            <w:pPr>
              <w:spacing w:after="20" w:before="20"/>
              <w:jc w:val="center"/>
            </w:pPr>
            <w:r/>
            <w:r>
              <w:rPr>
                <w:b w:val="0"/>
                <w:sz w:val="16"/>
              </w:rPr>
              <w:t>UNSP IN</w:t>
            </w:r>
          </w:p>
        </w:tc>
        <w:tc>
          <w:tcPr>
            <w:tcW w:type="dxa" w:w="2736"/>
          </w:tcPr>
          <w:p>
            <w:pPr>
              <w:spacing w:after="20" w:before="20"/>
              <w:jc w:val="center"/>
            </w:pPr>
            <w:r/>
            <w:r>
              <w:rPr>
                <w:b w:val="0"/>
                <w:sz w:val="16"/>
              </w:rPr>
              <w:t>52 Week High (Rs)</w:t>
            </w:r>
          </w:p>
        </w:tc>
        <w:tc>
          <w:tcPr>
            <w:tcW w:type="dxa" w:w="2088"/>
          </w:tcPr>
          <w:p>
            <w:pPr>
              <w:spacing w:after="20" w:before="20"/>
              <w:jc w:val="center"/>
            </w:pPr>
            <w:r/>
            <w:r>
              <w:rPr>
                <w:b w:val="0"/>
                <w:sz w:val="16"/>
              </w:rPr>
              <w:t>1,489</w:t>
            </w:r>
          </w:p>
        </w:tc>
      </w:tr>
      <w:tr>
        <w:tc>
          <w:tcPr>
            <w:tcW w:type="dxa" w:w="2736"/>
            <w:shd w:val="clear" w:fill="EEF2F7"/>
          </w:tcPr>
          <w:p>
            <w:pPr>
              <w:spacing w:after="20" w:before="20"/>
              <w:jc w:val="left"/>
            </w:pPr>
            <w:r/>
            <w:r>
              <w:rPr>
                <w:b/>
                <w:sz w:val="16"/>
              </w:rPr>
              <w:t>Face Value (Rs)</w:t>
            </w:r>
          </w:p>
        </w:tc>
        <w:tc>
          <w:tcPr>
            <w:tcW w:type="dxa" w:w="2088"/>
            <w:shd w:val="clear" w:fill="EEF2F7"/>
          </w:tcPr>
          <w:p>
            <w:pPr>
              <w:spacing w:after="20" w:before="20"/>
              <w:jc w:val="center"/>
            </w:pPr>
            <w:r/>
            <w:r>
              <w:rPr>
                <w:b w:val="0"/>
                <w:sz w:val="16"/>
              </w:rPr>
              <w:t>2</w:t>
            </w:r>
          </w:p>
        </w:tc>
        <w:tc>
          <w:tcPr>
            <w:tcW w:type="dxa" w:w="2736"/>
            <w:shd w:val="clear" w:fill="EEF2F7"/>
          </w:tcPr>
          <w:p>
            <w:pPr>
              <w:spacing w:after="20" w:before="20"/>
              <w:jc w:val="center"/>
            </w:pPr>
            <w:r/>
            <w:r>
              <w:rPr>
                <w:b w:val="0"/>
                <w:sz w:val="16"/>
              </w:rPr>
              <w:t>52 Week Low (Rs)</w:t>
            </w:r>
          </w:p>
        </w:tc>
        <w:tc>
          <w:tcPr>
            <w:tcW w:type="dxa" w:w="2088"/>
            <w:shd w:val="clear" w:fill="EEF2F7"/>
          </w:tcPr>
          <w:p>
            <w:pPr>
              <w:spacing w:after="20" w:before="20"/>
              <w:jc w:val="center"/>
            </w:pPr>
            <w:r/>
            <w:r>
              <w:rPr>
                <w:b w:val="0"/>
                <w:sz w:val="16"/>
              </w:rPr>
              <w:t>1,210</w:t>
            </w:r>
          </w:p>
        </w:tc>
      </w:tr>
      <w:tr>
        <w:tc>
          <w:tcPr>
            <w:tcW w:type="dxa" w:w="2736"/>
          </w:tcPr>
          <w:p>
            <w:pPr>
              <w:spacing w:after="20" w:before="20"/>
              <w:jc w:val="left"/>
            </w:pPr>
            <w:r/>
            <w:r>
              <w:rPr>
                <w:b/>
                <w:sz w:val="16"/>
              </w:rPr>
              <w:t>Equity Shares O/S (cr)</w:t>
            </w:r>
          </w:p>
        </w:tc>
        <w:tc>
          <w:tcPr>
            <w:tcW w:type="dxa" w:w="2088"/>
          </w:tcPr>
          <w:p>
            <w:pPr>
              <w:spacing w:after="20" w:before="20"/>
              <w:jc w:val="center"/>
            </w:pPr>
            <w:r/>
            <w:r>
              <w:rPr>
                <w:b w:val="0"/>
                <w:sz w:val="16"/>
              </w:rPr>
              <w:t>72.74</w:t>
            </w:r>
          </w:p>
        </w:tc>
        <w:tc>
          <w:tcPr>
            <w:tcW w:type="dxa" w:w="2736"/>
          </w:tcPr>
          <w:p>
            <w:pPr>
              <w:spacing w:after="20" w:before="20"/>
              <w:jc w:val="center"/>
            </w:pPr>
            <w:r/>
            <w:r>
              <w:rPr>
                <w:b w:val="0"/>
                <w:sz w:val="16"/>
              </w:rPr>
              <w:t>Promoter (Diageo) holding</w:t>
            </w:r>
          </w:p>
        </w:tc>
        <w:tc>
          <w:tcPr>
            <w:tcW w:type="dxa" w:w="2088"/>
          </w:tcPr>
          <w:p>
            <w:pPr>
              <w:spacing w:after="20" w:before="20"/>
              <w:jc w:val="center"/>
            </w:pPr>
            <w:r/>
            <w:r>
              <w:rPr>
                <w:b w:val="0"/>
                <w:sz w:val="16"/>
              </w:rPr>
              <w:t>About 56%</w:t>
            </w:r>
          </w:p>
        </w:tc>
      </w:tr>
      <w:tr>
        <w:tc>
          <w:tcPr>
            <w:tcW w:type="dxa" w:w="2736"/>
            <w:shd w:val="clear" w:fill="EEF2F7"/>
          </w:tcPr>
          <w:p>
            <w:pPr>
              <w:spacing w:after="20" w:before="20"/>
              <w:jc w:val="left"/>
            </w:pPr>
            <w:r/>
            <w:r>
              <w:rPr>
                <w:b/>
                <w:sz w:val="16"/>
              </w:rPr>
              <w:t>Equity Capital (Rs cr)</w:t>
            </w:r>
          </w:p>
        </w:tc>
        <w:tc>
          <w:tcPr>
            <w:tcW w:type="dxa" w:w="2088"/>
            <w:shd w:val="clear" w:fill="EEF2F7"/>
          </w:tcPr>
          <w:p>
            <w:pPr>
              <w:spacing w:after="20" w:before="20"/>
              <w:jc w:val="center"/>
            </w:pPr>
            <w:r/>
            <w:r>
              <w:rPr>
                <w:b w:val="0"/>
                <w:sz w:val="16"/>
              </w:rPr>
              <w:t>145</w:t>
            </w:r>
          </w:p>
        </w:tc>
        <w:tc>
          <w:tcPr>
            <w:tcW w:type="dxa" w:w="2736"/>
            <w:shd w:val="clear" w:fill="EEF2F7"/>
          </w:tcPr>
          <w:p>
            <w:pPr>
              <w:spacing w:after="20" w:before="20"/>
              <w:jc w:val="center"/>
            </w:pPr>
            <w:r/>
            <w:r>
              <w:rPr>
                <w:b w:val="0"/>
                <w:sz w:val="16"/>
              </w:rPr>
              <w:t>Public holding</w:t>
            </w:r>
          </w:p>
        </w:tc>
        <w:tc>
          <w:tcPr>
            <w:tcW w:type="dxa" w:w="2088"/>
            <w:shd w:val="clear" w:fill="EEF2F7"/>
          </w:tcPr>
          <w:p>
            <w:pPr>
              <w:spacing w:after="20" w:before="20"/>
              <w:jc w:val="center"/>
            </w:pPr>
            <w:r/>
            <w:r>
              <w:rPr>
                <w:b w:val="0"/>
                <w:sz w:val="16"/>
              </w:rPr>
              <w:t>About 44%</w:t>
            </w:r>
          </w:p>
        </w:tc>
      </w:tr>
    </w:tbl>
    <w:p>
      <w:pPr>
        <w:spacing w:after="40"/>
      </w:pPr>
    </w:p>
    <w:p>
      <w:pPr>
        <w:spacing w:before="160" w:after="60"/>
      </w:pPr>
      <w:r>
        <w:rPr>
          <w:b/>
          <w:color w:val="13558C"/>
          <w:sz w:val="22"/>
        </w:rPr>
        <w:t>Our Take</w:t>
      </w:r>
    </w:p>
    <w:p>
      <w:pPr>
        <w:spacing w:after="120"/>
        <w:jc w:val="both"/>
      </w:pPr>
      <w:r>
        <w:rPr>
          <w:b w:val="0"/>
          <w:i w:val="0"/>
          <w:sz w:val="20"/>
        </w:rPr>
        <w:t>United Spirits Limited (USL) is the largest beverage alcohol company in India. It makes, sells and distributes spirits such as whisky, brandy, rum, vodka and gin through a large set of Indian and global brands. USL is the India operating company of Diageo plc, the world leader in premium spirits, which owns about 56% of the equity. The company sells more than 60 brands, several of which sell over a million cases a year, and reaches consumers through more than 70,000 retail outlets and about 40 manufacturing sites across India.</w:t>
      </w:r>
    </w:p>
    <w:p>
      <w:pPr>
        <w:spacing w:after="120"/>
        <w:jc w:val="both"/>
      </w:pPr>
      <w:r>
        <w:rPr>
          <w:b w:val="0"/>
          <w:i w:val="0"/>
          <w:sz w:val="20"/>
        </w:rPr>
        <w:t>USL divides its brands into two groups. Prestige and Above (P&amp;A) is the premium part of the portfolio and now makes up close to 90% of net sales. Popular is the mass market part, which the company has reduced on purpose to focus on premium growth. The company has spent the last few years reshaping the portfolio towards luxury, premium and upper prestige brands. This is the heart of the investment story, because in India premium spirits are growing faster than mass market spirits, and premium brands earn much higher margins.</w:t>
      </w:r>
    </w:p>
    <w:p>
      <w:pPr>
        <w:spacing w:after="120"/>
        <w:jc w:val="both"/>
      </w:pPr>
      <w:r>
        <w:rPr>
          <w:b w:val="0"/>
          <w:i w:val="0"/>
          <w:sz w:val="20"/>
        </w:rPr>
        <w:t>The India spirits market has strong long term support. Per person alcohol consumption is still low, the population is young, cities are growing, incomes are rising and people are choosing better quality drinks. United Spirits is well placed to benefit because it is the clear leader in Indian whisky and has the widest premium portfolio. Two recent events stand out. In March 2026 USL sold its entire stake in the Royal Challengers Bengaluru (RCB) cricket franchise for Rs 16,660 crore in an all cash deal, which unlocks a large amount of value. The company also completed the purchase of craft gin maker NAO Spirits, which strengthens its presence in fast growing new categories.</w:t>
      </w:r>
    </w:p>
    <w:p>
      <w:pPr>
        <w:spacing w:after="120"/>
        <w:jc w:val="both"/>
      </w:pPr>
      <w:r>
        <w:rPr>
          <w:b w:val="0"/>
          <w:i w:val="0"/>
          <w:sz w:val="20"/>
        </w:rPr>
        <w:t>Our view: USL is a high quality, market leading business with a strong balance sheet and rising margins. The shares, however, already trade at rich multiples (about 57 times FY27 estimated earnings). The base case fair value is close to the current price, so the risk and reward look balanced. We rate the stock HOLD and would add on declines into the Rs 1,150 to Rs 1,200 band.</w:t>
      </w:r>
    </w:p>
    <w:p>
      <w:r>
        <w:br w:type="page"/>
      </w:r>
    </w:p>
    <w:p>
      <w:pPr>
        <w:spacing w:before="200" w:after="80"/>
        <w:pBdr>
          <w:bottom w:val="single" w:sz="8" w:space="3" w:color="0B2545"/>
        </w:pBdr>
      </w:pPr>
      <w:r>
        <w:rPr>
          <w:b/>
          <w:color w:val="0B2545"/>
          <w:sz w:val="28"/>
        </w:rPr>
        <w:t>Valuation and Recommendation</w:t>
      </w:r>
    </w:p>
    <w:p>
      <w:pPr>
        <w:spacing w:after="120"/>
        <w:jc w:val="both"/>
      </w:pPr>
      <w:r>
        <w:rPr>
          <w:b w:val="0"/>
          <w:i w:val="0"/>
          <w:sz w:val="20"/>
        </w:rPr>
        <w:t>Over the last few years United Spirits has reshaped its portfolio towards premium brands. The share of Prestige and Above in net sales has risen from about 66% several years ago to close to 90% today. The company keeps adding new premium products such as the Godawan single malt, Royal Challenge American Pride and flavoured spirits, and it has renovated older brands like Antiquity and Black Dog. We expect premiumisation and new launches to keep driving value led revenue growth of about 9% to 10% a year over the next two to three years, with margins improving slowly as the mix gets richer and as cost saving programmes help.</w:t>
      </w:r>
    </w:p>
    <w:p>
      <w:pPr>
        <w:spacing w:after="120"/>
        <w:jc w:val="both"/>
      </w:pPr>
      <w:r>
        <w:rPr>
          <w:b w:val="0"/>
          <w:i w:val="0"/>
          <w:sz w:val="20"/>
        </w:rPr>
        <w:t>We value USL using a blend of methods, which is the approach used in the uploaded model. We give 60% weight to EV to EBITDA, 20% to price to earnings, 5% to EV to EBIT and 15% to a discounted cash flow (DCF). The relative methods carry more weight because there are several listed Indian alcobev peers whose market multiples are useful and current, while the long horizon DCF is more sensitive to assumptions. This blend gives a base case fair value of Rs 1,348 per share, which is about 57 times FY27 estimated earnings. Our bull case fair value is Rs 1,500, about 64 times FY27 estimated earnings, which would apply if premiumisation accelerates and margins rise faster. Because the base case is close to the current price of Rs 1,343, we rate the stock HOLD and suggest adding on declines in the Rs 1,150 to Rs 1,200 band.</w:t>
      </w:r>
    </w:p>
    <w:p>
      <w:pPr>
        <w:spacing w:after="120"/>
        <w:jc w:val="both"/>
      </w:pPr>
      <w:r>
        <w:rPr>
          <w:b w:val="0"/>
          <w:i w:val="0"/>
          <w:sz w:val="20"/>
        </w:rPr>
        <w:t>Important point on the RCB sale: our fair value is built from the core spirits business and does not add the Rs 16,660 crore of cash from the RCB sale. Depending on how this cash is used, for example a special dividend, a buyback or reinvestment, it is a source of extra value above our base case. This is one reason we prefer HOLD rather than a more negative call.</w:t>
      </w:r>
    </w:p>
    <w:p>
      <w:pPr>
        <w:spacing w:before="160" w:after="60"/>
      </w:pPr>
      <w:r>
        <w:rPr>
          <w:b/>
          <w:color w:val="13558C"/>
          <w:sz w:val="22"/>
        </w:rPr>
        <w:t>Financial Summary</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2232"/>
            <w:shd w:val="clear" w:fill="0B2545"/>
          </w:tcPr>
          <w:p>
            <w:pPr>
              <w:spacing w:after="20" w:before="20"/>
              <w:jc w:val="left"/>
            </w:pPr>
            <w:r/>
            <w:r>
              <w:rPr>
                <w:b/>
                <w:color w:val="FFFFFF"/>
                <w:sz w:val="15"/>
              </w:rPr>
              <w:t>Particulars (Rs cr)</w:t>
            </w:r>
          </w:p>
        </w:tc>
        <w:tc>
          <w:tcPr>
            <w:tcW w:type="dxa" w:w="1037"/>
            <w:shd w:val="clear" w:fill="0B2545"/>
          </w:tcPr>
          <w:p>
            <w:pPr>
              <w:spacing w:after="20" w:before="20"/>
              <w:jc w:val="center"/>
            </w:pPr>
            <w:r/>
            <w:r>
              <w:rPr>
                <w:b/>
                <w:color w:val="FFFFFF"/>
                <w:sz w:val="15"/>
              </w:rPr>
              <w:t>Q4FY26</w:t>
            </w:r>
          </w:p>
        </w:tc>
        <w:tc>
          <w:tcPr>
            <w:tcW w:type="dxa" w:w="1037"/>
            <w:shd w:val="clear" w:fill="0B2545"/>
          </w:tcPr>
          <w:p>
            <w:pPr>
              <w:spacing w:after="20" w:before="20"/>
              <w:jc w:val="center"/>
            </w:pPr>
            <w:r/>
            <w:r>
              <w:rPr>
                <w:b/>
                <w:color w:val="FFFFFF"/>
                <w:sz w:val="15"/>
              </w:rPr>
              <w:t>Q4FY25</w:t>
            </w:r>
          </w:p>
        </w:tc>
        <w:tc>
          <w:tcPr>
            <w:tcW w:type="dxa" w:w="864"/>
            <w:shd w:val="clear" w:fill="0B2545"/>
          </w:tcPr>
          <w:p>
            <w:pPr>
              <w:spacing w:after="20" w:before="20"/>
              <w:jc w:val="center"/>
            </w:pPr>
            <w:r/>
            <w:r>
              <w:rPr>
                <w:b/>
                <w:color w:val="FFFFFF"/>
                <w:sz w:val="15"/>
              </w:rPr>
              <w:t>YoY %</w:t>
            </w:r>
          </w:p>
        </w:tc>
        <w:tc>
          <w:tcPr>
            <w:tcW w:type="dxa" w:w="1037"/>
            <w:shd w:val="clear" w:fill="0B2545"/>
          </w:tcPr>
          <w:p>
            <w:pPr>
              <w:spacing w:after="20" w:before="20"/>
              <w:jc w:val="center"/>
            </w:pPr>
            <w:r/>
            <w:r>
              <w:rPr>
                <w:b/>
                <w:color w:val="FFFFFF"/>
                <w:sz w:val="15"/>
              </w:rPr>
              <w:t>Q3FY26</w:t>
            </w:r>
          </w:p>
        </w:tc>
        <w:tc>
          <w:tcPr>
            <w:tcW w:type="dxa" w:w="893"/>
            <w:shd w:val="clear" w:fill="0B2545"/>
          </w:tcPr>
          <w:p>
            <w:pPr>
              <w:spacing w:after="20" w:before="20"/>
              <w:jc w:val="center"/>
            </w:pPr>
            <w:r/>
            <w:r>
              <w:rPr>
                <w:b/>
                <w:color w:val="FFFFFF"/>
                <w:sz w:val="15"/>
              </w:rPr>
              <w:t>QoQ %</w:t>
            </w:r>
          </w:p>
        </w:tc>
        <w:tc>
          <w:tcPr>
            <w:tcW w:type="dxa" w:w="1037"/>
            <w:shd w:val="clear" w:fill="0B2545"/>
          </w:tcPr>
          <w:p>
            <w:pPr>
              <w:spacing w:after="20" w:before="20"/>
              <w:jc w:val="center"/>
            </w:pPr>
            <w:r/>
            <w:r>
              <w:rPr>
                <w:b/>
                <w:color w:val="FFFFFF"/>
                <w:sz w:val="15"/>
              </w:rPr>
              <w:t>FY25</w:t>
            </w:r>
          </w:p>
        </w:tc>
        <w:tc>
          <w:tcPr>
            <w:tcW w:type="dxa" w:w="1037"/>
            <w:shd w:val="clear" w:fill="0B2545"/>
          </w:tcPr>
          <w:p>
            <w:pPr>
              <w:spacing w:after="20" w:before="20"/>
              <w:jc w:val="center"/>
            </w:pPr>
            <w:r/>
            <w:r>
              <w:rPr>
                <w:b/>
                <w:color w:val="FFFFFF"/>
                <w:sz w:val="15"/>
              </w:rPr>
              <w:t>FY26</w:t>
            </w:r>
          </w:p>
        </w:tc>
        <w:tc>
          <w:tcPr>
            <w:tcW w:type="dxa" w:w="1037"/>
            <w:shd w:val="clear" w:fill="0B2545"/>
          </w:tcPr>
          <w:p>
            <w:pPr>
              <w:spacing w:after="20" w:before="20"/>
              <w:jc w:val="center"/>
            </w:pPr>
            <w:r/>
            <w:r>
              <w:rPr>
                <w:b/>
                <w:color w:val="FFFFFF"/>
                <w:sz w:val="15"/>
              </w:rPr>
              <w:t>FY27E</w:t>
            </w:r>
          </w:p>
        </w:tc>
        <w:tc>
          <w:tcPr>
            <w:tcW w:type="dxa" w:w="1037"/>
            <w:shd w:val="clear" w:fill="0B2545"/>
          </w:tcPr>
          <w:p>
            <w:pPr>
              <w:spacing w:after="20" w:before="20"/>
              <w:jc w:val="center"/>
            </w:pPr>
            <w:r/>
            <w:r>
              <w:rPr>
                <w:b/>
                <w:color w:val="FFFFFF"/>
                <w:sz w:val="15"/>
              </w:rPr>
              <w:t>FY28E</w:t>
            </w:r>
          </w:p>
        </w:tc>
      </w:tr>
      <w:tr>
        <w:tc>
          <w:tcPr>
            <w:tcW w:type="dxa" w:w="2232"/>
          </w:tcPr>
          <w:p>
            <w:pPr>
              <w:spacing w:after="20" w:before="20"/>
              <w:jc w:val="left"/>
            </w:pPr>
            <w:r/>
            <w:r>
              <w:rPr>
                <w:b/>
                <w:sz w:val="15"/>
              </w:rPr>
              <w:t>Net Sales Value</w:t>
            </w:r>
          </w:p>
        </w:tc>
        <w:tc>
          <w:tcPr>
            <w:tcW w:type="dxa" w:w="1037"/>
          </w:tcPr>
          <w:p>
            <w:pPr>
              <w:spacing w:after="20" w:before="20"/>
              <w:jc w:val="center"/>
            </w:pPr>
            <w:r/>
            <w:r>
              <w:rPr>
                <w:b w:val="0"/>
                <w:sz w:val="15"/>
              </w:rPr>
              <w:t>3,046</w:t>
            </w:r>
          </w:p>
        </w:tc>
        <w:tc>
          <w:tcPr>
            <w:tcW w:type="dxa" w:w="1037"/>
          </w:tcPr>
          <w:p>
            <w:pPr>
              <w:spacing w:after="20" w:before="20"/>
              <w:jc w:val="center"/>
            </w:pPr>
            <w:r/>
            <w:r>
              <w:rPr>
                <w:b w:val="0"/>
                <w:sz w:val="15"/>
              </w:rPr>
              <w:t>2,946</w:t>
            </w:r>
          </w:p>
        </w:tc>
        <w:tc>
          <w:tcPr>
            <w:tcW w:type="dxa" w:w="864"/>
          </w:tcPr>
          <w:p>
            <w:pPr>
              <w:spacing w:after="20" w:before="20"/>
              <w:jc w:val="center"/>
            </w:pPr>
            <w:r/>
            <w:r>
              <w:rPr>
                <w:b w:val="0"/>
                <w:sz w:val="15"/>
              </w:rPr>
              <w:t>3.4</w:t>
            </w:r>
          </w:p>
        </w:tc>
        <w:tc>
          <w:tcPr>
            <w:tcW w:type="dxa" w:w="1037"/>
          </w:tcPr>
          <w:p>
            <w:pPr>
              <w:spacing w:after="20" w:before="20"/>
              <w:jc w:val="center"/>
            </w:pPr>
            <w:r/>
            <w:r>
              <w:rPr>
                <w:b w:val="0"/>
                <w:sz w:val="15"/>
              </w:rPr>
              <w:t>3,683</w:t>
            </w:r>
          </w:p>
        </w:tc>
        <w:tc>
          <w:tcPr>
            <w:tcW w:type="dxa" w:w="893"/>
          </w:tcPr>
          <w:p>
            <w:pPr>
              <w:spacing w:after="20" w:before="20"/>
              <w:jc w:val="center"/>
            </w:pPr>
            <w:r/>
            <w:r>
              <w:rPr>
                <w:b w:val="0"/>
                <w:sz w:val="15"/>
              </w:rPr>
              <w:t>-17.3</w:t>
            </w:r>
          </w:p>
        </w:tc>
        <w:tc>
          <w:tcPr>
            <w:tcW w:type="dxa" w:w="1037"/>
          </w:tcPr>
          <w:p>
            <w:pPr>
              <w:spacing w:after="20" w:before="20"/>
              <w:jc w:val="center"/>
            </w:pPr>
            <w:r/>
            <w:r>
              <w:rPr>
                <w:b w:val="0"/>
                <w:sz w:val="15"/>
              </w:rPr>
              <w:t>12,069</w:t>
            </w:r>
          </w:p>
        </w:tc>
        <w:tc>
          <w:tcPr>
            <w:tcW w:type="dxa" w:w="1037"/>
          </w:tcPr>
          <w:p>
            <w:pPr>
              <w:spacing w:after="20" w:before="20"/>
              <w:jc w:val="center"/>
            </w:pPr>
            <w:r/>
            <w:r>
              <w:rPr>
                <w:b w:val="0"/>
                <w:sz w:val="15"/>
              </w:rPr>
              <w:t>12,467</w:t>
            </w:r>
          </w:p>
        </w:tc>
        <w:tc>
          <w:tcPr>
            <w:tcW w:type="dxa" w:w="1037"/>
          </w:tcPr>
          <w:p>
            <w:pPr>
              <w:spacing w:after="20" w:before="20"/>
              <w:jc w:val="center"/>
            </w:pPr>
            <w:r/>
            <w:r>
              <w:rPr>
                <w:b w:val="0"/>
                <w:sz w:val="15"/>
              </w:rPr>
              <w:t>13,589</w:t>
            </w:r>
          </w:p>
        </w:tc>
        <w:tc>
          <w:tcPr>
            <w:tcW w:type="dxa" w:w="1037"/>
          </w:tcPr>
          <w:p>
            <w:pPr>
              <w:spacing w:after="20" w:before="20"/>
              <w:jc w:val="center"/>
            </w:pPr>
            <w:r/>
            <w:r>
              <w:rPr>
                <w:b w:val="0"/>
                <w:sz w:val="15"/>
              </w:rPr>
              <w:t>14,812</w:t>
            </w:r>
          </w:p>
        </w:tc>
      </w:tr>
      <w:tr>
        <w:tc>
          <w:tcPr>
            <w:tcW w:type="dxa" w:w="2232"/>
            <w:shd w:val="clear" w:fill="EEF2F7"/>
          </w:tcPr>
          <w:p>
            <w:pPr>
              <w:spacing w:after="20" w:before="20"/>
              <w:jc w:val="left"/>
            </w:pPr>
            <w:r/>
            <w:r>
              <w:rPr>
                <w:b/>
                <w:sz w:val="15"/>
              </w:rPr>
              <w:t>EBITDA</w:t>
            </w:r>
          </w:p>
        </w:tc>
        <w:tc>
          <w:tcPr>
            <w:tcW w:type="dxa" w:w="1037"/>
            <w:shd w:val="clear" w:fill="EEF2F7"/>
          </w:tcPr>
          <w:p>
            <w:pPr>
              <w:spacing w:after="20" w:before="20"/>
              <w:jc w:val="center"/>
            </w:pPr>
            <w:r/>
            <w:r>
              <w:rPr>
                <w:b w:val="0"/>
                <w:sz w:val="15"/>
              </w:rPr>
              <w:t>591</w:t>
            </w:r>
          </w:p>
        </w:tc>
        <w:tc>
          <w:tcPr>
            <w:tcW w:type="dxa" w:w="1037"/>
            <w:shd w:val="clear" w:fill="EEF2F7"/>
          </w:tcPr>
          <w:p>
            <w:pPr>
              <w:spacing w:after="20" w:before="20"/>
              <w:jc w:val="center"/>
            </w:pPr>
            <w:r/>
            <w:r>
              <w:rPr>
                <w:b w:val="0"/>
                <w:sz w:val="15"/>
              </w:rPr>
              <w:t>505</w:t>
            </w:r>
          </w:p>
        </w:tc>
        <w:tc>
          <w:tcPr>
            <w:tcW w:type="dxa" w:w="864"/>
            <w:shd w:val="clear" w:fill="EEF2F7"/>
          </w:tcPr>
          <w:p>
            <w:pPr>
              <w:spacing w:after="20" w:before="20"/>
              <w:jc w:val="center"/>
            </w:pPr>
            <w:r/>
            <w:r>
              <w:rPr>
                <w:b w:val="0"/>
                <w:sz w:val="15"/>
              </w:rPr>
              <w:t>17.0</w:t>
            </w:r>
          </w:p>
        </w:tc>
        <w:tc>
          <w:tcPr>
            <w:tcW w:type="dxa" w:w="1037"/>
            <w:shd w:val="clear" w:fill="EEF2F7"/>
          </w:tcPr>
          <w:p>
            <w:pPr>
              <w:spacing w:after="20" w:before="20"/>
              <w:jc w:val="center"/>
            </w:pPr>
            <w:r/>
            <w:r>
              <w:rPr>
                <w:b w:val="0"/>
                <w:sz w:val="15"/>
              </w:rPr>
              <w:t>618</w:t>
            </w:r>
          </w:p>
        </w:tc>
        <w:tc>
          <w:tcPr>
            <w:tcW w:type="dxa" w:w="893"/>
            <w:shd w:val="clear" w:fill="EEF2F7"/>
          </w:tcPr>
          <w:p>
            <w:pPr>
              <w:spacing w:after="20" w:before="20"/>
              <w:jc w:val="center"/>
            </w:pPr>
            <w:r/>
            <w:r>
              <w:rPr>
                <w:b w:val="0"/>
                <w:sz w:val="15"/>
              </w:rPr>
              <w:t>-4.4</w:t>
            </w:r>
          </w:p>
        </w:tc>
        <w:tc>
          <w:tcPr>
            <w:tcW w:type="dxa" w:w="1037"/>
            <w:shd w:val="clear" w:fill="EEF2F7"/>
          </w:tcPr>
          <w:p>
            <w:pPr>
              <w:spacing w:after="20" w:before="20"/>
              <w:jc w:val="center"/>
            </w:pPr>
            <w:r/>
            <w:r>
              <w:rPr>
                <w:b w:val="0"/>
                <w:sz w:val="15"/>
              </w:rPr>
              <w:t>2,236</w:t>
            </w:r>
          </w:p>
        </w:tc>
        <w:tc>
          <w:tcPr>
            <w:tcW w:type="dxa" w:w="1037"/>
            <w:shd w:val="clear" w:fill="EEF2F7"/>
          </w:tcPr>
          <w:p>
            <w:pPr>
              <w:spacing w:after="20" w:before="20"/>
              <w:jc w:val="center"/>
            </w:pPr>
            <w:r/>
            <w:r>
              <w:rPr>
                <w:b w:val="0"/>
                <w:sz w:val="15"/>
              </w:rPr>
              <w:t>2,279</w:t>
            </w:r>
          </w:p>
        </w:tc>
        <w:tc>
          <w:tcPr>
            <w:tcW w:type="dxa" w:w="1037"/>
            <w:shd w:val="clear" w:fill="EEF2F7"/>
          </w:tcPr>
          <w:p>
            <w:pPr>
              <w:spacing w:after="20" w:before="20"/>
              <w:jc w:val="center"/>
            </w:pPr>
            <w:r/>
            <w:r>
              <w:rPr>
                <w:b w:val="0"/>
                <w:sz w:val="15"/>
              </w:rPr>
              <w:t>2,547</w:t>
            </w:r>
          </w:p>
        </w:tc>
        <w:tc>
          <w:tcPr>
            <w:tcW w:type="dxa" w:w="1037"/>
            <w:shd w:val="clear" w:fill="EEF2F7"/>
          </w:tcPr>
          <w:p>
            <w:pPr>
              <w:spacing w:after="20" w:before="20"/>
              <w:jc w:val="center"/>
            </w:pPr>
            <w:r/>
            <w:r>
              <w:rPr>
                <w:b w:val="0"/>
                <w:sz w:val="15"/>
              </w:rPr>
              <w:t>2,851</w:t>
            </w:r>
          </w:p>
        </w:tc>
      </w:tr>
      <w:tr>
        <w:tc>
          <w:tcPr>
            <w:tcW w:type="dxa" w:w="2232"/>
          </w:tcPr>
          <w:p>
            <w:pPr>
              <w:spacing w:after="20" w:before="20"/>
              <w:jc w:val="left"/>
            </w:pPr>
            <w:r/>
            <w:r>
              <w:rPr>
                <w:b/>
                <w:sz w:val="15"/>
              </w:rPr>
              <w:t>APAT</w:t>
            </w:r>
          </w:p>
        </w:tc>
        <w:tc>
          <w:tcPr>
            <w:tcW w:type="dxa" w:w="1037"/>
          </w:tcPr>
          <w:p>
            <w:pPr>
              <w:spacing w:after="20" w:before="20"/>
              <w:jc w:val="center"/>
            </w:pPr>
            <w:r/>
            <w:r>
              <w:rPr>
                <w:b w:val="0"/>
                <w:sz w:val="15"/>
              </w:rPr>
              <w:t>539</w:t>
            </w:r>
          </w:p>
        </w:tc>
        <w:tc>
          <w:tcPr>
            <w:tcW w:type="dxa" w:w="1037"/>
          </w:tcPr>
          <w:p>
            <w:pPr>
              <w:spacing w:after="20" w:before="20"/>
              <w:jc w:val="center"/>
            </w:pPr>
            <w:r/>
            <w:r>
              <w:rPr>
                <w:b w:val="0"/>
                <w:sz w:val="15"/>
              </w:rPr>
              <w:t>421</w:t>
            </w:r>
          </w:p>
        </w:tc>
        <w:tc>
          <w:tcPr>
            <w:tcW w:type="dxa" w:w="864"/>
          </w:tcPr>
          <w:p>
            <w:pPr>
              <w:spacing w:after="20" w:before="20"/>
              <w:jc w:val="center"/>
            </w:pPr>
            <w:r/>
            <w:r>
              <w:rPr>
                <w:b w:val="0"/>
                <w:sz w:val="15"/>
              </w:rPr>
              <w:t>28.0</w:t>
            </w:r>
          </w:p>
        </w:tc>
        <w:tc>
          <w:tcPr>
            <w:tcW w:type="dxa" w:w="1037"/>
          </w:tcPr>
          <w:p>
            <w:pPr>
              <w:spacing w:after="20" w:before="20"/>
              <w:jc w:val="center"/>
            </w:pPr>
            <w:r/>
            <w:r>
              <w:rPr>
                <w:b w:val="0"/>
                <w:sz w:val="15"/>
              </w:rPr>
              <w:t>418</w:t>
            </w:r>
          </w:p>
        </w:tc>
        <w:tc>
          <w:tcPr>
            <w:tcW w:type="dxa" w:w="893"/>
          </w:tcPr>
          <w:p>
            <w:pPr>
              <w:spacing w:after="20" w:before="20"/>
              <w:jc w:val="center"/>
            </w:pPr>
            <w:r/>
            <w:r>
              <w:rPr>
                <w:b w:val="0"/>
                <w:sz w:val="15"/>
              </w:rPr>
              <w:t>28.9</w:t>
            </w:r>
          </w:p>
        </w:tc>
        <w:tc>
          <w:tcPr>
            <w:tcW w:type="dxa" w:w="1037"/>
          </w:tcPr>
          <w:p>
            <w:pPr>
              <w:spacing w:after="20" w:before="20"/>
              <w:jc w:val="center"/>
            </w:pPr>
            <w:r/>
            <w:r>
              <w:rPr>
                <w:b w:val="0"/>
                <w:sz w:val="15"/>
              </w:rPr>
              <w:t>1,582</w:t>
            </w:r>
          </w:p>
        </w:tc>
        <w:tc>
          <w:tcPr>
            <w:tcW w:type="dxa" w:w="1037"/>
          </w:tcPr>
          <w:p>
            <w:pPr>
              <w:spacing w:after="20" w:before="20"/>
              <w:jc w:val="center"/>
            </w:pPr>
            <w:r/>
            <w:r>
              <w:rPr>
                <w:b w:val="0"/>
                <w:sz w:val="15"/>
              </w:rPr>
              <w:t>1,838</w:t>
            </w:r>
          </w:p>
        </w:tc>
        <w:tc>
          <w:tcPr>
            <w:tcW w:type="dxa" w:w="1037"/>
          </w:tcPr>
          <w:p>
            <w:pPr>
              <w:spacing w:after="20" w:before="20"/>
              <w:jc w:val="center"/>
            </w:pPr>
            <w:r/>
            <w:r>
              <w:rPr>
                <w:b w:val="0"/>
                <w:sz w:val="15"/>
              </w:rPr>
              <w:t>1,709</w:t>
            </w:r>
          </w:p>
        </w:tc>
        <w:tc>
          <w:tcPr>
            <w:tcW w:type="dxa" w:w="1037"/>
          </w:tcPr>
          <w:p>
            <w:pPr>
              <w:spacing w:after="20" w:before="20"/>
              <w:jc w:val="center"/>
            </w:pPr>
            <w:r/>
            <w:r>
              <w:rPr>
                <w:b w:val="0"/>
                <w:sz w:val="15"/>
              </w:rPr>
              <w:t>1,891</w:t>
            </w:r>
          </w:p>
        </w:tc>
      </w:tr>
      <w:tr>
        <w:tc>
          <w:tcPr>
            <w:tcW w:type="dxa" w:w="2232"/>
            <w:shd w:val="clear" w:fill="EEF2F7"/>
          </w:tcPr>
          <w:p>
            <w:pPr>
              <w:spacing w:after="20" w:before="20"/>
              <w:jc w:val="left"/>
            </w:pPr>
            <w:r/>
            <w:r>
              <w:rPr>
                <w:b/>
                <w:sz w:val="15"/>
              </w:rPr>
              <w:t>EPS (Rs)</w:t>
            </w:r>
          </w:p>
        </w:tc>
        <w:tc>
          <w:tcPr>
            <w:tcW w:type="dxa" w:w="1037"/>
            <w:shd w:val="clear" w:fill="EEF2F7"/>
          </w:tcPr>
          <w:p>
            <w:pPr>
              <w:spacing w:after="20" w:before="20"/>
              <w:jc w:val="center"/>
            </w:pPr>
            <w:r/>
            <w:r>
              <w:rPr>
                <w:b w:val="0"/>
                <w:sz w:val="15"/>
              </w:rPr>
              <w:t>7.4</w:t>
            </w:r>
          </w:p>
        </w:tc>
        <w:tc>
          <w:tcPr>
            <w:tcW w:type="dxa" w:w="1037"/>
            <w:shd w:val="clear" w:fill="EEF2F7"/>
          </w:tcPr>
          <w:p>
            <w:pPr>
              <w:spacing w:after="20" w:before="20"/>
              <w:jc w:val="center"/>
            </w:pPr>
            <w:r/>
            <w:r>
              <w:rPr>
                <w:b w:val="0"/>
                <w:sz w:val="15"/>
              </w:rPr>
              <w:t>5.8</w:t>
            </w:r>
          </w:p>
        </w:tc>
        <w:tc>
          <w:tcPr>
            <w:tcW w:type="dxa" w:w="864"/>
            <w:shd w:val="clear" w:fill="EEF2F7"/>
          </w:tcPr>
          <w:p>
            <w:pPr>
              <w:spacing w:after="20" w:before="20"/>
              <w:jc w:val="center"/>
            </w:pPr>
            <w:r/>
            <w:r>
              <w:rPr>
                <w:b w:val="0"/>
                <w:sz w:val="15"/>
              </w:rPr>
            </w:r>
          </w:p>
        </w:tc>
        <w:tc>
          <w:tcPr>
            <w:tcW w:type="dxa" w:w="1037"/>
            <w:shd w:val="clear" w:fill="EEF2F7"/>
          </w:tcPr>
          <w:p>
            <w:pPr>
              <w:spacing w:after="20" w:before="20"/>
              <w:jc w:val="center"/>
            </w:pPr>
            <w:r/>
            <w:r>
              <w:rPr>
                <w:b w:val="0"/>
                <w:sz w:val="15"/>
              </w:rPr>
              <w:t>5.7</w:t>
            </w:r>
          </w:p>
        </w:tc>
        <w:tc>
          <w:tcPr>
            <w:tcW w:type="dxa" w:w="893"/>
            <w:shd w:val="clear" w:fill="EEF2F7"/>
          </w:tcPr>
          <w:p>
            <w:pPr>
              <w:spacing w:after="20" w:before="20"/>
              <w:jc w:val="center"/>
            </w:pPr>
            <w:r/>
            <w:r>
              <w:rPr>
                <w:b w:val="0"/>
                <w:sz w:val="15"/>
              </w:rPr>
            </w:r>
          </w:p>
        </w:tc>
        <w:tc>
          <w:tcPr>
            <w:tcW w:type="dxa" w:w="1037"/>
            <w:shd w:val="clear" w:fill="EEF2F7"/>
          </w:tcPr>
          <w:p>
            <w:pPr>
              <w:spacing w:after="20" w:before="20"/>
              <w:jc w:val="center"/>
            </w:pPr>
            <w:r/>
            <w:r>
              <w:rPr>
                <w:b w:val="0"/>
                <w:sz w:val="15"/>
              </w:rPr>
              <w:t>21.8</w:t>
            </w:r>
          </w:p>
        </w:tc>
        <w:tc>
          <w:tcPr>
            <w:tcW w:type="dxa" w:w="1037"/>
            <w:shd w:val="clear" w:fill="EEF2F7"/>
          </w:tcPr>
          <w:p>
            <w:pPr>
              <w:spacing w:after="20" w:before="20"/>
              <w:jc w:val="center"/>
            </w:pPr>
            <w:r/>
            <w:r>
              <w:rPr>
                <w:b w:val="0"/>
                <w:sz w:val="15"/>
              </w:rPr>
              <w:t>25.3</w:t>
            </w:r>
          </w:p>
        </w:tc>
        <w:tc>
          <w:tcPr>
            <w:tcW w:type="dxa" w:w="1037"/>
            <w:shd w:val="clear" w:fill="EEF2F7"/>
          </w:tcPr>
          <w:p>
            <w:pPr>
              <w:spacing w:after="20" w:before="20"/>
              <w:jc w:val="center"/>
            </w:pPr>
            <w:r/>
            <w:r>
              <w:rPr>
                <w:b w:val="0"/>
                <w:sz w:val="15"/>
              </w:rPr>
              <w:t>23.5</w:t>
            </w:r>
          </w:p>
        </w:tc>
        <w:tc>
          <w:tcPr>
            <w:tcW w:type="dxa" w:w="1037"/>
            <w:shd w:val="clear" w:fill="EEF2F7"/>
          </w:tcPr>
          <w:p>
            <w:pPr>
              <w:spacing w:after="20" w:before="20"/>
              <w:jc w:val="center"/>
            </w:pPr>
            <w:r/>
            <w:r>
              <w:rPr>
                <w:b w:val="0"/>
                <w:sz w:val="15"/>
              </w:rPr>
              <w:t>26.0</w:t>
            </w:r>
          </w:p>
        </w:tc>
      </w:tr>
      <w:tr>
        <w:tc>
          <w:tcPr>
            <w:tcW w:type="dxa" w:w="2232"/>
          </w:tcPr>
          <w:p>
            <w:pPr>
              <w:spacing w:after="20" w:before="20"/>
              <w:jc w:val="left"/>
            </w:pPr>
            <w:r/>
            <w:r>
              <w:rPr>
                <w:b/>
                <w:sz w:val="15"/>
              </w:rPr>
              <w:t>EBITDA margin %</w:t>
            </w:r>
          </w:p>
        </w:tc>
        <w:tc>
          <w:tcPr>
            <w:tcW w:type="dxa" w:w="1037"/>
          </w:tcPr>
          <w:p>
            <w:pPr>
              <w:spacing w:after="20" w:before="20"/>
              <w:jc w:val="center"/>
            </w:pPr>
            <w:r/>
            <w:r>
              <w:rPr>
                <w:b w:val="0"/>
                <w:sz w:val="15"/>
              </w:rPr>
              <w:t>19.4</w:t>
            </w:r>
          </w:p>
        </w:tc>
        <w:tc>
          <w:tcPr>
            <w:tcW w:type="dxa" w:w="1037"/>
          </w:tcPr>
          <w:p>
            <w:pPr>
              <w:spacing w:after="20" w:before="20"/>
              <w:jc w:val="center"/>
            </w:pPr>
            <w:r/>
            <w:r>
              <w:rPr>
                <w:b w:val="0"/>
                <w:sz w:val="15"/>
              </w:rPr>
              <w:t>17.1</w:t>
            </w:r>
          </w:p>
        </w:tc>
        <w:tc>
          <w:tcPr>
            <w:tcW w:type="dxa" w:w="864"/>
          </w:tcPr>
          <w:p>
            <w:pPr>
              <w:spacing w:after="20" w:before="20"/>
              <w:jc w:val="center"/>
            </w:pPr>
            <w:r/>
            <w:r>
              <w:rPr>
                <w:b w:val="0"/>
                <w:sz w:val="15"/>
              </w:rPr>
            </w:r>
          </w:p>
        </w:tc>
        <w:tc>
          <w:tcPr>
            <w:tcW w:type="dxa" w:w="1037"/>
          </w:tcPr>
          <w:p>
            <w:pPr>
              <w:spacing w:after="20" w:before="20"/>
              <w:jc w:val="center"/>
            </w:pPr>
            <w:r/>
            <w:r>
              <w:rPr>
                <w:b w:val="0"/>
                <w:sz w:val="15"/>
              </w:rPr>
              <w:t>16.8</w:t>
            </w:r>
          </w:p>
        </w:tc>
        <w:tc>
          <w:tcPr>
            <w:tcW w:type="dxa" w:w="893"/>
          </w:tcPr>
          <w:p>
            <w:pPr>
              <w:spacing w:after="20" w:before="20"/>
              <w:jc w:val="center"/>
            </w:pPr>
            <w:r/>
            <w:r>
              <w:rPr>
                <w:b w:val="0"/>
                <w:sz w:val="15"/>
              </w:rPr>
            </w:r>
          </w:p>
        </w:tc>
        <w:tc>
          <w:tcPr>
            <w:tcW w:type="dxa" w:w="1037"/>
          </w:tcPr>
          <w:p>
            <w:pPr>
              <w:spacing w:after="20" w:before="20"/>
              <w:jc w:val="center"/>
            </w:pPr>
            <w:r/>
            <w:r>
              <w:rPr>
                <w:b w:val="0"/>
                <w:sz w:val="15"/>
              </w:rPr>
              <w:t>18.5</w:t>
            </w:r>
          </w:p>
        </w:tc>
        <w:tc>
          <w:tcPr>
            <w:tcW w:type="dxa" w:w="1037"/>
          </w:tcPr>
          <w:p>
            <w:pPr>
              <w:spacing w:after="20" w:before="20"/>
              <w:jc w:val="center"/>
            </w:pPr>
            <w:r/>
            <w:r>
              <w:rPr>
                <w:b w:val="0"/>
                <w:sz w:val="15"/>
              </w:rPr>
              <w:t>18.3</w:t>
            </w:r>
          </w:p>
        </w:tc>
        <w:tc>
          <w:tcPr>
            <w:tcW w:type="dxa" w:w="1037"/>
          </w:tcPr>
          <w:p>
            <w:pPr>
              <w:spacing w:after="20" w:before="20"/>
              <w:jc w:val="center"/>
            </w:pPr>
            <w:r/>
            <w:r>
              <w:rPr>
                <w:b w:val="0"/>
                <w:sz w:val="15"/>
              </w:rPr>
              <w:t>18.7</w:t>
            </w:r>
          </w:p>
        </w:tc>
        <w:tc>
          <w:tcPr>
            <w:tcW w:type="dxa" w:w="1037"/>
          </w:tcPr>
          <w:p>
            <w:pPr>
              <w:spacing w:after="20" w:before="20"/>
              <w:jc w:val="center"/>
            </w:pPr>
            <w:r/>
            <w:r>
              <w:rPr>
                <w:b w:val="0"/>
                <w:sz w:val="15"/>
              </w:rPr>
              <w:t>19.2</w:t>
            </w:r>
          </w:p>
        </w:tc>
      </w:tr>
      <w:tr>
        <w:tc>
          <w:tcPr>
            <w:tcW w:type="dxa" w:w="2232"/>
            <w:shd w:val="clear" w:fill="EEF2F7"/>
          </w:tcPr>
          <w:p>
            <w:pPr>
              <w:spacing w:after="20" w:before="20"/>
              <w:jc w:val="left"/>
            </w:pPr>
            <w:r/>
            <w:r>
              <w:rPr>
                <w:b/>
                <w:sz w:val="15"/>
              </w:rPr>
              <w:t>P/E (x)</w:t>
            </w:r>
          </w:p>
        </w:tc>
        <w:tc>
          <w:tcPr>
            <w:tcW w:type="dxa" w:w="1037"/>
            <w:shd w:val="clear" w:fill="EEF2F7"/>
          </w:tcPr>
          <w:p>
            <w:pPr>
              <w:spacing w:after="20" w:before="20"/>
              <w:jc w:val="center"/>
            </w:pPr>
            <w:r/>
            <w:r>
              <w:rPr>
                <w:b w:val="0"/>
                <w:sz w:val="15"/>
              </w:rPr>
            </w:r>
          </w:p>
        </w:tc>
        <w:tc>
          <w:tcPr>
            <w:tcW w:type="dxa" w:w="1037"/>
            <w:shd w:val="clear" w:fill="EEF2F7"/>
          </w:tcPr>
          <w:p>
            <w:pPr>
              <w:spacing w:after="20" w:before="20"/>
              <w:jc w:val="center"/>
            </w:pPr>
            <w:r/>
            <w:r>
              <w:rPr>
                <w:b w:val="0"/>
                <w:sz w:val="15"/>
              </w:rPr>
            </w:r>
          </w:p>
        </w:tc>
        <w:tc>
          <w:tcPr>
            <w:tcW w:type="dxa" w:w="864"/>
            <w:shd w:val="clear" w:fill="EEF2F7"/>
          </w:tcPr>
          <w:p>
            <w:pPr>
              <w:spacing w:after="20" w:before="20"/>
              <w:jc w:val="center"/>
            </w:pPr>
            <w:r/>
            <w:r>
              <w:rPr>
                <w:b w:val="0"/>
                <w:sz w:val="15"/>
              </w:rPr>
            </w:r>
          </w:p>
        </w:tc>
        <w:tc>
          <w:tcPr>
            <w:tcW w:type="dxa" w:w="1037"/>
            <w:shd w:val="clear" w:fill="EEF2F7"/>
          </w:tcPr>
          <w:p>
            <w:pPr>
              <w:spacing w:after="20" w:before="20"/>
              <w:jc w:val="center"/>
            </w:pPr>
            <w:r/>
            <w:r>
              <w:rPr>
                <w:b w:val="0"/>
                <w:sz w:val="15"/>
              </w:rPr>
            </w:r>
          </w:p>
        </w:tc>
        <w:tc>
          <w:tcPr>
            <w:tcW w:type="dxa" w:w="893"/>
            <w:shd w:val="clear" w:fill="EEF2F7"/>
          </w:tcPr>
          <w:p>
            <w:pPr>
              <w:spacing w:after="20" w:before="20"/>
              <w:jc w:val="center"/>
            </w:pPr>
            <w:r/>
            <w:r>
              <w:rPr>
                <w:b w:val="0"/>
                <w:sz w:val="15"/>
              </w:rPr>
            </w:r>
          </w:p>
        </w:tc>
        <w:tc>
          <w:tcPr>
            <w:tcW w:type="dxa" w:w="1037"/>
            <w:shd w:val="clear" w:fill="EEF2F7"/>
          </w:tcPr>
          <w:p>
            <w:pPr>
              <w:spacing w:after="20" w:before="20"/>
              <w:jc w:val="center"/>
            </w:pPr>
            <w:r/>
            <w:r>
              <w:rPr>
                <w:b w:val="0"/>
                <w:sz w:val="15"/>
              </w:rPr>
              <w:t>62</w:t>
            </w:r>
          </w:p>
        </w:tc>
        <w:tc>
          <w:tcPr>
            <w:tcW w:type="dxa" w:w="1037"/>
            <w:shd w:val="clear" w:fill="EEF2F7"/>
          </w:tcPr>
          <w:p>
            <w:pPr>
              <w:spacing w:after="20" w:before="20"/>
              <w:jc w:val="center"/>
            </w:pPr>
            <w:r/>
            <w:r>
              <w:rPr>
                <w:b w:val="0"/>
                <w:sz w:val="15"/>
              </w:rPr>
              <w:t>53</w:t>
            </w:r>
          </w:p>
        </w:tc>
        <w:tc>
          <w:tcPr>
            <w:tcW w:type="dxa" w:w="1037"/>
            <w:shd w:val="clear" w:fill="EEF2F7"/>
          </w:tcPr>
          <w:p>
            <w:pPr>
              <w:spacing w:after="20" w:before="20"/>
              <w:jc w:val="center"/>
            </w:pPr>
            <w:r/>
            <w:r>
              <w:rPr>
                <w:b w:val="0"/>
                <w:sz w:val="15"/>
              </w:rPr>
              <w:t>57</w:t>
            </w:r>
          </w:p>
        </w:tc>
        <w:tc>
          <w:tcPr>
            <w:tcW w:type="dxa" w:w="1037"/>
            <w:shd w:val="clear" w:fill="EEF2F7"/>
          </w:tcPr>
          <w:p>
            <w:pPr>
              <w:spacing w:after="20" w:before="20"/>
              <w:jc w:val="center"/>
            </w:pPr>
            <w:r/>
            <w:r>
              <w:rPr>
                <w:b w:val="0"/>
                <w:sz w:val="15"/>
              </w:rPr>
              <w:t>52</w:t>
            </w:r>
          </w:p>
        </w:tc>
      </w:tr>
      <w:tr>
        <w:tc>
          <w:tcPr>
            <w:tcW w:type="dxa" w:w="2232"/>
          </w:tcPr>
          <w:p>
            <w:pPr>
              <w:spacing w:after="20" w:before="20"/>
              <w:jc w:val="left"/>
            </w:pPr>
            <w:r/>
            <w:r>
              <w:rPr>
                <w:b/>
                <w:sz w:val="15"/>
              </w:rPr>
              <w:t>EV/EBITDA (x)</w:t>
            </w:r>
          </w:p>
        </w:tc>
        <w:tc>
          <w:tcPr>
            <w:tcW w:type="dxa" w:w="1037"/>
          </w:tcPr>
          <w:p>
            <w:pPr>
              <w:spacing w:after="20" w:before="20"/>
              <w:jc w:val="center"/>
            </w:pPr>
            <w:r/>
            <w:r>
              <w:rPr>
                <w:b w:val="0"/>
                <w:sz w:val="15"/>
              </w:rPr>
            </w:r>
          </w:p>
        </w:tc>
        <w:tc>
          <w:tcPr>
            <w:tcW w:type="dxa" w:w="1037"/>
          </w:tcPr>
          <w:p>
            <w:pPr>
              <w:spacing w:after="20" w:before="20"/>
              <w:jc w:val="center"/>
            </w:pPr>
            <w:r/>
            <w:r>
              <w:rPr>
                <w:b w:val="0"/>
                <w:sz w:val="15"/>
              </w:rPr>
            </w:r>
          </w:p>
        </w:tc>
        <w:tc>
          <w:tcPr>
            <w:tcW w:type="dxa" w:w="864"/>
          </w:tcPr>
          <w:p>
            <w:pPr>
              <w:spacing w:after="20" w:before="20"/>
              <w:jc w:val="center"/>
            </w:pPr>
            <w:r/>
            <w:r>
              <w:rPr>
                <w:b w:val="0"/>
                <w:sz w:val="15"/>
              </w:rPr>
            </w:r>
          </w:p>
        </w:tc>
        <w:tc>
          <w:tcPr>
            <w:tcW w:type="dxa" w:w="1037"/>
          </w:tcPr>
          <w:p>
            <w:pPr>
              <w:spacing w:after="20" w:before="20"/>
              <w:jc w:val="center"/>
            </w:pPr>
            <w:r/>
            <w:r>
              <w:rPr>
                <w:b w:val="0"/>
                <w:sz w:val="15"/>
              </w:rPr>
            </w:r>
          </w:p>
        </w:tc>
        <w:tc>
          <w:tcPr>
            <w:tcW w:type="dxa" w:w="893"/>
          </w:tcPr>
          <w:p>
            <w:pPr>
              <w:spacing w:after="20" w:before="20"/>
              <w:jc w:val="center"/>
            </w:pPr>
            <w:r/>
            <w:r>
              <w:rPr>
                <w:b w:val="0"/>
                <w:sz w:val="15"/>
              </w:rPr>
            </w:r>
          </w:p>
        </w:tc>
        <w:tc>
          <w:tcPr>
            <w:tcW w:type="dxa" w:w="1037"/>
          </w:tcPr>
          <w:p>
            <w:pPr>
              <w:spacing w:after="20" w:before="20"/>
              <w:jc w:val="center"/>
            </w:pPr>
            <w:r/>
            <w:r>
              <w:rPr>
                <w:b w:val="0"/>
                <w:sz w:val="15"/>
              </w:rPr>
              <w:t>42</w:t>
            </w:r>
          </w:p>
        </w:tc>
        <w:tc>
          <w:tcPr>
            <w:tcW w:type="dxa" w:w="1037"/>
          </w:tcPr>
          <w:p>
            <w:pPr>
              <w:spacing w:after="20" w:before="20"/>
              <w:jc w:val="center"/>
            </w:pPr>
            <w:r/>
            <w:r>
              <w:rPr>
                <w:b w:val="0"/>
                <w:sz w:val="15"/>
              </w:rPr>
              <w:t>41</w:t>
            </w:r>
          </w:p>
        </w:tc>
        <w:tc>
          <w:tcPr>
            <w:tcW w:type="dxa" w:w="1037"/>
          </w:tcPr>
          <w:p>
            <w:pPr>
              <w:spacing w:after="20" w:before="20"/>
              <w:jc w:val="center"/>
            </w:pPr>
            <w:r/>
            <w:r>
              <w:rPr>
                <w:b w:val="0"/>
                <w:sz w:val="15"/>
              </w:rPr>
              <w:t>33</w:t>
            </w:r>
          </w:p>
        </w:tc>
        <w:tc>
          <w:tcPr>
            <w:tcW w:type="dxa" w:w="1037"/>
          </w:tcPr>
          <w:p>
            <w:pPr>
              <w:spacing w:after="20" w:before="20"/>
              <w:jc w:val="center"/>
            </w:pPr>
            <w:r/>
            <w:r>
              <w:rPr>
                <w:b w:val="0"/>
                <w:sz w:val="15"/>
              </w:rPr>
              <w:t>30</w:t>
            </w:r>
          </w:p>
        </w:tc>
      </w:tr>
    </w:tbl>
    <w:p>
      <w:pPr>
        <w:spacing w:after="40"/>
      </w:pPr>
    </w:p>
    <w:p>
      <w:pPr>
        <w:spacing w:after="120"/>
        <w:jc w:val="both"/>
      </w:pPr>
      <w:r>
        <w:rPr>
          <w:b w:val="0"/>
          <w:i/>
          <w:color w:val="555B66"/>
          <w:sz w:val="16"/>
        </w:rPr>
        <w:t>Note: Quarterly NSV and EBITDA are on a standalone basis as reported by the company; APAT is the consolidated number widely reported. Annual figures are consolidated and follow the uploaded model. FY27 estimated EPS looks lower than FY26 because FY26 profit included one off items; the underlying business keeps growing. P/E and EV/EBITDA are on the current market price of Rs 1,343. Source: Company filings, United Spirits Excell.xlsx.</w:t>
      </w:r>
    </w:p>
    <w:p>
      <w:r>
        <w:br w:type="page"/>
      </w:r>
    </w:p>
    <w:p>
      <w:pPr>
        <w:spacing w:before="200" w:after="80"/>
        <w:pBdr>
          <w:bottom w:val="single" w:sz="8" w:space="3" w:color="0B2545"/>
        </w:pBdr>
      </w:pPr>
      <w:r>
        <w:rPr>
          <w:b/>
          <w:color w:val="0B2545"/>
          <w:sz w:val="28"/>
        </w:rPr>
        <w:t>Charts in Focus</w:t>
      </w:r>
    </w:p>
    <w:p>
      <w:pPr>
        <w:spacing w:before="60" w:after="20"/>
        <w:jc w:val="center"/>
      </w:pPr>
      <w:r>
        <w:drawing>
          <wp:inline xmlns:a="http://schemas.openxmlformats.org/drawingml/2006/main" xmlns:pic="http://schemas.openxmlformats.org/drawingml/2006/picture">
            <wp:extent cx="5943600" cy="2874645"/>
            <wp:docPr id="1" name="Picture 1"/>
            <wp:cNvGraphicFramePr>
              <a:graphicFrameLocks noChangeAspect="1"/>
            </wp:cNvGraphicFramePr>
            <a:graphic>
              <a:graphicData uri="http://schemas.openxmlformats.org/drawingml/2006/picture">
                <pic:pic>
                  <pic:nvPicPr>
                    <pic:cNvPr id="0" name="ex1_nsv_growth.png"/>
                    <pic:cNvPicPr/>
                  </pic:nvPicPr>
                  <pic:blipFill>
                    <a:blip r:embed="rId9"/>
                    <a:stretch>
                      <a:fillRect/>
                    </a:stretch>
                  </pic:blipFill>
                  <pic:spPr>
                    <a:xfrm>
                      <a:off x="0" y="0"/>
                      <a:ext cx="5943600" cy="2874645"/>
                    </a:xfrm>
                    <a:prstGeom prst="rect"/>
                  </pic:spPr>
                </pic:pic>
              </a:graphicData>
            </a:graphic>
          </wp:inline>
        </w:drawing>
      </w:r>
    </w:p>
    <w:p>
      <w:pPr>
        <w:spacing w:after="140"/>
        <w:jc w:val="center"/>
      </w:pPr>
      <w:r>
        <w:rPr>
          <w:i/>
          <w:color w:val="555B66"/>
          <w:sz w:val="15"/>
        </w:rPr>
        <w:t>Net Sales Value and growth   |   Source: Company, United Spirits Excell.xlsx, Analyst estimates</w:t>
      </w:r>
    </w:p>
    <w:p>
      <w:pPr>
        <w:spacing w:before="60" w:after="20"/>
        <w:jc w:val="center"/>
      </w:pPr>
      <w:r>
        <w:drawing>
          <wp:inline xmlns:a="http://schemas.openxmlformats.org/drawingml/2006/main" xmlns:pic="http://schemas.openxmlformats.org/drawingml/2006/picture">
            <wp:extent cx="5486400" cy="2623250"/>
            <wp:docPr id="2" name="Picture 2"/>
            <wp:cNvGraphicFramePr>
              <a:graphicFrameLocks noChangeAspect="1"/>
            </wp:cNvGraphicFramePr>
            <a:graphic>
              <a:graphicData uri="http://schemas.openxmlformats.org/drawingml/2006/picture">
                <pic:pic>
                  <pic:nvPicPr>
                    <pic:cNvPr id="0" name="ex3_volume_mix.png"/>
                    <pic:cNvPicPr/>
                  </pic:nvPicPr>
                  <pic:blipFill>
                    <a:blip r:embed="rId10"/>
                    <a:stretch>
                      <a:fillRect/>
                    </a:stretch>
                  </pic:blipFill>
                  <pic:spPr>
                    <a:xfrm>
                      <a:off x="0" y="0"/>
                      <a:ext cx="5486400" cy="2623250"/>
                    </a:xfrm>
                    <a:prstGeom prst="rect"/>
                  </pic:spPr>
                </pic:pic>
              </a:graphicData>
            </a:graphic>
          </wp:inline>
        </w:drawing>
      </w:r>
    </w:p>
    <w:p>
      <w:pPr>
        <w:spacing w:after="140"/>
        <w:jc w:val="center"/>
      </w:pPr>
      <w:r>
        <w:rPr>
          <w:i/>
          <w:color w:val="555B66"/>
          <w:sz w:val="15"/>
        </w:rPr>
        <w:t>Volume mix: P&amp;A versus Popular   |   Source: Company, United Spirits Excell.xlsx, Analyst estimates</w:t>
      </w:r>
    </w:p>
    <w:p>
      <w:pPr>
        <w:spacing w:before="60" w:after="20"/>
        <w:jc w:val="center"/>
      </w:pPr>
      <w:r>
        <w:drawing>
          <wp:inline xmlns:a="http://schemas.openxmlformats.org/drawingml/2006/main" xmlns:pic="http://schemas.openxmlformats.org/drawingml/2006/picture">
            <wp:extent cx="5943600" cy="2925274"/>
            <wp:docPr id="3" name="Picture 3"/>
            <wp:cNvGraphicFramePr>
              <a:graphicFrameLocks noChangeAspect="1"/>
            </wp:cNvGraphicFramePr>
            <a:graphic>
              <a:graphicData uri="http://schemas.openxmlformats.org/drawingml/2006/picture">
                <pic:pic>
                  <pic:nvPicPr>
                    <pic:cNvPr id="0" name="ex2_margins.png"/>
                    <pic:cNvPicPr/>
                  </pic:nvPicPr>
                  <pic:blipFill>
                    <a:blip r:embed="rId11"/>
                    <a:stretch>
                      <a:fillRect/>
                    </a:stretch>
                  </pic:blipFill>
                  <pic:spPr>
                    <a:xfrm>
                      <a:off x="0" y="0"/>
                      <a:ext cx="5943600" cy="2925274"/>
                    </a:xfrm>
                    <a:prstGeom prst="rect"/>
                  </pic:spPr>
                </pic:pic>
              </a:graphicData>
            </a:graphic>
          </wp:inline>
        </w:drawing>
      </w:r>
    </w:p>
    <w:p>
      <w:pPr>
        <w:spacing w:after="140"/>
        <w:jc w:val="center"/>
      </w:pPr>
      <w:r>
        <w:rPr>
          <w:i/>
          <w:color w:val="555B66"/>
          <w:sz w:val="15"/>
        </w:rPr>
        <w:t>Gross, EBITDA, EBIT and PAT margins   |   Source: Company, United Spirits Excell.xlsx, Analyst estimates</w:t>
      </w:r>
    </w:p>
    <w:p>
      <w:r>
        <w:br w:type="page"/>
      </w:r>
    </w:p>
    <w:p>
      <w:pPr>
        <w:spacing w:before="60" w:after="20"/>
        <w:jc w:val="center"/>
      </w:pPr>
      <w:r>
        <w:drawing>
          <wp:inline xmlns:a="http://schemas.openxmlformats.org/drawingml/2006/main" xmlns:pic="http://schemas.openxmlformats.org/drawingml/2006/picture">
            <wp:extent cx="5943600" cy="2686833"/>
            <wp:docPr id="4" name="Picture 4"/>
            <wp:cNvGraphicFramePr>
              <a:graphicFrameLocks noChangeAspect="1"/>
            </wp:cNvGraphicFramePr>
            <a:graphic>
              <a:graphicData uri="http://schemas.openxmlformats.org/drawingml/2006/picture">
                <pic:pic>
                  <pic:nvPicPr>
                    <pic:cNvPr id="0" name="ex4_returns.png"/>
                    <pic:cNvPicPr/>
                  </pic:nvPicPr>
                  <pic:blipFill>
                    <a:blip r:embed="rId12"/>
                    <a:stretch>
                      <a:fillRect/>
                    </a:stretch>
                  </pic:blipFill>
                  <pic:spPr>
                    <a:xfrm>
                      <a:off x="0" y="0"/>
                      <a:ext cx="5943600" cy="2686833"/>
                    </a:xfrm>
                    <a:prstGeom prst="rect"/>
                  </pic:spPr>
                </pic:pic>
              </a:graphicData>
            </a:graphic>
          </wp:inline>
        </w:drawing>
      </w:r>
    </w:p>
    <w:p>
      <w:pPr>
        <w:spacing w:after="140"/>
        <w:jc w:val="center"/>
      </w:pPr>
      <w:r>
        <w:rPr>
          <w:i/>
          <w:color w:val="555B66"/>
          <w:sz w:val="15"/>
        </w:rPr>
        <w:t>Return on equity and return on capital employed   |   Source: Company, United Spirits Excell.xlsx, Analyst estimates</w:t>
      </w:r>
    </w:p>
    <w:p>
      <w:pPr>
        <w:spacing w:after="120"/>
        <w:jc w:val="both"/>
      </w:pPr>
      <w:r>
        <w:rPr>
          <w:b w:val="0"/>
          <w:i w:val="0"/>
          <w:sz w:val="20"/>
        </w:rPr>
        <w:t>What the charts show: Net sales keep rising even though total volume has fallen, because the company sells more premium product at higher prices. The Prestige and Above share of volume has climbed steadily while Popular has shrunk. Gross margin has recovered to about 46% to 47% and EBITDA margin has moved up towards 20%. Returns on equity and on capital employed have stayed strong at about 20% or more, which shows the business uses capital efficiently.</w:t>
      </w:r>
    </w:p>
    <w:p>
      <w:r>
        <w:br w:type="page"/>
      </w:r>
    </w:p>
    <w:p>
      <w:pPr>
        <w:spacing w:before="200" w:after="80"/>
        <w:pBdr>
          <w:bottom w:val="single" w:sz="8" w:space="3" w:color="0B2545"/>
        </w:pBdr>
      </w:pPr>
      <w:r>
        <w:rPr>
          <w:b/>
          <w:color w:val="0B2545"/>
          <w:sz w:val="28"/>
        </w:rPr>
        <w:t>Industry Analysis: Indian Alcobev</w:t>
      </w:r>
    </w:p>
    <w:p>
      <w:pPr>
        <w:spacing w:after="120"/>
        <w:jc w:val="both"/>
      </w:pPr>
      <w:r>
        <w:rPr>
          <w:b w:val="0"/>
          <w:i w:val="0"/>
          <w:sz w:val="20"/>
        </w:rPr>
        <w:t>India is the third largest alcoholic beverage market in the world by volume and the largest market for whisky. Total Indian Made Foreign Liquor (IMFL) volume is about 410 million cases a year (IWSR, 2024). The wider alcohol market is worth roughly 50 to 70 billion US dollars and is growing at about 6% a year. Indian made spirits, both IMFL and country liquor, make up close to 70% of all alcohol consumed; beer is the other large category. The premium end is led by two global groups, Diageo (through United Spirits) and Pernod Ricard. Sources: IWSR via Livemint; industry reports.</w:t>
      </w:r>
    </w:p>
    <w:p>
      <w:pPr>
        <w:spacing w:before="60" w:after="20"/>
        <w:jc w:val="center"/>
      </w:pPr>
      <w:r>
        <w:drawing>
          <wp:inline xmlns:a="http://schemas.openxmlformats.org/drawingml/2006/main" xmlns:pic="http://schemas.openxmlformats.org/drawingml/2006/picture">
            <wp:extent cx="6217920" cy="3126725"/>
            <wp:docPr id="5" name="Picture 5"/>
            <wp:cNvGraphicFramePr>
              <a:graphicFrameLocks noChangeAspect="1"/>
            </wp:cNvGraphicFramePr>
            <a:graphic>
              <a:graphicData uri="http://schemas.openxmlformats.org/drawingml/2006/picture">
                <pic:pic>
                  <pic:nvPicPr>
                    <pic:cNvPr id="0" name="dgm_industry_size.png"/>
                    <pic:cNvPicPr/>
                  </pic:nvPicPr>
                  <pic:blipFill>
                    <a:blip r:embed="rId13"/>
                    <a:stretch>
                      <a:fillRect/>
                    </a:stretch>
                  </pic:blipFill>
                  <pic:spPr>
                    <a:xfrm>
                      <a:off x="0" y="0"/>
                      <a:ext cx="6217920" cy="3126725"/>
                    </a:xfrm>
                    <a:prstGeom prst="rect"/>
                  </pic:spPr>
                </pic:pic>
              </a:graphicData>
            </a:graphic>
          </wp:inline>
        </w:drawing>
      </w:r>
    </w:p>
    <w:p>
      <w:pPr>
        <w:spacing w:after="140"/>
        <w:jc w:val="center"/>
      </w:pPr>
      <w:r>
        <w:rPr>
          <w:i/>
          <w:color w:val="555B66"/>
          <w:sz w:val="15"/>
        </w:rPr>
        <w:t>Market size and consumption mix   |   Source: Industry reports, IWSR via public media</w:t>
      </w:r>
    </w:p>
    <w:p>
      <w:pPr>
        <w:spacing w:after="120"/>
        <w:jc w:val="both"/>
      </w:pPr>
      <w:r>
        <w:rPr>
          <w:b w:val="0"/>
          <w:i w:val="0"/>
          <w:sz w:val="20"/>
        </w:rPr>
        <w:t>The chart on the left shows the market growing from about 52 billion US dollars in 2021 towards an estimated 77 billion US dollars by 2030. The pie on the right shows that Indian spirits dominate consumption. This is helpful for USL because it leads in IMFL and has a pan India network.</w:t>
      </w:r>
    </w:p>
    <w:p>
      <w:pPr>
        <w:spacing w:before="60" w:after="20"/>
        <w:jc w:val="center"/>
      </w:pPr>
      <w:r>
        <w:drawing>
          <wp:inline xmlns:a="http://schemas.openxmlformats.org/drawingml/2006/main" xmlns:pic="http://schemas.openxmlformats.org/drawingml/2006/picture">
            <wp:extent cx="6400800" cy="2220420"/>
            <wp:docPr id="6" name="Picture 6"/>
            <wp:cNvGraphicFramePr>
              <a:graphicFrameLocks noChangeAspect="1"/>
            </wp:cNvGraphicFramePr>
            <a:graphic>
              <a:graphicData uri="http://schemas.openxmlformats.org/drawingml/2006/picture">
                <pic:pic>
                  <pic:nvPicPr>
                    <pic:cNvPr id="0" name="dgm_value_chain.png"/>
                    <pic:cNvPicPr/>
                  </pic:nvPicPr>
                  <pic:blipFill>
                    <a:blip r:embed="rId14"/>
                    <a:stretch>
                      <a:fillRect/>
                    </a:stretch>
                  </pic:blipFill>
                  <pic:spPr>
                    <a:xfrm>
                      <a:off x="0" y="0"/>
                      <a:ext cx="6400800" cy="2220420"/>
                    </a:xfrm>
                    <a:prstGeom prst="rect"/>
                  </pic:spPr>
                </pic:pic>
              </a:graphicData>
            </a:graphic>
          </wp:inline>
        </w:drawing>
      </w:r>
    </w:p>
    <w:p>
      <w:pPr>
        <w:spacing w:after="140"/>
        <w:jc w:val="center"/>
      </w:pPr>
      <w:r>
        <w:rPr>
          <w:i/>
          <w:color w:val="555B66"/>
          <w:sz w:val="15"/>
        </w:rPr>
        <w:t>How the industry works and where the profit sits   |   Source: Analyst, based on industry structure</w:t>
      </w:r>
    </w:p>
    <w:p>
      <w:pPr>
        <w:spacing w:after="120"/>
        <w:jc w:val="both"/>
      </w:pPr>
      <w:r>
        <w:rPr>
          <w:b w:val="0"/>
          <w:i w:val="0"/>
          <w:sz w:val="20"/>
        </w:rPr>
        <w:t>The value chain diagram explains the flow from raw materials to the consumer. The single biggest cost in the chain is state excise duty, which is collected from consumers and passed to state governments. United Spirits captures the most value in premium blending and in the strength of its brands. Because each state controls its own taxes and rules, the topline is best tracked as Net Sales Value, which is revenue after excise.</w:t>
      </w:r>
    </w:p>
    <w:p>
      <w:r>
        <w:br w:type="page"/>
      </w:r>
    </w:p>
    <w:p>
      <w:pPr>
        <w:spacing w:before="200" w:after="80"/>
        <w:pBdr>
          <w:bottom w:val="single" w:sz="8" w:space="3" w:color="0B2545"/>
        </w:pBdr>
      </w:pPr>
      <w:r>
        <w:rPr>
          <w:b/>
          <w:color w:val="0B2545"/>
          <w:sz w:val="28"/>
        </w:rPr>
        <w:t>Premiumisation: The Main Growth Driver</w:t>
      </w:r>
    </w:p>
    <w:p>
      <w:pPr>
        <w:spacing w:after="120"/>
        <w:jc w:val="both"/>
      </w:pPr>
      <w:r>
        <w:rPr>
          <w:b w:val="0"/>
          <w:i w:val="0"/>
          <w:sz w:val="20"/>
        </w:rPr>
        <w:t>Premiumisation means consumers trading up to better and more expensive drinks. It is the most important trend for United Spirits. Research shows that premium IMFL is growing at low double digit rates while mass market brands grow at mid single digit rates (JM Financial, September 2025, via Financial Express). Luxury spirits are only about 3% of cases sold but contribute more than 20% of industry profits (IWSR via Livemint). This matters a lot for USL because close to 90% of its net sales now come from Prestige and Above brands, so every step up in the mix adds strongly to gross and EBITDA margins.</w:t>
      </w:r>
    </w:p>
    <w:p>
      <w:pPr>
        <w:spacing w:before="60" w:after="20"/>
        <w:jc w:val="center"/>
      </w:pPr>
      <w:r>
        <w:drawing>
          <wp:inline xmlns:a="http://schemas.openxmlformats.org/drawingml/2006/main" xmlns:pic="http://schemas.openxmlformats.org/drawingml/2006/picture">
            <wp:extent cx="6035040" cy="2663537"/>
            <wp:docPr id="7" name="Picture 7"/>
            <wp:cNvGraphicFramePr>
              <a:graphicFrameLocks noChangeAspect="1"/>
            </wp:cNvGraphicFramePr>
            <a:graphic>
              <a:graphicData uri="http://schemas.openxmlformats.org/drawingml/2006/picture">
                <pic:pic>
                  <pic:nvPicPr>
                    <pic:cNvPr id="0" name="dgm_premium_pyramid.png"/>
                    <pic:cNvPicPr/>
                  </pic:nvPicPr>
                  <pic:blipFill>
                    <a:blip r:embed="rId15"/>
                    <a:stretch>
                      <a:fillRect/>
                    </a:stretch>
                  </pic:blipFill>
                  <pic:spPr>
                    <a:xfrm>
                      <a:off x="0" y="0"/>
                      <a:ext cx="6035040" cy="2663537"/>
                    </a:xfrm>
                    <a:prstGeom prst="rect"/>
                  </pic:spPr>
                </pic:pic>
              </a:graphicData>
            </a:graphic>
          </wp:inline>
        </w:drawing>
      </w:r>
    </w:p>
    <w:p>
      <w:pPr>
        <w:spacing w:after="140"/>
        <w:jc w:val="center"/>
      </w:pPr>
      <w:r>
        <w:rPr>
          <w:i/>
          <w:color w:val="555B66"/>
          <w:sz w:val="15"/>
        </w:rPr>
        <w:t>The premiumisation pyramid: price ladder and growth   |   Source: Analyst; growth rates per company and industry data</w:t>
      </w:r>
    </w:p>
    <w:p>
      <w:pPr>
        <w:spacing w:after="120"/>
        <w:jc w:val="both"/>
      </w:pPr>
      <w:r>
        <w:rPr>
          <w:b w:val="0"/>
          <w:i w:val="0"/>
          <w:sz w:val="20"/>
        </w:rPr>
        <w:t>The pyramid shows the price ladder. Luxury sits at the top with the highest growth, followed by premium and prestige, while popular sits at the bottom with flat to falling growth. United Spirits has moved most of its sales up the pyramid. The financial result is higher realisations per case and steadily rising margins, even when total volume growth is modest.</w:t>
      </w:r>
    </w:p>
    <w:p>
      <w:pPr>
        <w:spacing w:after="120"/>
        <w:jc w:val="both"/>
      </w:pPr>
      <w:r>
        <w:rPr>
          <w:b w:val="0"/>
          <w:i w:val="0"/>
          <w:sz w:val="20"/>
        </w:rPr>
        <w:t>Why this is good for profits: a richer mix lifts gross margin, and because many costs do not rise as fast as premium revenue, more of each extra rupee of sales drops to EBITDA. This is the engine behind our forecast of EBITDA margin moving from about 18% towards 20% over the next few years.</w:t>
      </w:r>
    </w:p>
    <w:p>
      <w:r>
        <w:br w:type="page"/>
      </w:r>
    </w:p>
    <w:p>
      <w:pPr>
        <w:spacing w:before="200" w:after="80"/>
        <w:pBdr>
          <w:bottom w:val="single" w:sz="8" w:space="3" w:color="0B2545"/>
        </w:pBdr>
      </w:pPr>
      <w:r>
        <w:rPr>
          <w:b/>
          <w:color w:val="0B2545"/>
          <w:sz w:val="28"/>
        </w:rPr>
        <w:t>Competitive Forces and Regulation</w:t>
      </w:r>
    </w:p>
    <w:p>
      <w:pPr>
        <w:spacing w:before="60" w:after="20"/>
        <w:jc w:val="center"/>
      </w:pPr>
      <w:r>
        <w:drawing>
          <wp:inline xmlns:a="http://schemas.openxmlformats.org/drawingml/2006/main" xmlns:pic="http://schemas.openxmlformats.org/drawingml/2006/picture">
            <wp:extent cx="6035040" cy="3915628"/>
            <wp:docPr id="8" name="Picture 8"/>
            <wp:cNvGraphicFramePr>
              <a:graphicFrameLocks noChangeAspect="1"/>
            </wp:cNvGraphicFramePr>
            <a:graphic>
              <a:graphicData uri="http://schemas.openxmlformats.org/drawingml/2006/picture">
                <pic:pic>
                  <pic:nvPicPr>
                    <pic:cNvPr id="0" name="dgm_porter.png"/>
                    <pic:cNvPicPr/>
                  </pic:nvPicPr>
                  <pic:blipFill>
                    <a:blip r:embed="rId16"/>
                    <a:stretch>
                      <a:fillRect/>
                    </a:stretch>
                  </pic:blipFill>
                  <pic:spPr>
                    <a:xfrm>
                      <a:off x="0" y="0"/>
                      <a:ext cx="6035040" cy="3915628"/>
                    </a:xfrm>
                    <a:prstGeom prst="rect"/>
                  </pic:spPr>
                </pic:pic>
              </a:graphicData>
            </a:graphic>
          </wp:inline>
        </w:drawing>
      </w:r>
    </w:p>
    <w:p>
      <w:pPr>
        <w:spacing w:after="140"/>
        <w:jc w:val="center"/>
      </w:pPr>
      <w:r>
        <w:rPr>
          <w:i/>
          <w:color w:val="555B66"/>
          <w:sz w:val="15"/>
        </w:rPr>
        <w:t>Porter's Five Forces for Indian spirits   |   Source: Analyst framework</w:t>
      </w:r>
    </w:p>
    <w:p>
      <w:pPr>
        <w:spacing w:after="120"/>
        <w:jc w:val="both"/>
      </w:pPr>
      <w:r>
        <w:rPr>
          <w:b w:val="0"/>
          <w:i w:val="0"/>
          <w:sz w:val="20"/>
        </w:rPr>
        <w:t>Threat of new entrants is low. A new national player would need to deal with more than 30 separate state licensing and tax systems, build in state supply chains, invest in whisky ageing and overcome strict rules that ban direct alcohol advertising. Supplier power is moderate; key inputs such as extra neutral alcohol, scotch concentrate and glass can rise in price at times. Buyer power is high because in many states the government corporations control pricing and distribution, and one large state customer is close to 30% of revenue. The threat of substitutes (beer, wine and low or no alcohol drinks) is moderate. Rivalry is high and rising, with Pernod Ricard, Radico Khaitan, Allied Blenders and a newly strengthened Tilaknagar all pushing premium brands.</w:t>
      </w:r>
    </w:p>
    <w:p>
      <w:pPr>
        <w:spacing w:before="160" w:after="60"/>
      </w:pPr>
      <w:r>
        <w:rPr>
          <w:b/>
          <w:color w:val="13558C"/>
          <w:sz w:val="22"/>
        </w:rPr>
        <w:t>State Regulation and Taxes</w:t>
      </w:r>
    </w:p>
    <w:p>
      <w:pPr>
        <w:spacing w:after="120"/>
        <w:jc w:val="both"/>
      </w:pPr>
      <w:r>
        <w:rPr>
          <w:b w:val="0"/>
          <w:i w:val="0"/>
          <w:sz w:val="20"/>
        </w:rPr>
        <w:t>Alcohol is outside GST and is controlled by each state. States set licences, price approvals, route to market and excise duty. The most important recent change is in Karnataka. From 11 May 2026 Karnataka became the first state to move to an Alcohol in Beverage based excise system, which taxes drinks by their actual alcohol content and frees producers to set prices within set bands rather than under fixed government prices (Economic Times; Hindustan Times). Karnataka is the largest whisky market in India at about 17% of national volumes, so more pricing freedom there is a structural positive for premium players like USL, although the change brings some short term uncertainty. The main downside risks remain dry states and sudden changes to route to market rules.</w:t>
      </w:r>
    </w:p>
    <w:p>
      <w:r>
        <w:br w:type="page"/>
      </w:r>
    </w:p>
    <w:p>
      <w:pPr>
        <w:spacing w:before="200" w:after="80"/>
        <w:pBdr>
          <w:bottom w:val="single" w:sz="8" w:space="3" w:color="0B2545"/>
        </w:pBdr>
      </w:pPr>
      <w:r>
        <w:rPr>
          <w:b/>
          <w:color w:val="0B2545"/>
          <w:sz w:val="28"/>
        </w:rPr>
        <w:t>Economy and Demand Drivers</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val="clear" w:fill="0B2545"/>
          </w:tcPr>
          <w:p>
            <w:pPr>
              <w:spacing w:after="20" w:before="20"/>
              <w:jc w:val="left"/>
            </w:pPr>
            <w:r/>
            <w:r>
              <w:rPr>
                <w:b/>
                <w:color w:val="FFFFFF"/>
                <w:sz w:val="16"/>
              </w:rPr>
              <w:t>Indicator</w:t>
            </w:r>
          </w:p>
        </w:tc>
        <w:tc>
          <w:tcPr>
            <w:tcW w:type="dxa" w:w="4464"/>
            <w:shd w:val="clear" w:fill="0B2545"/>
          </w:tcPr>
          <w:p>
            <w:pPr>
              <w:spacing w:after="20" w:before="20"/>
              <w:jc w:val="center"/>
            </w:pPr>
            <w:r/>
            <w:r>
              <w:rPr>
                <w:b/>
                <w:color w:val="FFFFFF"/>
                <w:sz w:val="16"/>
              </w:rPr>
              <w:t>Reading</w:t>
            </w:r>
          </w:p>
        </w:tc>
        <w:tc>
          <w:tcPr>
            <w:tcW w:type="dxa" w:w="2160"/>
            <w:shd w:val="clear" w:fill="0B2545"/>
          </w:tcPr>
          <w:p>
            <w:pPr>
              <w:spacing w:after="20" w:before="20"/>
              <w:jc w:val="center"/>
            </w:pPr>
            <w:r/>
            <w:r>
              <w:rPr>
                <w:b/>
                <w:color w:val="FFFFFF"/>
                <w:sz w:val="16"/>
              </w:rPr>
              <w:t>Source</w:t>
            </w:r>
          </w:p>
        </w:tc>
      </w:tr>
      <w:tr>
        <w:tc>
          <w:tcPr>
            <w:tcW w:type="dxa" w:w="3456"/>
          </w:tcPr>
          <w:p>
            <w:pPr>
              <w:spacing w:after="20" w:before="20"/>
              <w:jc w:val="left"/>
            </w:pPr>
            <w:r/>
            <w:r>
              <w:rPr>
                <w:b/>
                <w:sz w:val="16"/>
              </w:rPr>
              <w:t>India real GDP growth FY26</w:t>
            </w:r>
          </w:p>
        </w:tc>
        <w:tc>
          <w:tcPr>
            <w:tcW w:type="dxa" w:w="4464"/>
          </w:tcPr>
          <w:p>
            <w:pPr>
              <w:spacing w:after="20" w:before="20"/>
              <w:jc w:val="center"/>
            </w:pPr>
            <w:r/>
            <w:r>
              <w:rPr>
                <w:b w:val="0"/>
                <w:sz w:val="16"/>
              </w:rPr>
              <w:t>7.7% (Q4 7.8%); nominal 8.9%</w:t>
            </w:r>
          </w:p>
        </w:tc>
        <w:tc>
          <w:tcPr>
            <w:tcW w:type="dxa" w:w="2160"/>
          </w:tcPr>
          <w:p>
            <w:pPr>
              <w:spacing w:after="20" w:before="20"/>
              <w:jc w:val="center"/>
            </w:pPr>
            <w:r/>
            <w:r>
              <w:rPr>
                <w:b w:val="0"/>
                <w:sz w:val="16"/>
              </w:rPr>
              <w:t>MoSPI / Economic Survey</w:t>
            </w:r>
          </w:p>
        </w:tc>
      </w:tr>
      <w:tr>
        <w:tc>
          <w:tcPr>
            <w:tcW w:type="dxa" w:w="3456"/>
            <w:shd w:val="clear" w:fill="EEF2F7"/>
          </w:tcPr>
          <w:p>
            <w:pPr>
              <w:spacing w:after="20" w:before="20"/>
              <w:jc w:val="left"/>
            </w:pPr>
            <w:r/>
            <w:r>
              <w:rPr>
                <w:b/>
                <w:sz w:val="16"/>
              </w:rPr>
              <w:t>FY27 GDP estimate</w:t>
            </w:r>
          </w:p>
        </w:tc>
        <w:tc>
          <w:tcPr>
            <w:tcW w:type="dxa" w:w="4464"/>
            <w:shd w:val="clear" w:fill="EEF2F7"/>
          </w:tcPr>
          <w:p>
            <w:pPr>
              <w:spacing w:after="20" w:before="20"/>
              <w:jc w:val="center"/>
            </w:pPr>
            <w:r/>
            <w:r>
              <w:rPr>
                <w:b w:val="0"/>
                <w:sz w:val="16"/>
              </w:rPr>
              <w:t>6.8% to 7.2% (Survey); RBI about 7.4%</w:t>
            </w:r>
          </w:p>
        </w:tc>
        <w:tc>
          <w:tcPr>
            <w:tcW w:type="dxa" w:w="2160"/>
            <w:shd w:val="clear" w:fill="EEF2F7"/>
          </w:tcPr>
          <w:p>
            <w:pPr>
              <w:spacing w:after="20" w:before="20"/>
              <w:jc w:val="center"/>
            </w:pPr>
            <w:r/>
            <w:r>
              <w:rPr>
                <w:b w:val="0"/>
                <w:sz w:val="16"/>
              </w:rPr>
              <w:t>PRS / RBI</w:t>
            </w:r>
          </w:p>
        </w:tc>
      </w:tr>
      <w:tr>
        <w:tc>
          <w:tcPr>
            <w:tcW w:type="dxa" w:w="3456"/>
          </w:tcPr>
          <w:p>
            <w:pPr>
              <w:spacing w:after="20" w:before="20"/>
              <w:jc w:val="left"/>
            </w:pPr>
            <w:r/>
            <w:r>
              <w:rPr>
                <w:b/>
                <w:sz w:val="16"/>
              </w:rPr>
              <w:t>Position</w:t>
            </w:r>
          </w:p>
        </w:tc>
        <w:tc>
          <w:tcPr>
            <w:tcW w:type="dxa" w:w="4464"/>
          </w:tcPr>
          <w:p>
            <w:pPr>
              <w:spacing w:after="20" w:before="20"/>
              <w:jc w:val="center"/>
            </w:pPr>
            <w:r/>
            <w:r>
              <w:rPr>
                <w:b w:val="0"/>
                <w:sz w:val="16"/>
              </w:rPr>
              <w:t>Fastest growing major economy, fourth year</w:t>
            </w:r>
          </w:p>
        </w:tc>
        <w:tc>
          <w:tcPr>
            <w:tcW w:type="dxa" w:w="2160"/>
          </w:tcPr>
          <w:p>
            <w:pPr>
              <w:spacing w:after="20" w:before="20"/>
              <w:jc w:val="center"/>
            </w:pPr>
            <w:r/>
            <w:r>
              <w:rPr>
                <w:b w:val="0"/>
                <w:sz w:val="16"/>
              </w:rPr>
              <w:t>Economic Survey 2025-26</w:t>
            </w:r>
          </w:p>
        </w:tc>
      </w:tr>
      <w:tr>
        <w:tc>
          <w:tcPr>
            <w:tcW w:type="dxa" w:w="3456"/>
            <w:shd w:val="clear" w:fill="EEF2F7"/>
          </w:tcPr>
          <w:p>
            <w:pPr>
              <w:spacing w:after="20" w:before="20"/>
              <w:jc w:val="left"/>
            </w:pPr>
            <w:r/>
            <w:r>
              <w:rPr>
                <w:b/>
                <w:sz w:val="16"/>
              </w:rPr>
              <w:t>Demographics</w:t>
            </w:r>
          </w:p>
        </w:tc>
        <w:tc>
          <w:tcPr>
            <w:tcW w:type="dxa" w:w="4464"/>
            <w:shd w:val="clear" w:fill="EEF2F7"/>
          </w:tcPr>
          <w:p>
            <w:pPr>
              <w:spacing w:after="20" w:before="20"/>
              <w:jc w:val="center"/>
            </w:pPr>
            <w:r/>
            <w:r>
              <w:rPr>
                <w:b w:val="0"/>
                <w:sz w:val="16"/>
              </w:rPr>
              <w:t>Young legal drinking age base; fast urbanisation</w:t>
            </w:r>
          </w:p>
        </w:tc>
        <w:tc>
          <w:tcPr>
            <w:tcW w:type="dxa" w:w="2160"/>
            <w:shd w:val="clear" w:fill="EEF2F7"/>
          </w:tcPr>
          <w:p>
            <w:pPr>
              <w:spacing w:after="20" w:before="20"/>
              <w:jc w:val="center"/>
            </w:pPr>
            <w:r/>
            <w:r>
              <w:rPr>
                <w:b w:val="0"/>
                <w:sz w:val="16"/>
              </w:rPr>
              <w:t>Census / industry</w:t>
            </w:r>
          </w:p>
        </w:tc>
      </w:tr>
    </w:tbl>
    <w:p>
      <w:pPr>
        <w:spacing w:after="40"/>
      </w:pPr>
    </w:p>
    <w:p>
      <w:pPr>
        <w:spacing w:after="120"/>
        <w:jc w:val="both"/>
      </w:pPr>
      <w:r>
        <w:rPr>
          <w:b w:val="0"/>
          <w:i w:val="0"/>
          <w:sz w:val="20"/>
        </w:rPr>
        <w:t>How the economy feeds spirits demand: India is growing fast, the middle class is expanding, incomes are rising, cities are growing and the population is young. These factors support steady growth in branded premium spirits. Importantly, the trend is towards drinking better rather than drinking more, which suits USL because its sales are concentrated in premium brands. The main risk is a slowdown in discretionary spending, for example from high food inflation or weak urban sentiment, which can cause down trading where some consumers move to cheaper products. Sources: Livemint; Economic Times; Economic Survey 2025-26.</w:t>
      </w:r>
    </w:p>
    <w:p>
      <w:pPr>
        <w:spacing w:before="200" w:after="80"/>
        <w:pBdr>
          <w:bottom w:val="single" w:sz="8" w:space="3" w:color="0B2545"/>
        </w:pBdr>
      </w:pPr>
      <w:r>
        <w:rPr>
          <w:b/>
          <w:color w:val="0B2545"/>
          <w:sz w:val="28"/>
        </w:rPr>
        <w:t>Competitive Positioning</w:t>
      </w:r>
    </w:p>
    <w:p>
      <w:pPr>
        <w:spacing w:before="60" w:after="20"/>
        <w:jc w:val="center"/>
      </w:pPr>
      <w:r>
        <w:drawing>
          <wp:inline xmlns:a="http://schemas.openxmlformats.org/drawingml/2006/main" xmlns:pic="http://schemas.openxmlformats.org/drawingml/2006/picture">
            <wp:extent cx="5852160" cy="4099453"/>
            <wp:docPr id="9" name="Picture 9"/>
            <wp:cNvGraphicFramePr>
              <a:graphicFrameLocks noChangeAspect="1"/>
            </wp:cNvGraphicFramePr>
            <a:graphic>
              <a:graphicData uri="http://schemas.openxmlformats.org/drawingml/2006/picture">
                <pic:pic>
                  <pic:nvPicPr>
                    <pic:cNvPr id="0" name="dgm_positioning.png"/>
                    <pic:cNvPicPr/>
                  </pic:nvPicPr>
                  <pic:blipFill>
                    <a:blip r:embed="rId17"/>
                    <a:stretch>
                      <a:fillRect/>
                    </a:stretch>
                  </pic:blipFill>
                  <pic:spPr>
                    <a:xfrm>
                      <a:off x="0" y="0"/>
                      <a:ext cx="5852160" cy="4099453"/>
                    </a:xfrm>
                    <a:prstGeom prst="rect"/>
                  </pic:spPr>
                </pic:pic>
              </a:graphicData>
            </a:graphic>
          </wp:inline>
        </w:drawing>
      </w:r>
    </w:p>
    <w:p>
      <w:pPr>
        <w:spacing w:after="140"/>
        <w:jc w:val="center"/>
      </w:pPr>
      <w:r>
        <w:rPr>
          <w:i/>
          <w:color w:val="555B66"/>
          <w:sz w:val="15"/>
        </w:rPr>
        <w:t>Where the players sit: premium mix versus margin   |   Source: Company FY26 data; bubble size is EBITDA</w:t>
      </w:r>
    </w:p>
    <w:p>
      <w:pPr>
        <w:spacing w:after="120"/>
        <w:jc w:val="both"/>
      </w:pPr>
      <w:r>
        <w:rPr>
          <w:b w:val="0"/>
          <w:i w:val="0"/>
          <w:sz w:val="20"/>
        </w:rPr>
        <w:t>The map places each company by how premium its portfolio is (left to right) and by its FY26 EBITDA margin (bottom to top). United Spirits sits in the top right, with the most premium portfolio and a high margin. Radico Khaitan is close behind on premium positioning. Allied Blenders and Tilaknagar are more mid market, and United Breweries is shown as a beer reference with a lower margin. The bubble size reflects EBITDA in rupees.</w:t>
      </w:r>
    </w:p>
    <w:p>
      <w:r>
        <w:br w:type="page"/>
      </w:r>
    </w:p>
    <w:p>
      <w:pPr>
        <w:spacing w:before="200" w:after="80"/>
        <w:pBdr>
          <w:bottom w:val="single" w:sz="8" w:space="3" w:color="0B2545"/>
        </w:pBdr>
      </w:pPr>
      <w:r>
        <w:rPr>
          <w:b/>
          <w:color w:val="0B2545"/>
          <w:sz w:val="28"/>
        </w:rPr>
        <w:t>Quarterly Performance and Concall Analysis: FY26</w:t>
      </w:r>
    </w:p>
    <w:p>
      <w:pPr>
        <w:spacing w:after="120"/>
        <w:jc w:val="both"/>
      </w:pPr>
      <w:r>
        <w:rPr>
          <w:b w:val="0"/>
          <w:i w:val="0"/>
          <w:sz w:val="20"/>
        </w:rPr>
        <w:t>This section reviews the four quarters of FY26 (Q1 ended June 2025 to Q4 ended March 2026) using company results and management commentary from the earnings calls. The uploaded Excel model does not contain quarterly numbers, so the quarterly data here is taken from company filings and public reports (Diageo India results releases; Economic Times; CNBC TV18; Business Standard; Quartr). Net sales value (NSV) and EBITDA are on a standalone basis, and profit after tax (PAT) is the consolidated figure. The four quarters together add up to the full year standalone NSV of Rs 12,448 crore and standalone EBITDA of Rs 2,296 crore.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448"/>
            <w:shd w:val="clear" w:fill="0B2545"/>
          </w:tcPr>
          <w:p>
            <w:pPr>
              <w:spacing w:after="20" w:before="20"/>
              <w:jc w:val="left"/>
            </w:pPr>
            <w:r/>
            <w:r>
              <w:rPr>
                <w:b/>
                <w:color w:val="FFFFFF"/>
                <w:sz w:val="16"/>
              </w:rPr>
              <w:t>Rs cr</w:t>
            </w:r>
          </w:p>
        </w:tc>
        <w:tc>
          <w:tcPr>
            <w:tcW w:type="dxa" w:w="1368"/>
            <w:shd w:val="clear" w:fill="0B2545"/>
          </w:tcPr>
          <w:p>
            <w:pPr>
              <w:spacing w:after="20" w:before="20"/>
              <w:jc w:val="center"/>
            </w:pPr>
            <w:r/>
            <w:r>
              <w:rPr>
                <w:b/>
                <w:color w:val="FFFFFF"/>
                <w:sz w:val="16"/>
              </w:rPr>
              <w:t>Q1FY26</w:t>
            </w:r>
          </w:p>
        </w:tc>
        <w:tc>
          <w:tcPr>
            <w:tcW w:type="dxa" w:w="1368"/>
            <w:shd w:val="clear" w:fill="0B2545"/>
          </w:tcPr>
          <w:p>
            <w:pPr>
              <w:spacing w:after="20" w:before="20"/>
              <w:jc w:val="center"/>
            </w:pPr>
            <w:r/>
            <w:r>
              <w:rPr>
                <w:b/>
                <w:color w:val="FFFFFF"/>
                <w:sz w:val="16"/>
              </w:rPr>
              <w:t>Q2FY26</w:t>
            </w:r>
          </w:p>
        </w:tc>
        <w:tc>
          <w:tcPr>
            <w:tcW w:type="dxa" w:w="1368"/>
            <w:shd w:val="clear" w:fill="0B2545"/>
          </w:tcPr>
          <w:p>
            <w:pPr>
              <w:spacing w:after="20" w:before="20"/>
              <w:jc w:val="center"/>
            </w:pPr>
            <w:r/>
            <w:r>
              <w:rPr>
                <w:b/>
                <w:color w:val="FFFFFF"/>
                <w:sz w:val="16"/>
              </w:rPr>
              <w:t>Q3FY26</w:t>
            </w:r>
          </w:p>
        </w:tc>
        <w:tc>
          <w:tcPr>
            <w:tcW w:type="dxa" w:w="1368"/>
            <w:shd w:val="clear" w:fill="0B2545"/>
          </w:tcPr>
          <w:p>
            <w:pPr>
              <w:spacing w:after="20" w:before="20"/>
              <w:jc w:val="center"/>
            </w:pPr>
            <w:r/>
            <w:r>
              <w:rPr>
                <w:b/>
                <w:color w:val="FFFFFF"/>
                <w:sz w:val="16"/>
              </w:rPr>
              <w:t>Q4FY26</w:t>
            </w:r>
          </w:p>
        </w:tc>
        <w:tc>
          <w:tcPr>
            <w:tcW w:type="dxa" w:w="1368"/>
            <w:shd w:val="clear" w:fill="0B2545"/>
          </w:tcPr>
          <w:p>
            <w:pPr>
              <w:spacing w:after="20" w:before="20"/>
              <w:jc w:val="center"/>
            </w:pPr>
            <w:r/>
            <w:r>
              <w:rPr>
                <w:b/>
                <w:color w:val="FFFFFF"/>
                <w:sz w:val="16"/>
              </w:rPr>
              <w:t>FY26</w:t>
            </w:r>
          </w:p>
        </w:tc>
      </w:tr>
      <w:tr>
        <w:tc>
          <w:tcPr>
            <w:tcW w:type="dxa" w:w="2448"/>
          </w:tcPr>
          <w:p>
            <w:pPr>
              <w:spacing w:after="20" w:before="20"/>
              <w:jc w:val="left"/>
            </w:pPr>
            <w:r/>
            <w:r>
              <w:rPr>
                <w:b/>
                <w:sz w:val="16"/>
              </w:rPr>
              <w:t>Net Sales Value</w:t>
            </w:r>
          </w:p>
        </w:tc>
        <w:tc>
          <w:tcPr>
            <w:tcW w:type="dxa" w:w="1368"/>
          </w:tcPr>
          <w:p>
            <w:pPr>
              <w:spacing w:after="20" w:before="20"/>
              <w:jc w:val="center"/>
            </w:pPr>
            <w:r/>
            <w:r>
              <w:rPr>
                <w:b w:val="0"/>
                <w:sz w:val="16"/>
              </w:rPr>
              <w:t>2,549</w:t>
            </w:r>
          </w:p>
        </w:tc>
        <w:tc>
          <w:tcPr>
            <w:tcW w:type="dxa" w:w="1368"/>
          </w:tcPr>
          <w:p>
            <w:pPr>
              <w:spacing w:after="20" w:before="20"/>
              <w:jc w:val="center"/>
            </w:pPr>
            <w:r/>
            <w:r>
              <w:rPr>
                <w:b w:val="0"/>
                <w:sz w:val="16"/>
              </w:rPr>
              <w:t>3,170</w:t>
            </w:r>
          </w:p>
        </w:tc>
        <w:tc>
          <w:tcPr>
            <w:tcW w:type="dxa" w:w="1368"/>
          </w:tcPr>
          <w:p>
            <w:pPr>
              <w:spacing w:after="20" w:before="20"/>
              <w:jc w:val="center"/>
            </w:pPr>
            <w:r/>
            <w:r>
              <w:rPr>
                <w:b w:val="0"/>
                <w:sz w:val="16"/>
              </w:rPr>
              <w:t>3,683</w:t>
            </w:r>
          </w:p>
        </w:tc>
        <w:tc>
          <w:tcPr>
            <w:tcW w:type="dxa" w:w="1368"/>
          </w:tcPr>
          <w:p>
            <w:pPr>
              <w:spacing w:after="20" w:before="20"/>
              <w:jc w:val="center"/>
            </w:pPr>
            <w:r/>
            <w:r>
              <w:rPr>
                <w:b w:val="0"/>
                <w:sz w:val="16"/>
              </w:rPr>
              <w:t>3,046</w:t>
            </w:r>
          </w:p>
        </w:tc>
        <w:tc>
          <w:tcPr>
            <w:tcW w:type="dxa" w:w="1368"/>
          </w:tcPr>
          <w:p>
            <w:pPr>
              <w:spacing w:after="20" w:before="20"/>
              <w:jc w:val="center"/>
            </w:pPr>
            <w:r/>
            <w:r>
              <w:rPr>
                <w:b w:val="0"/>
                <w:sz w:val="16"/>
              </w:rPr>
              <w:t>12,448</w:t>
            </w:r>
          </w:p>
        </w:tc>
      </w:tr>
      <w:tr>
        <w:tc>
          <w:tcPr>
            <w:tcW w:type="dxa" w:w="2448"/>
            <w:shd w:val="clear" w:fill="EEF2F7"/>
          </w:tcPr>
          <w:p>
            <w:pPr>
              <w:spacing w:after="20" w:before="20"/>
              <w:jc w:val="left"/>
            </w:pPr>
            <w:r/>
            <w:r>
              <w:rPr>
                <w:b/>
                <w:sz w:val="16"/>
              </w:rPr>
              <w:t>NSV growth YoY %</w:t>
            </w:r>
          </w:p>
        </w:tc>
        <w:tc>
          <w:tcPr>
            <w:tcW w:type="dxa" w:w="1368"/>
            <w:shd w:val="clear" w:fill="EEF2F7"/>
          </w:tcPr>
          <w:p>
            <w:pPr>
              <w:spacing w:after="20" w:before="20"/>
              <w:jc w:val="center"/>
            </w:pPr>
            <w:r/>
            <w:r>
              <w:rPr>
                <w:b w:val="0"/>
                <w:sz w:val="16"/>
              </w:rPr>
              <w:t>8.4</w:t>
            </w:r>
          </w:p>
        </w:tc>
        <w:tc>
          <w:tcPr>
            <w:tcW w:type="dxa" w:w="1368"/>
            <w:shd w:val="clear" w:fill="EEF2F7"/>
          </w:tcPr>
          <w:p>
            <w:pPr>
              <w:spacing w:after="20" w:before="20"/>
              <w:jc w:val="center"/>
            </w:pPr>
            <w:r/>
            <w:r>
              <w:rPr>
                <w:b w:val="0"/>
                <w:sz w:val="16"/>
              </w:rPr>
              <w:t>11.5</w:t>
            </w:r>
          </w:p>
        </w:tc>
        <w:tc>
          <w:tcPr>
            <w:tcW w:type="dxa" w:w="1368"/>
            <w:shd w:val="clear" w:fill="EEF2F7"/>
          </w:tcPr>
          <w:p>
            <w:pPr>
              <w:spacing w:after="20" w:before="20"/>
              <w:jc w:val="center"/>
            </w:pPr>
            <w:r/>
            <w:r>
              <w:rPr>
                <w:b w:val="0"/>
                <w:sz w:val="16"/>
              </w:rPr>
              <w:t>7.6</w:t>
            </w:r>
          </w:p>
        </w:tc>
        <w:tc>
          <w:tcPr>
            <w:tcW w:type="dxa" w:w="1368"/>
            <w:shd w:val="clear" w:fill="EEF2F7"/>
          </w:tcPr>
          <w:p>
            <w:pPr>
              <w:spacing w:after="20" w:before="20"/>
              <w:jc w:val="center"/>
            </w:pPr>
            <w:r/>
            <w:r>
              <w:rPr>
                <w:b w:val="0"/>
                <w:sz w:val="16"/>
              </w:rPr>
              <w:t>3.4</w:t>
            </w:r>
          </w:p>
        </w:tc>
        <w:tc>
          <w:tcPr>
            <w:tcW w:type="dxa" w:w="1368"/>
            <w:shd w:val="clear" w:fill="EEF2F7"/>
          </w:tcPr>
          <w:p>
            <w:pPr>
              <w:spacing w:after="20" w:before="20"/>
              <w:jc w:val="center"/>
            </w:pPr>
            <w:r/>
            <w:r>
              <w:rPr>
                <w:b w:val="0"/>
                <w:sz w:val="16"/>
              </w:rPr>
              <w:t>7.6</w:t>
            </w:r>
          </w:p>
        </w:tc>
      </w:tr>
      <w:tr>
        <w:tc>
          <w:tcPr>
            <w:tcW w:type="dxa" w:w="2448"/>
          </w:tcPr>
          <w:p>
            <w:pPr>
              <w:spacing w:after="20" w:before="20"/>
              <w:jc w:val="left"/>
            </w:pPr>
            <w:r/>
            <w:r>
              <w:rPr>
                <w:b/>
                <w:sz w:val="16"/>
              </w:rPr>
              <w:t>EBITDA</w:t>
            </w:r>
          </w:p>
        </w:tc>
        <w:tc>
          <w:tcPr>
            <w:tcW w:type="dxa" w:w="1368"/>
          </w:tcPr>
          <w:p>
            <w:pPr>
              <w:spacing w:after="20" w:before="20"/>
              <w:jc w:val="center"/>
            </w:pPr>
            <w:r/>
            <w:r>
              <w:rPr>
                <w:b w:val="0"/>
                <w:sz w:val="16"/>
              </w:rPr>
              <w:t>415</w:t>
            </w:r>
          </w:p>
        </w:tc>
        <w:tc>
          <w:tcPr>
            <w:tcW w:type="dxa" w:w="1368"/>
          </w:tcPr>
          <w:p>
            <w:pPr>
              <w:spacing w:after="20" w:before="20"/>
              <w:jc w:val="center"/>
            </w:pPr>
            <w:r/>
            <w:r>
              <w:rPr>
                <w:b w:val="0"/>
                <w:sz w:val="16"/>
              </w:rPr>
              <w:t>672</w:t>
            </w:r>
          </w:p>
        </w:tc>
        <w:tc>
          <w:tcPr>
            <w:tcW w:type="dxa" w:w="1368"/>
          </w:tcPr>
          <w:p>
            <w:pPr>
              <w:spacing w:after="20" w:before="20"/>
              <w:jc w:val="center"/>
            </w:pPr>
            <w:r/>
            <w:r>
              <w:rPr>
                <w:b w:val="0"/>
                <w:sz w:val="16"/>
              </w:rPr>
              <w:t>618</w:t>
            </w:r>
          </w:p>
        </w:tc>
        <w:tc>
          <w:tcPr>
            <w:tcW w:type="dxa" w:w="1368"/>
          </w:tcPr>
          <w:p>
            <w:pPr>
              <w:spacing w:after="20" w:before="20"/>
              <w:jc w:val="center"/>
            </w:pPr>
            <w:r/>
            <w:r>
              <w:rPr>
                <w:b w:val="0"/>
                <w:sz w:val="16"/>
              </w:rPr>
              <w:t>591</w:t>
            </w:r>
          </w:p>
        </w:tc>
        <w:tc>
          <w:tcPr>
            <w:tcW w:type="dxa" w:w="1368"/>
          </w:tcPr>
          <w:p>
            <w:pPr>
              <w:spacing w:after="20" w:before="20"/>
              <w:jc w:val="center"/>
            </w:pPr>
            <w:r/>
            <w:r>
              <w:rPr>
                <w:b w:val="0"/>
                <w:sz w:val="16"/>
              </w:rPr>
              <w:t>2,296</w:t>
            </w:r>
          </w:p>
        </w:tc>
      </w:tr>
      <w:tr>
        <w:tc>
          <w:tcPr>
            <w:tcW w:type="dxa" w:w="2448"/>
            <w:shd w:val="clear" w:fill="EEF2F7"/>
          </w:tcPr>
          <w:p>
            <w:pPr>
              <w:spacing w:after="20" w:before="20"/>
              <w:jc w:val="left"/>
            </w:pPr>
            <w:r/>
            <w:r>
              <w:rPr>
                <w:b/>
                <w:sz w:val="16"/>
              </w:rPr>
              <w:t>EBITDA margin %</w:t>
            </w:r>
          </w:p>
        </w:tc>
        <w:tc>
          <w:tcPr>
            <w:tcW w:type="dxa" w:w="1368"/>
            <w:shd w:val="clear" w:fill="EEF2F7"/>
          </w:tcPr>
          <w:p>
            <w:pPr>
              <w:spacing w:after="20" w:before="20"/>
              <w:jc w:val="center"/>
            </w:pPr>
            <w:r/>
            <w:r>
              <w:rPr>
                <w:b w:val="0"/>
                <w:sz w:val="16"/>
              </w:rPr>
              <w:t>16.3</w:t>
            </w:r>
          </w:p>
        </w:tc>
        <w:tc>
          <w:tcPr>
            <w:tcW w:type="dxa" w:w="1368"/>
            <w:shd w:val="clear" w:fill="EEF2F7"/>
          </w:tcPr>
          <w:p>
            <w:pPr>
              <w:spacing w:after="20" w:before="20"/>
              <w:jc w:val="center"/>
            </w:pPr>
            <w:r/>
            <w:r>
              <w:rPr>
                <w:b w:val="0"/>
                <w:sz w:val="16"/>
              </w:rPr>
              <w:t>21.2</w:t>
            </w:r>
          </w:p>
        </w:tc>
        <w:tc>
          <w:tcPr>
            <w:tcW w:type="dxa" w:w="1368"/>
            <w:shd w:val="clear" w:fill="EEF2F7"/>
          </w:tcPr>
          <w:p>
            <w:pPr>
              <w:spacing w:after="20" w:before="20"/>
              <w:jc w:val="center"/>
            </w:pPr>
            <w:r/>
            <w:r>
              <w:rPr>
                <w:b w:val="0"/>
                <w:sz w:val="16"/>
              </w:rPr>
              <w:t>16.8</w:t>
            </w:r>
          </w:p>
        </w:tc>
        <w:tc>
          <w:tcPr>
            <w:tcW w:type="dxa" w:w="1368"/>
            <w:shd w:val="clear" w:fill="EEF2F7"/>
          </w:tcPr>
          <w:p>
            <w:pPr>
              <w:spacing w:after="20" w:before="20"/>
              <w:jc w:val="center"/>
            </w:pPr>
            <w:r/>
            <w:r>
              <w:rPr>
                <w:b w:val="0"/>
                <w:sz w:val="16"/>
              </w:rPr>
              <w:t>19.4</w:t>
            </w:r>
          </w:p>
        </w:tc>
        <w:tc>
          <w:tcPr>
            <w:tcW w:type="dxa" w:w="1368"/>
            <w:shd w:val="clear" w:fill="EEF2F7"/>
          </w:tcPr>
          <w:p>
            <w:pPr>
              <w:spacing w:after="20" w:before="20"/>
              <w:jc w:val="center"/>
            </w:pPr>
            <w:r/>
            <w:r>
              <w:rPr>
                <w:b w:val="0"/>
                <w:sz w:val="16"/>
              </w:rPr>
              <w:t>18.4</w:t>
            </w:r>
          </w:p>
        </w:tc>
      </w:tr>
      <w:tr>
        <w:tc>
          <w:tcPr>
            <w:tcW w:type="dxa" w:w="2448"/>
          </w:tcPr>
          <w:p>
            <w:pPr>
              <w:spacing w:after="20" w:before="20"/>
              <w:jc w:val="left"/>
            </w:pPr>
            <w:r/>
            <w:r>
              <w:rPr>
                <w:b/>
                <w:sz w:val="16"/>
              </w:rPr>
              <w:t>PAT (consolidated)</w:t>
            </w:r>
          </w:p>
        </w:tc>
        <w:tc>
          <w:tcPr>
            <w:tcW w:type="dxa" w:w="1368"/>
          </w:tcPr>
          <w:p>
            <w:pPr>
              <w:spacing w:after="20" w:before="20"/>
              <w:jc w:val="center"/>
            </w:pPr>
            <w:r/>
            <w:r>
              <w:rPr>
                <w:b w:val="0"/>
                <w:sz w:val="16"/>
              </w:rPr>
              <w:t>417</w:t>
            </w:r>
          </w:p>
        </w:tc>
        <w:tc>
          <w:tcPr>
            <w:tcW w:type="dxa" w:w="1368"/>
          </w:tcPr>
          <w:p>
            <w:pPr>
              <w:spacing w:after="20" w:before="20"/>
              <w:jc w:val="center"/>
            </w:pPr>
            <w:r/>
            <w:r>
              <w:rPr>
                <w:b w:val="0"/>
                <w:sz w:val="16"/>
              </w:rPr>
              <w:t>464</w:t>
            </w:r>
          </w:p>
        </w:tc>
        <w:tc>
          <w:tcPr>
            <w:tcW w:type="dxa" w:w="1368"/>
          </w:tcPr>
          <w:p>
            <w:pPr>
              <w:spacing w:after="20" w:before="20"/>
              <w:jc w:val="center"/>
            </w:pPr>
            <w:r/>
            <w:r>
              <w:rPr>
                <w:b w:val="0"/>
                <w:sz w:val="16"/>
              </w:rPr>
              <w:t>418</w:t>
            </w:r>
          </w:p>
        </w:tc>
        <w:tc>
          <w:tcPr>
            <w:tcW w:type="dxa" w:w="1368"/>
          </w:tcPr>
          <w:p>
            <w:pPr>
              <w:spacing w:after="20" w:before="20"/>
              <w:jc w:val="center"/>
            </w:pPr>
            <w:r/>
            <w:r>
              <w:rPr>
                <w:b w:val="0"/>
                <w:sz w:val="16"/>
              </w:rPr>
              <w:t>539</w:t>
            </w:r>
          </w:p>
        </w:tc>
        <w:tc>
          <w:tcPr>
            <w:tcW w:type="dxa" w:w="1368"/>
          </w:tcPr>
          <w:p>
            <w:pPr>
              <w:spacing w:after="20" w:before="20"/>
              <w:jc w:val="center"/>
            </w:pPr>
            <w:r/>
            <w:r>
              <w:rPr>
                <w:b w:val="0"/>
                <w:sz w:val="16"/>
              </w:rPr>
              <w:t>1,838</w:t>
            </w:r>
          </w:p>
        </w:tc>
      </w:tr>
      <w:tr>
        <w:tc>
          <w:tcPr>
            <w:tcW w:type="dxa" w:w="2448"/>
            <w:shd w:val="clear" w:fill="EEF2F7"/>
          </w:tcPr>
          <w:p>
            <w:pPr>
              <w:spacing w:after="20" w:before="20"/>
              <w:jc w:val="left"/>
            </w:pPr>
            <w:r/>
            <w:r>
              <w:rPr>
                <w:b/>
                <w:sz w:val="16"/>
              </w:rPr>
              <w:t>PAT growth YoY %</w:t>
            </w:r>
          </w:p>
        </w:tc>
        <w:tc>
          <w:tcPr>
            <w:tcW w:type="dxa" w:w="1368"/>
            <w:shd w:val="clear" w:fill="EEF2F7"/>
          </w:tcPr>
          <w:p>
            <w:pPr>
              <w:spacing w:after="20" w:before="20"/>
              <w:jc w:val="center"/>
            </w:pPr>
            <w:r/>
            <w:r>
              <w:rPr>
                <w:b w:val="0"/>
                <w:sz w:val="16"/>
              </w:rPr>
              <w:t>-14</w:t>
            </w:r>
          </w:p>
        </w:tc>
        <w:tc>
          <w:tcPr>
            <w:tcW w:type="dxa" w:w="1368"/>
            <w:shd w:val="clear" w:fill="EEF2F7"/>
          </w:tcPr>
          <w:p>
            <w:pPr>
              <w:spacing w:after="20" w:before="20"/>
              <w:jc w:val="center"/>
            </w:pPr>
            <w:r/>
            <w:r>
              <w:rPr>
                <w:b w:val="0"/>
                <w:sz w:val="16"/>
              </w:rPr>
              <w:t>36</w:t>
            </w:r>
          </w:p>
        </w:tc>
        <w:tc>
          <w:tcPr>
            <w:tcW w:type="dxa" w:w="1368"/>
            <w:shd w:val="clear" w:fill="EEF2F7"/>
          </w:tcPr>
          <w:p>
            <w:pPr>
              <w:spacing w:after="20" w:before="20"/>
              <w:jc w:val="center"/>
            </w:pPr>
            <w:r/>
            <w:r>
              <w:rPr>
                <w:b w:val="0"/>
                <w:sz w:val="16"/>
              </w:rPr>
              <w:t>25</w:t>
            </w:r>
          </w:p>
        </w:tc>
        <w:tc>
          <w:tcPr>
            <w:tcW w:type="dxa" w:w="1368"/>
            <w:shd w:val="clear" w:fill="EEF2F7"/>
          </w:tcPr>
          <w:p>
            <w:pPr>
              <w:spacing w:after="20" w:before="20"/>
              <w:jc w:val="center"/>
            </w:pPr>
            <w:r/>
            <w:r>
              <w:rPr>
                <w:b w:val="0"/>
                <w:sz w:val="16"/>
              </w:rPr>
              <w:t>28</w:t>
            </w:r>
          </w:p>
        </w:tc>
        <w:tc>
          <w:tcPr>
            <w:tcW w:type="dxa" w:w="1368"/>
            <w:shd w:val="clear" w:fill="EEF2F7"/>
          </w:tcPr>
          <w:p>
            <w:pPr>
              <w:spacing w:after="20" w:before="20"/>
              <w:jc w:val="center"/>
            </w:pPr>
            <w:r/>
            <w:r>
              <w:rPr>
                <w:b w:val="0"/>
                <w:sz w:val="16"/>
              </w:rPr>
              <w:t>Mixed</w:t>
            </w:r>
          </w:p>
        </w:tc>
      </w:tr>
    </w:tbl>
    <w:p>
      <w:pPr>
        <w:spacing w:after="40"/>
      </w:pPr>
    </w:p>
    <w:p>
      <w:pPr>
        <w:spacing w:before="60" w:after="20"/>
        <w:jc w:val="center"/>
      </w:pPr>
      <w:r>
        <w:drawing>
          <wp:inline xmlns:a="http://schemas.openxmlformats.org/drawingml/2006/main" xmlns:pic="http://schemas.openxmlformats.org/drawingml/2006/picture">
            <wp:extent cx="5669280" cy="3135194"/>
            <wp:docPr id="10" name="Picture 10"/>
            <wp:cNvGraphicFramePr>
              <a:graphicFrameLocks noChangeAspect="1"/>
            </wp:cNvGraphicFramePr>
            <a:graphic>
              <a:graphicData uri="http://schemas.openxmlformats.org/drawingml/2006/picture">
                <pic:pic>
                  <pic:nvPicPr>
                    <pic:cNvPr id="0" name="q_nsv_margin.png"/>
                    <pic:cNvPicPr/>
                  </pic:nvPicPr>
                  <pic:blipFill>
                    <a:blip r:embed="rId18"/>
                    <a:stretch>
                      <a:fillRect/>
                    </a:stretch>
                  </pic:blipFill>
                  <pic:spPr>
                    <a:xfrm>
                      <a:off x="0" y="0"/>
                      <a:ext cx="5669280" cy="3135194"/>
                    </a:xfrm>
                    <a:prstGeom prst="rect"/>
                  </pic:spPr>
                </pic:pic>
              </a:graphicData>
            </a:graphic>
          </wp:inline>
        </w:drawing>
      </w:r>
    </w:p>
    <w:p>
      <w:pPr>
        <w:spacing w:after="140"/>
        <w:jc w:val="center"/>
      </w:pPr>
      <w:r>
        <w:rPr>
          <w:i/>
          <w:color w:val="555B66"/>
          <w:sz w:val="15"/>
        </w:rPr>
        <w:t>Quarterly NSV and EBITDA margin   |   Source: Company results; Diageo India releases</w:t>
      </w:r>
    </w:p>
    <w:p>
      <w:pPr>
        <w:spacing w:before="60" w:after="20"/>
        <w:jc w:val="center"/>
      </w:pPr>
      <w:r>
        <w:drawing>
          <wp:inline xmlns:a="http://schemas.openxmlformats.org/drawingml/2006/main" xmlns:pic="http://schemas.openxmlformats.org/drawingml/2006/picture">
            <wp:extent cx="5669280" cy="3257912"/>
            <wp:docPr id="11" name="Picture 11"/>
            <wp:cNvGraphicFramePr>
              <a:graphicFrameLocks noChangeAspect="1"/>
            </wp:cNvGraphicFramePr>
            <a:graphic>
              <a:graphicData uri="http://schemas.openxmlformats.org/drawingml/2006/picture">
                <pic:pic>
                  <pic:nvPicPr>
                    <pic:cNvPr id="0" name="q_growth.png"/>
                    <pic:cNvPicPr/>
                  </pic:nvPicPr>
                  <pic:blipFill>
                    <a:blip r:embed="rId19"/>
                    <a:stretch>
                      <a:fillRect/>
                    </a:stretch>
                  </pic:blipFill>
                  <pic:spPr>
                    <a:xfrm>
                      <a:off x="0" y="0"/>
                      <a:ext cx="5669280" cy="3257912"/>
                    </a:xfrm>
                    <a:prstGeom prst="rect"/>
                  </pic:spPr>
                </pic:pic>
              </a:graphicData>
            </a:graphic>
          </wp:inline>
        </w:drawing>
      </w:r>
    </w:p>
    <w:p>
      <w:pPr>
        <w:spacing w:after="140"/>
        <w:jc w:val="center"/>
      </w:pPr>
      <w:r>
        <w:rPr>
          <w:i/>
          <w:color w:val="555B66"/>
          <w:sz w:val="15"/>
        </w:rPr>
        <w:t>Quarterly growth: NSV versus PAT   |   Source: Company results</w:t>
      </w:r>
    </w:p>
    <w:p>
      <w:r>
        <w:br w:type="page"/>
      </w:r>
    </w:p>
    <w:p>
      <w:pPr>
        <w:spacing w:before="60" w:after="20"/>
        <w:jc w:val="center"/>
      </w:pPr>
      <w:r>
        <w:drawing>
          <wp:inline xmlns:a="http://schemas.openxmlformats.org/drawingml/2006/main" xmlns:pic="http://schemas.openxmlformats.org/drawingml/2006/picture">
            <wp:extent cx="5669280" cy="3350029"/>
            <wp:docPr id="12" name="Picture 12"/>
            <wp:cNvGraphicFramePr>
              <a:graphicFrameLocks noChangeAspect="1"/>
            </wp:cNvGraphicFramePr>
            <a:graphic>
              <a:graphicData uri="http://schemas.openxmlformats.org/drawingml/2006/picture">
                <pic:pic>
                  <pic:nvPicPr>
                    <pic:cNvPr id="0" name="q_ebitda_pat.png"/>
                    <pic:cNvPicPr/>
                  </pic:nvPicPr>
                  <pic:blipFill>
                    <a:blip r:embed="rId20"/>
                    <a:stretch>
                      <a:fillRect/>
                    </a:stretch>
                  </pic:blipFill>
                  <pic:spPr>
                    <a:xfrm>
                      <a:off x="0" y="0"/>
                      <a:ext cx="5669280" cy="3350029"/>
                    </a:xfrm>
                    <a:prstGeom prst="rect"/>
                  </pic:spPr>
                </pic:pic>
              </a:graphicData>
            </a:graphic>
          </wp:inline>
        </w:drawing>
      </w:r>
    </w:p>
    <w:p>
      <w:pPr>
        <w:spacing w:after="140"/>
        <w:jc w:val="center"/>
      </w:pPr>
      <w:r>
        <w:rPr>
          <w:i/>
          <w:color w:val="555B66"/>
          <w:sz w:val="15"/>
        </w:rPr>
        <w:t>Quarterly EBITDA and PAT   |   Source: Company results</w:t>
      </w:r>
    </w:p>
    <w:p>
      <w:pPr>
        <w:spacing w:before="160" w:after="60"/>
      </w:pPr>
      <w:r>
        <w:rPr>
          <w:b/>
          <w:color w:val="13558C"/>
          <w:sz w:val="22"/>
        </w:rPr>
        <w:t>Quarterly story in plain words</w:t>
      </w:r>
    </w:p>
    <w:p>
      <w:pPr>
        <w:spacing w:after="120"/>
        <w:jc w:val="both"/>
      </w:pPr>
      <w:r>
        <w:rPr>
          <w:b w:val="0"/>
          <w:i w:val="0"/>
          <w:sz w:val="20"/>
        </w:rPr>
        <w:t>FY26 was a year of two halves in terms of margins. The first quarter was weak on profit, the second quarter was very strong, the third quarter saw soft topline growth during the festive season, and the fourth quarter delivered a strong margin and profit even though sales growth was slow. Across the year the premium portfolio kept growing and the company held its strategy of value over volume. The big strategic news came in the fourth quarter and just after: the completion of the NAO Spirits purchase and the approval and sale of the RCB cricket franchise. Management, led by CEO and Managing Director Praveen Someshwar, repeated that the focus is double digit medium term revenue growth with margins slightly ahead.</w:t>
      </w:r>
    </w:p>
    <w:p>
      <w:r>
        <w:br w:type="page"/>
      </w:r>
    </w:p>
    <w:p>
      <w:pPr>
        <w:spacing w:before="200" w:after="80"/>
        <w:pBdr>
          <w:bottom w:val="single" w:sz="8" w:space="3" w:color="0B2545"/>
        </w:pBdr>
      </w:pPr>
      <w:r>
        <w:rPr>
          <w:b/>
          <w:color w:val="0B2545"/>
          <w:sz w:val="28"/>
        </w:rPr>
        <w:t>Earnings Call Highlights by Quarter</w:t>
      </w:r>
    </w:p>
    <w:p>
      <w:pPr>
        <w:spacing w:before="160" w:after="60"/>
      </w:pPr>
      <w:r>
        <w:rPr>
          <w:b/>
          <w:color w:val="13558C"/>
          <w:sz w:val="22"/>
        </w:rPr>
        <w:t>Q1 FY26 (quarter ended June 2025): profit dipped on mix and costs</w:t>
      </w:r>
    </w:p>
    <w:p>
      <w:pPr>
        <w:pStyle w:val="ListBullet"/>
        <w:spacing w:after="60"/>
      </w:pPr>
      <w:r>
        <w:rPr>
          <w:b/>
          <w:sz w:val="20"/>
        </w:rPr>
        <w:t xml:space="preserve">Result: </w:t>
      </w:r>
      <w:r>
        <w:rPr>
          <w:b w:val="0"/>
          <w:sz w:val="20"/>
        </w:rPr>
        <w:t>Standalone NSV grew about 8.4% to Rs 2,549 crore, helped by the re-entry into the Andhra Pradesh market. EBITDA fell about 9% to Rs 415 crore and the margin dropped to 16.3% from 19.5% a year earlier. Consolidated PAT fell about 14% to Rs 417 crore (CNBC TV18; Economic Times).</w:t>
      </w:r>
    </w:p>
    <w:p>
      <w:pPr>
        <w:pStyle w:val="ListBullet"/>
        <w:spacing w:after="60"/>
      </w:pPr>
      <w:r>
        <w:rPr>
          <w:b/>
          <w:sz w:val="20"/>
        </w:rPr>
        <w:t xml:space="preserve">Why margins fell: </w:t>
      </w:r>
      <w:r>
        <w:rPr>
          <w:b w:val="0"/>
          <w:sz w:val="20"/>
        </w:rPr>
        <w:t>the Andhra Pradesh re-entry added a large amount of lower margin Popular volume, input costs were higher, and the company reinvested about 9.3% of NSV in advertising and promotion to support key brands. So sales rose but profit fell.</w:t>
      </w:r>
    </w:p>
    <w:p>
      <w:pPr>
        <w:pStyle w:val="ListBullet"/>
        <w:spacing w:after="60"/>
      </w:pPr>
      <w:r>
        <w:rPr>
          <w:b/>
          <w:sz w:val="20"/>
        </w:rPr>
        <w:t xml:space="preserve">Management view: </w:t>
      </w:r>
      <w:r>
        <w:rPr>
          <w:b w:val="0"/>
          <w:sz w:val="20"/>
        </w:rPr>
        <w:t>the premium segment kept growing and the company framed the margin dip as a timing and mix effect rather than a change in the long term path. It maintained its guidance of double digit medium term growth.</w:t>
      </w:r>
    </w:p>
    <w:p>
      <w:pPr>
        <w:spacing w:before="160" w:after="60"/>
      </w:pPr>
      <w:r>
        <w:rPr>
          <w:b/>
          <w:color w:val="13558C"/>
          <w:sz w:val="22"/>
        </w:rPr>
        <w:t>Q2 FY26 (quarter ended September 2025): a strong beat across the board</w:t>
      </w:r>
    </w:p>
    <w:p>
      <w:pPr>
        <w:pStyle w:val="ListBullet"/>
        <w:spacing w:after="60"/>
      </w:pPr>
      <w:r>
        <w:rPr>
          <w:b/>
          <w:sz w:val="20"/>
        </w:rPr>
        <w:t xml:space="preserve">Result: </w:t>
      </w:r>
      <w:r>
        <w:rPr>
          <w:b w:val="0"/>
          <w:sz w:val="20"/>
        </w:rPr>
        <w:t>standalone NSV rose about 11.5% to Rs 3,170 crore. EBITDA jumped about 32.5% to Rs 672 crore and the margin reached 21.2%. Consolidated PAT rose about 36% to Rs 464 crore. The shares rose about 7% on the day (Diageo India release; CNBC TV18; Economic Times).</w:t>
      </w:r>
    </w:p>
    <w:p>
      <w:pPr>
        <w:pStyle w:val="ListBullet"/>
        <w:spacing w:after="60"/>
      </w:pPr>
      <w:r>
        <w:rPr>
          <w:b/>
          <w:sz w:val="20"/>
        </w:rPr>
        <w:t xml:space="preserve">Drivers: </w:t>
      </w:r>
      <w:r>
        <w:rPr>
          <w:b w:val="0"/>
          <w:sz w:val="20"/>
        </w:rPr>
        <w:t>Prestige and Above NSV grew about 12.4% and made up 89.6% of net sales. Even the Popular segment grew about 9.2%. Premium brands such as Johnnie Walker, Signature and Antiquity led the growth, and operating leverage lifted the margin sharply (Storyboard18).</w:t>
      </w:r>
    </w:p>
    <w:p>
      <w:pPr>
        <w:pStyle w:val="ListBullet"/>
        <w:spacing w:after="60"/>
      </w:pPr>
      <w:r>
        <w:rPr>
          <w:b/>
          <w:sz w:val="20"/>
        </w:rPr>
        <w:t xml:space="preserve">Management view: </w:t>
      </w:r>
      <w:r>
        <w:rPr>
          <w:b w:val="0"/>
          <w:sz w:val="20"/>
        </w:rPr>
        <w:t>management pointed to broad based premiumisation and good cost control. This quarter showed the full power of the premium mix when costs are well managed.</w:t>
      </w:r>
    </w:p>
    <w:p>
      <w:pPr>
        <w:spacing w:before="160" w:after="60"/>
      </w:pPr>
      <w:r>
        <w:rPr>
          <w:b/>
          <w:color w:val="13558C"/>
          <w:sz w:val="22"/>
        </w:rPr>
        <w:t>Q3 FY26 (quarter ended December 2025): soft topline in the festive quarter</w:t>
      </w:r>
    </w:p>
    <w:p>
      <w:pPr>
        <w:pStyle w:val="ListBullet"/>
        <w:spacing w:after="60"/>
      </w:pPr>
      <w:r>
        <w:rPr>
          <w:b/>
          <w:sz w:val="20"/>
        </w:rPr>
        <w:t xml:space="preserve">Result: </w:t>
      </w:r>
      <w:r>
        <w:rPr>
          <w:b w:val="0"/>
          <w:sz w:val="20"/>
        </w:rPr>
        <w:t>this is seasonally the biggest quarter. Standalone NSV grew about 7.6% to Rs 3,683 crore. Reported EBITDA was about Rs 599 to 618 crore, with growth of around 5.5% as the company stepped up advertising during the festive and wedding season. Consolidated PAT rose about 25% to Rs 418 crore. The board declared an interim dividend of Rs 6 per share. The shares fell about 3% as investors had hoped for faster sales growth (Economic Times; Businessworld).</w:t>
      </w:r>
    </w:p>
    <w:p>
      <w:pPr>
        <w:pStyle w:val="ListBullet"/>
        <w:spacing w:after="60"/>
      </w:pPr>
      <w:r>
        <w:rPr>
          <w:b/>
          <w:sz w:val="20"/>
        </w:rPr>
        <w:t xml:space="preserve">Management view: </w:t>
      </w:r>
      <w:r>
        <w:rPr>
          <w:b w:val="0"/>
          <w:sz w:val="20"/>
        </w:rPr>
        <w:t>management said about 80% of the national portfolio grew at double digit rates. It announced a relaunch of McDowell's No.1 to win back share in the lower Prestige segment, showing a focus on the parts of the portfolio that had lagged (Quartr).</w:t>
      </w:r>
    </w:p>
    <w:p>
      <w:pPr>
        <w:spacing w:before="160" w:after="60"/>
      </w:pPr>
      <w:r>
        <w:rPr>
          <w:b/>
          <w:color w:val="13558C"/>
          <w:sz w:val="22"/>
        </w:rPr>
        <w:t>Q4 FY26 (quarter ended March 2026): strong margin, slow sales, big strategic moves</w:t>
      </w:r>
    </w:p>
    <w:p>
      <w:pPr>
        <w:pStyle w:val="ListBullet"/>
        <w:spacing w:after="60"/>
      </w:pPr>
      <w:r>
        <w:rPr>
          <w:b/>
          <w:sz w:val="20"/>
        </w:rPr>
        <w:t xml:space="preserve">Result: </w:t>
      </w:r>
      <w:r>
        <w:rPr>
          <w:b w:val="0"/>
          <w:sz w:val="20"/>
        </w:rPr>
        <w:t>standalone NSV grew about 3.4% to Rs 3,046 crore, slowed by a high base and a seasonally weak quarter. Prestige and Above NSV grew about 5% to Rs 2,745 crore. EBITDA rose about 17% to Rs 591 crore and gross margin reached 47.3%, a multi quarter high, helped by lower advertising and employee costs. Consolidated PAT rose about 28% to Rs 539 crore. A final dividend was declared (Diageo India release; NDTV Profit; Businessworld, citing JPMorgan).</w:t>
      </w:r>
    </w:p>
    <w:p>
      <w:pPr>
        <w:pStyle w:val="ListBullet"/>
        <w:spacing w:after="60"/>
      </w:pPr>
      <w:r>
        <w:rPr>
          <w:b/>
          <w:sz w:val="20"/>
        </w:rPr>
        <w:t xml:space="preserve">Strategic moves: </w:t>
      </w:r>
      <w:r>
        <w:rPr>
          <w:b w:val="0"/>
          <w:sz w:val="20"/>
        </w:rPr>
        <w:t>the company completed the acquisition of NAO Spirits (the maker of Greater Than and Hapusa gin) and approved the sale of the RCB cricket franchise. The RCB sale for Rs 16,660 crore was completed in March 2026 to a group led by the Aditya Birla Group (Quartr; The Hindu).</w:t>
      </w:r>
    </w:p>
    <w:p>
      <w:pPr>
        <w:pStyle w:val="ListBullet"/>
        <w:spacing w:after="60"/>
      </w:pPr>
      <w:r>
        <w:rPr>
          <w:b/>
          <w:sz w:val="20"/>
        </w:rPr>
        <w:t xml:space="preserve">Management view: </w:t>
      </w:r>
      <w:r>
        <w:rPr>
          <w:b w:val="0"/>
          <w:sz w:val="20"/>
        </w:rPr>
        <w:t>management struck a positive tone on the growth outlook for FY27 and reiterated its focus on premiumisation, innovation and productivity.</w:t>
      </w:r>
    </w:p>
    <w:p>
      <w:r>
        <w:br w:type="page"/>
      </w:r>
    </w:p>
    <w:p>
      <w:pPr>
        <w:spacing w:before="200" w:after="80"/>
        <w:pBdr>
          <w:bottom w:val="single" w:sz="8" w:space="3" w:color="0B2545"/>
        </w:pBdr>
      </w:pPr>
      <w:r>
        <w:rPr>
          <w:b/>
          <w:color w:val="0B2545"/>
          <w:sz w:val="28"/>
        </w:rPr>
        <w:t>Investment Rationale</w:t>
      </w:r>
    </w:p>
    <w:p>
      <w:pPr>
        <w:spacing w:before="160" w:after="60"/>
      </w:pPr>
      <w:r>
        <w:rPr>
          <w:b/>
          <w:color w:val="13558C"/>
          <w:sz w:val="22"/>
        </w:rPr>
        <w:t>A rich and broad brand portfolio is the strongest pillar of growth</w:t>
      </w:r>
    </w:p>
    <w:p>
      <w:pPr>
        <w:spacing w:after="120"/>
        <w:jc w:val="both"/>
      </w:pPr>
      <w:r>
        <w:rPr>
          <w:b w:val="0"/>
          <w:i w:val="0"/>
          <w:sz w:val="20"/>
        </w:rPr>
        <w:t>United Spirits owns and operates one of the widest spirits portfolios in India, with more than 60 brands across scotch, IMFL whisky, brandy, rum, vodka and gin. Several brands sell over a million cases a year. The portfolio mixes old and new, large and small, and global and local brands. The company also imports and sells many famous Diageo brands such as Johnnie Walker, Captain Morgan, Baileys, Singleton, Tanqueray, Don Julio, Ketel One and Smirnoff under licence. This spread across price points lets USL serve both aspiring and affluent consumers and gives it pricing power at the premium end.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val="clear" w:fill="0B2545"/>
          </w:tcPr>
          <w:p>
            <w:pPr>
              <w:spacing w:after="20" w:before="20"/>
              <w:jc w:val="left"/>
            </w:pPr>
            <w:r/>
            <w:r>
              <w:rPr>
                <w:b/>
                <w:color w:val="FFFFFF"/>
                <w:sz w:val="16"/>
              </w:rPr>
              <w:t>Tier</w:t>
            </w:r>
          </w:p>
        </w:tc>
        <w:tc>
          <w:tcPr>
            <w:tcW w:type="dxa" w:w="4320"/>
            <w:shd w:val="clear" w:fill="0B2545"/>
          </w:tcPr>
          <w:p>
            <w:pPr>
              <w:spacing w:after="20" w:before="20"/>
              <w:jc w:val="center"/>
            </w:pPr>
            <w:r/>
            <w:r>
              <w:rPr>
                <w:b/>
                <w:color w:val="FFFFFF"/>
                <w:sz w:val="16"/>
              </w:rPr>
              <w:t>Marquee Brands</w:t>
            </w:r>
          </w:p>
        </w:tc>
        <w:tc>
          <w:tcPr>
            <w:tcW w:type="dxa" w:w="2160"/>
            <w:shd w:val="clear" w:fill="0B2545"/>
          </w:tcPr>
          <w:p>
            <w:pPr>
              <w:spacing w:after="20" w:before="20"/>
              <w:jc w:val="center"/>
            </w:pPr>
            <w:r/>
            <w:r>
              <w:rPr>
                <w:b/>
                <w:color w:val="FFFFFF"/>
                <w:sz w:val="16"/>
              </w:rPr>
              <w:t>Indicative Price (Rs/case)</w:t>
            </w:r>
          </w:p>
        </w:tc>
        <w:tc>
          <w:tcPr>
            <w:tcW w:type="dxa" w:w="2016"/>
            <w:shd w:val="clear" w:fill="0B2545"/>
          </w:tcPr>
          <w:p>
            <w:pPr>
              <w:spacing w:after="20" w:before="20"/>
              <w:jc w:val="center"/>
            </w:pPr>
            <w:r/>
            <w:r>
              <w:rPr>
                <w:b/>
                <w:color w:val="FFFFFF"/>
                <w:sz w:val="16"/>
              </w:rPr>
              <w:t>Indicative 5-yr CAGR</w:t>
            </w:r>
          </w:p>
        </w:tc>
      </w:tr>
      <w:tr>
        <w:tc>
          <w:tcPr>
            <w:tcW w:type="dxa" w:w="1728"/>
          </w:tcPr>
          <w:p>
            <w:pPr>
              <w:spacing w:after="20" w:before="20"/>
              <w:jc w:val="left"/>
            </w:pPr>
            <w:r/>
            <w:r>
              <w:rPr>
                <w:b/>
                <w:sz w:val="16"/>
              </w:rPr>
              <w:t>Luxury</w:t>
            </w:r>
          </w:p>
        </w:tc>
        <w:tc>
          <w:tcPr>
            <w:tcW w:type="dxa" w:w="4320"/>
          </w:tcPr>
          <w:p>
            <w:pPr>
              <w:spacing w:after="20" w:before="20"/>
              <w:jc w:val="center"/>
            </w:pPr>
            <w:r/>
            <w:r>
              <w:rPr>
                <w:b w:val="0"/>
                <w:sz w:val="16"/>
              </w:rPr>
              <w:t>Johnnie Walker, Godawan, Singleton, Tanqueray, Don Julio</w:t>
            </w:r>
          </w:p>
        </w:tc>
        <w:tc>
          <w:tcPr>
            <w:tcW w:type="dxa" w:w="2160"/>
          </w:tcPr>
          <w:p>
            <w:pPr>
              <w:spacing w:after="20" w:before="20"/>
              <w:jc w:val="center"/>
            </w:pPr>
            <w:r/>
            <w:r>
              <w:rPr>
                <w:b w:val="0"/>
                <w:sz w:val="16"/>
              </w:rPr>
              <w:t>Above 2,000</w:t>
            </w:r>
          </w:p>
        </w:tc>
        <w:tc>
          <w:tcPr>
            <w:tcW w:type="dxa" w:w="2016"/>
          </w:tcPr>
          <w:p>
            <w:pPr>
              <w:spacing w:after="20" w:before="20"/>
              <w:jc w:val="center"/>
            </w:pPr>
            <w:r/>
            <w:r>
              <w:rPr>
                <w:b w:val="0"/>
                <w:sz w:val="16"/>
              </w:rPr>
              <w:t>About 30% to 35%</w:t>
            </w:r>
          </w:p>
        </w:tc>
      </w:tr>
      <w:tr>
        <w:tc>
          <w:tcPr>
            <w:tcW w:type="dxa" w:w="1728"/>
            <w:shd w:val="clear" w:fill="EEF2F7"/>
          </w:tcPr>
          <w:p>
            <w:pPr>
              <w:spacing w:after="20" w:before="20"/>
              <w:jc w:val="left"/>
            </w:pPr>
            <w:r/>
            <w:r>
              <w:rPr>
                <w:b/>
                <w:sz w:val="16"/>
              </w:rPr>
              <w:t>Premium</w:t>
            </w:r>
          </w:p>
        </w:tc>
        <w:tc>
          <w:tcPr>
            <w:tcW w:type="dxa" w:w="4320"/>
            <w:shd w:val="clear" w:fill="EEF2F7"/>
          </w:tcPr>
          <w:p>
            <w:pPr>
              <w:spacing w:after="20" w:before="20"/>
              <w:jc w:val="center"/>
            </w:pPr>
            <w:r/>
            <w:r>
              <w:rPr>
                <w:b w:val="0"/>
                <w:sz w:val="16"/>
              </w:rPr>
              <w:t>Black and White, Black Dog, Signature, Smirnoff</w:t>
            </w:r>
          </w:p>
        </w:tc>
        <w:tc>
          <w:tcPr>
            <w:tcW w:type="dxa" w:w="2160"/>
            <w:shd w:val="clear" w:fill="EEF2F7"/>
          </w:tcPr>
          <w:p>
            <w:pPr>
              <w:spacing w:after="20" w:before="20"/>
              <w:jc w:val="center"/>
            </w:pPr>
            <w:r/>
            <w:r>
              <w:rPr>
                <w:b w:val="0"/>
                <w:sz w:val="16"/>
              </w:rPr>
              <w:t>800 to 2,000</w:t>
            </w:r>
          </w:p>
        </w:tc>
        <w:tc>
          <w:tcPr>
            <w:tcW w:type="dxa" w:w="2016"/>
            <w:shd w:val="clear" w:fill="EEF2F7"/>
          </w:tcPr>
          <w:p>
            <w:pPr>
              <w:spacing w:after="20" w:before="20"/>
              <w:jc w:val="center"/>
            </w:pPr>
            <w:r/>
            <w:r>
              <w:rPr>
                <w:b w:val="0"/>
                <w:sz w:val="16"/>
              </w:rPr>
              <w:t>About 15%</w:t>
            </w:r>
          </w:p>
        </w:tc>
      </w:tr>
      <w:tr>
        <w:tc>
          <w:tcPr>
            <w:tcW w:type="dxa" w:w="1728"/>
          </w:tcPr>
          <w:p>
            <w:pPr>
              <w:spacing w:after="20" w:before="20"/>
              <w:jc w:val="left"/>
            </w:pPr>
            <w:r/>
            <w:r>
              <w:rPr>
                <w:b/>
                <w:sz w:val="16"/>
              </w:rPr>
              <w:t>Prestige</w:t>
            </w:r>
          </w:p>
        </w:tc>
        <w:tc>
          <w:tcPr>
            <w:tcW w:type="dxa" w:w="4320"/>
          </w:tcPr>
          <w:p>
            <w:pPr>
              <w:spacing w:after="20" w:before="20"/>
              <w:jc w:val="center"/>
            </w:pPr>
            <w:r/>
            <w:r>
              <w:rPr>
                <w:b w:val="0"/>
                <w:sz w:val="16"/>
              </w:rPr>
              <w:t>McDowell's No.1, Royal Challenge, Antiquity</w:t>
            </w:r>
          </w:p>
        </w:tc>
        <w:tc>
          <w:tcPr>
            <w:tcW w:type="dxa" w:w="2160"/>
          </w:tcPr>
          <w:p>
            <w:pPr>
              <w:spacing w:after="20" w:before="20"/>
              <w:jc w:val="center"/>
            </w:pPr>
            <w:r/>
            <w:r>
              <w:rPr>
                <w:b w:val="0"/>
                <w:sz w:val="16"/>
              </w:rPr>
              <w:t>400 to 800</w:t>
            </w:r>
          </w:p>
        </w:tc>
        <w:tc>
          <w:tcPr>
            <w:tcW w:type="dxa" w:w="2016"/>
          </w:tcPr>
          <w:p>
            <w:pPr>
              <w:spacing w:after="20" w:before="20"/>
              <w:jc w:val="center"/>
            </w:pPr>
            <w:r/>
            <w:r>
              <w:rPr>
                <w:b w:val="0"/>
                <w:sz w:val="16"/>
              </w:rPr>
              <w:t>About 5%</w:t>
            </w:r>
          </w:p>
        </w:tc>
      </w:tr>
      <w:tr>
        <w:tc>
          <w:tcPr>
            <w:tcW w:type="dxa" w:w="1728"/>
            <w:shd w:val="clear" w:fill="EEF2F7"/>
          </w:tcPr>
          <w:p>
            <w:pPr>
              <w:spacing w:after="20" w:before="20"/>
              <w:jc w:val="left"/>
            </w:pPr>
            <w:r/>
            <w:r>
              <w:rPr>
                <w:b/>
                <w:sz w:val="16"/>
              </w:rPr>
              <w:t>Popular</w:t>
            </w:r>
          </w:p>
        </w:tc>
        <w:tc>
          <w:tcPr>
            <w:tcW w:type="dxa" w:w="4320"/>
            <w:shd w:val="clear" w:fill="EEF2F7"/>
          </w:tcPr>
          <w:p>
            <w:pPr>
              <w:spacing w:after="20" w:before="20"/>
              <w:jc w:val="center"/>
            </w:pPr>
            <w:r/>
            <w:r>
              <w:rPr>
                <w:b w:val="0"/>
                <w:sz w:val="16"/>
              </w:rPr>
              <w:t>Director's Special Black, mass whiskies and rums</w:t>
            </w:r>
          </w:p>
        </w:tc>
        <w:tc>
          <w:tcPr>
            <w:tcW w:type="dxa" w:w="2160"/>
            <w:shd w:val="clear" w:fill="EEF2F7"/>
          </w:tcPr>
          <w:p>
            <w:pPr>
              <w:spacing w:after="20" w:before="20"/>
              <w:jc w:val="center"/>
            </w:pPr>
            <w:r/>
            <w:r>
              <w:rPr>
                <w:b w:val="0"/>
                <w:sz w:val="16"/>
              </w:rPr>
              <w:t>Below 400</w:t>
            </w:r>
          </w:p>
        </w:tc>
        <w:tc>
          <w:tcPr>
            <w:tcW w:type="dxa" w:w="2016"/>
            <w:shd w:val="clear" w:fill="EEF2F7"/>
          </w:tcPr>
          <w:p>
            <w:pPr>
              <w:spacing w:after="20" w:before="20"/>
              <w:jc w:val="center"/>
            </w:pPr>
            <w:r/>
            <w:r>
              <w:rPr>
                <w:b w:val="0"/>
                <w:sz w:val="16"/>
              </w:rPr>
              <w:t>Flat to negative</w:t>
            </w:r>
          </w:p>
        </w:tc>
      </w:tr>
    </w:tbl>
    <w:p>
      <w:pPr>
        <w:spacing w:after="40"/>
      </w:pPr>
    </w:p>
    <w:p>
      <w:pPr>
        <w:spacing w:before="160" w:after="60"/>
      </w:pPr>
      <w:r>
        <w:rPr>
          <w:b/>
          <w:color w:val="13558C"/>
          <w:sz w:val="22"/>
        </w:rPr>
        <w:t>A well timed pivot to premium supports double digit revenue growth</w:t>
      </w:r>
    </w:p>
    <w:p>
      <w:pPr>
        <w:spacing w:after="120"/>
        <w:jc w:val="both"/>
      </w:pPr>
      <w:r>
        <w:rPr>
          <w:b w:val="0"/>
          <w:i w:val="0"/>
          <w:sz w:val="20"/>
        </w:rPr>
        <w:t>In 2022 USL sold 32 Popular brands and franchised several more, so that it could focus on Prestige and Above. Since then the premium share of sales has climbed towards 90%. New launches such as Godawan single malt, which has won many international awards, and Royal Challenge American Pride, one of the fastest growing new products, have supported this shift. The renovation of brands such as Antiquity, Black Dog and McDowell's No.1 has also helped. This portfolio work is the main reason we expect value led growth to continue.</w:t>
      </w:r>
    </w:p>
    <w:p>
      <w:pPr>
        <w:spacing w:before="160" w:after="60"/>
      </w:pPr>
      <w:r>
        <w:rPr>
          <w:b/>
          <w:color w:val="13558C"/>
          <w:sz w:val="22"/>
        </w:rPr>
        <w:t>Strong cash and a clean balance sheet</w:t>
      </w:r>
    </w:p>
    <w:p>
      <w:pPr>
        <w:spacing w:after="120"/>
        <w:jc w:val="both"/>
      </w:pPr>
      <w:r>
        <w:rPr>
          <w:b w:val="0"/>
          <w:i w:val="0"/>
          <w:sz w:val="20"/>
        </w:rPr>
        <w:t>USL is effectively debt free and holds net cash. This gives it the flexibility to invest in brands, pay healthy dividends and absorb cost shocks. The Rs 16,660 crore from the RCB sale adds further to this strength and creates options for shareholder returns.</w:t>
      </w:r>
    </w:p>
    <w:p>
      <w:r>
        <w:br w:type="page"/>
      </w:r>
    </w:p>
    <w:p>
      <w:pPr>
        <w:spacing w:before="200" w:after="80"/>
        <w:pBdr>
          <w:bottom w:val="single" w:sz="8" w:space="3" w:color="0B2545"/>
        </w:pBdr>
      </w:pPr>
      <w:r>
        <w:rPr>
          <w:b/>
          <w:color w:val="0B2545"/>
          <w:sz w:val="28"/>
        </w:rPr>
        <w:t>Financial Analysis</w:t>
      </w:r>
    </w:p>
    <w:p>
      <w:pPr>
        <w:spacing w:before="160" w:after="60"/>
      </w:pPr>
      <w:r>
        <w:rPr>
          <w:b/>
          <w:color w:val="13558C"/>
          <w:sz w:val="22"/>
        </w:rPr>
        <w:t>Income Statement (consolidated, Rs cr)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024"/>
            <w:shd w:val="clear" w:fill="0B2545"/>
          </w:tcPr>
          <w:p>
            <w:pPr>
              <w:spacing w:after="20" w:before="20"/>
              <w:jc w:val="left"/>
            </w:pPr>
            <w:r/>
            <w:r>
              <w:rPr>
                <w:b/>
                <w:color w:val="FFFFFF"/>
                <w:sz w:val="16"/>
              </w:rPr>
              <w:t>Particulars</w:t>
            </w:r>
          </w:p>
        </w:tc>
        <w:tc>
          <w:tcPr>
            <w:tcW w:type="dxa" w:w="1296"/>
            <w:shd w:val="clear" w:fill="0B2545"/>
          </w:tcPr>
          <w:p>
            <w:pPr>
              <w:spacing w:after="20" w:before="20"/>
              <w:jc w:val="center"/>
            </w:pPr>
            <w:r/>
            <w:r>
              <w:rPr>
                <w:b/>
                <w:color w:val="FFFFFF"/>
                <w:sz w:val="16"/>
              </w:rPr>
              <w:t>FY24</w:t>
            </w:r>
          </w:p>
        </w:tc>
        <w:tc>
          <w:tcPr>
            <w:tcW w:type="dxa" w:w="1296"/>
            <w:shd w:val="clear" w:fill="0B2545"/>
          </w:tcPr>
          <w:p>
            <w:pPr>
              <w:spacing w:after="20" w:before="20"/>
              <w:jc w:val="center"/>
            </w:pPr>
            <w:r/>
            <w:r>
              <w:rPr>
                <w:b/>
                <w:color w:val="FFFFFF"/>
                <w:sz w:val="16"/>
              </w:rPr>
              <w:t>FY25</w:t>
            </w:r>
          </w:p>
        </w:tc>
        <w:tc>
          <w:tcPr>
            <w:tcW w:type="dxa" w:w="1296"/>
            <w:shd w:val="clear" w:fill="0B2545"/>
          </w:tcPr>
          <w:p>
            <w:pPr>
              <w:spacing w:after="20" w:before="20"/>
              <w:jc w:val="center"/>
            </w:pPr>
            <w:r/>
            <w:r>
              <w:rPr>
                <w:b/>
                <w:color w:val="FFFFFF"/>
                <w:sz w:val="16"/>
              </w:rPr>
              <w:t>FY26</w:t>
            </w:r>
          </w:p>
        </w:tc>
        <w:tc>
          <w:tcPr>
            <w:tcW w:type="dxa" w:w="1296"/>
            <w:shd w:val="clear" w:fill="0B2545"/>
          </w:tcPr>
          <w:p>
            <w:pPr>
              <w:spacing w:after="20" w:before="20"/>
              <w:jc w:val="center"/>
            </w:pPr>
            <w:r/>
            <w:r>
              <w:rPr>
                <w:b/>
                <w:color w:val="FFFFFF"/>
                <w:sz w:val="16"/>
              </w:rPr>
              <w:t>FY27E</w:t>
            </w:r>
          </w:p>
        </w:tc>
        <w:tc>
          <w:tcPr>
            <w:tcW w:type="dxa" w:w="1296"/>
            <w:shd w:val="clear" w:fill="0B2545"/>
          </w:tcPr>
          <w:p>
            <w:pPr>
              <w:spacing w:after="20" w:before="20"/>
              <w:jc w:val="center"/>
            </w:pPr>
            <w:r/>
            <w:r>
              <w:rPr>
                <w:b/>
                <w:color w:val="FFFFFF"/>
                <w:sz w:val="16"/>
              </w:rPr>
              <w:t>FY28E</w:t>
            </w:r>
          </w:p>
        </w:tc>
      </w:tr>
      <w:tr>
        <w:tc>
          <w:tcPr>
            <w:tcW w:type="dxa" w:w="3024"/>
          </w:tcPr>
          <w:p>
            <w:pPr>
              <w:spacing w:after="20" w:before="20"/>
              <w:jc w:val="left"/>
            </w:pPr>
            <w:r/>
            <w:r>
              <w:rPr>
                <w:b/>
                <w:sz w:val="16"/>
              </w:rPr>
              <w:t>Net Sales Value</w:t>
            </w:r>
          </w:p>
        </w:tc>
        <w:tc>
          <w:tcPr>
            <w:tcW w:type="dxa" w:w="1296"/>
          </w:tcPr>
          <w:p>
            <w:pPr>
              <w:spacing w:after="20" w:before="20"/>
              <w:jc w:val="center"/>
            </w:pPr>
            <w:r/>
            <w:r>
              <w:rPr>
                <w:b w:val="0"/>
                <w:sz w:val="16"/>
              </w:rPr>
              <w:t>11,321</w:t>
            </w:r>
          </w:p>
        </w:tc>
        <w:tc>
          <w:tcPr>
            <w:tcW w:type="dxa" w:w="1296"/>
          </w:tcPr>
          <w:p>
            <w:pPr>
              <w:spacing w:after="20" w:before="20"/>
              <w:jc w:val="center"/>
            </w:pPr>
            <w:r/>
            <w:r>
              <w:rPr>
                <w:b w:val="0"/>
                <w:sz w:val="16"/>
              </w:rPr>
              <w:t>12,069</w:t>
            </w:r>
          </w:p>
        </w:tc>
        <w:tc>
          <w:tcPr>
            <w:tcW w:type="dxa" w:w="1296"/>
          </w:tcPr>
          <w:p>
            <w:pPr>
              <w:spacing w:after="20" w:before="20"/>
              <w:jc w:val="center"/>
            </w:pPr>
            <w:r/>
            <w:r>
              <w:rPr>
                <w:b w:val="0"/>
                <w:sz w:val="16"/>
              </w:rPr>
              <w:t>12,467</w:t>
            </w:r>
          </w:p>
        </w:tc>
        <w:tc>
          <w:tcPr>
            <w:tcW w:type="dxa" w:w="1296"/>
          </w:tcPr>
          <w:p>
            <w:pPr>
              <w:spacing w:after="20" w:before="20"/>
              <w:jc w:val="center"/>
            </w:pPr>
            <w:r/>
            <w:r>
              <w:rPr>
                <w:b w:val="0"/>
                <w:sz w:val="16"/>
              </w:rPr>
              <w:t>13,589</w:t>
            </w:r>
          </w:p>
        </w:tc>
        <w:tc>
          <w:tcPr>
            <w:tcW w:type="dxa" w:w="1296"/>
          </w:tcPr>
          <w:p>
            <w:pPr>
              <w:spacing w:after="20" w:before="20"/>
              <w:jc w:val="center"/>
            </w:pPr>
            <w:r/>
            <w:r>
              <w:rPr>
                <w:b w:val="0"/>
                <w:sz w:val="16"/>
              </w:rPr>
              <w:t>14,812</w:t>
            </w:r>
          </w:p>
        </w:tc>
      </w:tr>
      <w:tr>
        <w:tc>
          <w:tcPr>
            <w:tcW w:type="dxa" w:w="3024"/>
            <w:shd w:val="clear" w:fill="EEF2F7"/>
          </w:tcPr>
          <w:p>
            <w:pPr>
              <w:spacing w:after="20" w:before="20"/>
              <w:jc w:val="left"/>
            </w:pPr>
            <w:r/>
            <w:r>
              <w:rPr>
                <w:b/>
                <w:sz w:val="16"/>
              </w:rPr>
              <w:t>Growth %</w:t>
            </w:r>
          </w:p>
        </w:tc>
        <w:tc>
          <w:tcPr>
            <w:tcW w:type="dxa" w:w="1296"/>
            <w:shd w:val="clear" w:fill="EEF2F7"/>
          </w:tcPr>
          <w:p>
            <w:pPr>
              <w:spacing w:after="20" w:before="20"/>
              <w:jc w:val="center"/>
            </w:pPr>
            <w:r/>
            <w:r>
              <w:rPr>
                <w:b w:val="0"/>
                <w:sz w:val="16"/>
              </w:rPr>
              <w:t>6.7</w:t>
            </w:r>
          </w:p>
        </w:tc>
        <w:tc>
          <w:tcPr>
            <w:tcW w:type="dxa" w:w="1296"/>
            <w:shd w:val="clear" w:fill="EEF2F7"/>
          </w:tcPr>
          <w:p>
            <w:pPr>
              <w:spacing w:after="20" w:before="20"/>
              <w:jc w:val="center"/>
            </w:pPr>
            <w:r/>
            <w:r>
              <w:rPr>
                <w:b w:val="0"/>
                <w:sz w:val="16"/>
              </w:rPr>
              <w:t>6.6</w:t>
            </w:r>
          </w:p>
        </w:tc>
        <w:tc>
          <w:tcPr>
            <w:tcW w:type="dxa" w:w="1296"/>
            <w:shd w:val="clear" w:fill="EEF2F7"/>
          </w:tcPr>
          <w:p>
            <w:pPr>
              <w:spacing w:after="20" w:before="20"/>
              <w:jc w:val="center"/>
            </w:pPr>
            <w:r/>
            <w:r>
              <w:rPr>
                <w:b w:val="0"/>
                <w:sz w:val="16"/>
              </w:rPr>
              <w:t>3.3</w:t>
            </w:r>
          </w:p>
        </w:tc>
        <w:tc>
          <w:tcPr>
            <w:tcW w:type="dxa" w:w="1296"/>
            <w:shd w:val="clear" w:fill="EEF2F7"/>
          </w:tcPr>
          <w:p>
            <w:pPr>
              <w:spacing w:after="20" w:before="20"/>
              <w:jc w:val="center"/>
            </w:pPr>
            <w:r/>
            <w:r>
              <w:rPr>
                <w:b w:val="0"/>
                <w:sz w:val="16"/>
              </w:rPr>
              <w:t>9.0</w:t>
            </w:r>
          </w:p>
        </w:tc>
        <w:tc>
          <w:tcPr>
            <w:tcW w:type="dxa" w:w="1296"/>
            <w:shd w:val="clear" w:fill="EEF2F7"/>
          </w:tcPr>
          <w:p>
            <w:pPr>
              <w:spacing w:after="20" w:before="20"/>
              <w:jc w:val="center"/>
            </w:pPr>
            <w:r/>
            <w:r>
              <w:rPr>
                <w:b w:val="0"/>
                <w:sz w:val="16"/>
              </w:rPr>
              <w:t>9.0</w:t>
            </w:r>
          </w:p>
        </w:tc>
      </w:tr>
      <w:tr>
        <w:tc>
          <w:tcPr>
            <w:tcW w:type="dxa" w:w="3024"/>
          </w:tcPr>
          <w:p>
            <w:pPr>
              <w:spacing w:after="20" w:before="20"/>
              <w:jc w:val="left"/>
            </w:pPr>
            <w:r/>
            <w:r>
              <w:rPr>
                <w:b/>
                <w:sz w:val="16"/>
              </w:rPr>
              <w:t>Gross Profit</w:t>
            </w:r>
          </w:p>
        </w:tc>
        <w:tc>
          <w:tcPr>
            <w:tcW w:type="dxa" w:w="1296"/>
          </w:tcPr>
          <w:p>
            <w:pPr>
              <w:spacing w:after="20" w:before="20"/>
              <w:jc w:val="center"/>
            </w:pPr>
            <w:r/>
            <w:r>
              <w:rPr>
                <w:b w:val="0"/>
                <w:sz w:val="16"/>
              </w:rPr>
              <w:t>4,779</w:t>
            </w:r>
          </w:p>
        </w:tc>
        <w:tc>
          <w:tcPr>
            <w:tcW w:type="dxa" w:w="1296"/>
          </w:tcPr>
          <w:p>
            <w:pPr>
              <w:spacing w:after="20" w:before="20"/>
              <w:jc w:val="center"/>
            </w:pPr>
            <w:r/>
            <w:r>
              <w:rPr>
                <w:b w:val="0"/>
                <w:sz w:val="16"/>
              </w:rPr>
              <w:t>5,209</w:t>
            </w:r>
          </w:p>
        </w:tc>
        <w:tc>
          <w:tcPr>
            <w:tcW w:type="dxa" w:w="1296"/>
          </w:tcPr>
          <w:p>
            <w:pPr>
              <w:spacing w:after="20" w:before="20"/>
              <w:jc w:val="center"/>
            </w:pPr>
            <w:r/>
            <w:r>
              <w:rPr>
                <w:b w:val="0"/>
                <w:sz w:val="16"/>
              </w:rPr>
              <w:t>5,793</w:t>
            </w:r>
          </w:p>
        </w:tc>
        <w:tc>
          <w:tcPr>
            <w:tcW w:type="dxa" w:w="1296"/>
          </w:tcPr>
          <w:p>
            <w:pPr>
              <w:spacing w:after="20" w:before="20"/>
              <w:jc w:val="center"/>
            </w:pPr>
            <w:r/>
            <w:r>
              <w:rPr>
                <w:b w:val="0"/>
                <w:sz w:val="16"/>
              </w:rPr>
              <w:t>6,183</w:t>
            </w:r>
          </w:p>
        </w:tc>
        <w:tc>
          <w:tcPr>
            <w:tcW w:type="dxa" w:w="1296"/>
          </w:tcPr>
          <w:p>
            <w:pPr>
              <w:spacing w:after="20" w:before="20"/>
              <w:jc w:val="center"/>
            </w:pPr>
            <w:r/>
            <w:r>
              <w:rPr>
                <w:b w:val="0"/>
                <w:sz w:val="16"/>
              </w:rPr>
              <w:t>6,814</w:t>
            </w:r>
          </w:p>
        </w:tc>
      </w:tr>
      <w:tr>
        <w:tc>
          <w:tcPr>
            <w:tcW w:type="dxa" w:w="3024"/>
            <w:shd w:val="clear" w:fill="EEF2F7"/>
          </w:tcPr>
          <w:p>
            <w:pPr>
              <w:spacing w:after="20" w:before="20"/>
              <w:jc w:val="left"/>
            </w:pPr>
            <w:r/>
            <w:r>
              <w:rPr>
                <w:b/>
                <w:sz w:val="16"/>
              </w:rPr>
              <w:t>Gross Margin %</w:t>
            </w:r>
          </w:p>
        </w:tc>
        <w:tc>
          <w:tcPr>
            <w:tcW w:type="dxa" w:w="1296"/>
            <w:shd w:val="clear" w:fill="EEF2F7"/>
          </w:tcPr>
          <w:p>
            <w:pPr>
              <w:spacing w:after="20" w:before="20"/>
              <w:jc w:val="center"/>
            </w:pPr>
            <w:r/>
            <w:r>
              <w:rPr>
                <w:b w:val="0"/>
                <w:sz w:val="16"/>
              </w:rPr>
              <w:t>42</w:t>
            </w:r>
          </w:p>
        </w:tc>
        <w:tc>
          <w:tcPr>
            <w:tcW w:type="dxa" w:w="1296"/>
            <w:shd w:val="clear" w:fill="EEF2F7"/>
          </w:tcPr>
          <w:p>
            <w:pPr>
              <w:spacing w:after="20" w:before="20"/>
              <w:jc w:val="center"/>
            </w:pPr>
            <w:r/>
            <w:r>
              <w:rPr>
                <w:b w:val="0"/>
                <w:sz w:val="16"/>
              </w:rPr>
              <w:t>43</w:t>
            </w:r>
          </w:p>
        </w:tc>
        <w:tc>
          <w:tcPr>
            <w:tcW w:type="dxa" w:w="1296"/>
            <w:shd w:val="clear" w:fill="EEF2F7"/>
          </w:tcPr>
          <w:p>
            <w:pPr>
              <w:spacing w:after="20" w:before="20"/>
              <w:jc w:val="center"/>
            </w:pPr>
            <w:r/>
            <w:r>
              <w:rPr>
                <w:b w:val="0"/>
                <w:sz w:val="16"/>
              </w:rPr>
              <w:t>46</w:t>
            </w:r>
          </w:p>
        </w:tc>
        <w:tc>
          <w:tcPr>
            <w:tcW w:type="dxa" w:w="1296"/>
            <w:shd w:val="clear" w:fill="EEF2F7"/>
          </w:tcPr>
          <w:p>
            <w:pPr>
              <w:spacing w:after="20" w:before="20"/>
              <w:jc w:val="center"/>
            </w:pPr>
            <w:r/>
            <w:r>
              <w:rPr>
                <w:b w:val="0"/>
                <w:sz w:val="16"/>
              </w:rPr>
              <w:t>46</w:t>
            </w:r>
          </w:p>
        </w:tc>
        <w:tc>
          <w:tcPr>
            <w:tcW w:type="dxa" w:w="1296"/>
            <w:shd w:val="clear" w:fill="EEF2F7"/>
          </w:tcPr>
          <w:p>
            <w:pPr>
              <w:spacing w:after="20" w:before="20"/>
              <w:jc w:val="center"/>
            </w:pPr>
            <w:r/>
            <w:r>
              <w:rPr>
                <w:b w:val="0"/>
                <w:sz w:val="16"/>
              </w:rPr>
              <w:t>46</w:t>
            </w:r>
          </w:p>
        </w:tc>
      </w:tr>
      <w:tr>
        <w:tc>
          <w:tcPr>
            <w:tcW w:type="dxa" w:w="3024"/>
          </w:tcPr>
          <w:p>
            <w:pPr>
              <w:spacing w:after="20" w:before="20"/>
              <w:jc w:val="left"/>
            </w:pPr>
            <w:r/>
            <w:r>
              <w:rPr>
                <w:b/>
                <w:sz w:val="16"/>
              </w:rPr>
              <w:t>EBITDA</w:t>
            </w:r>
          </w:p>
        </w:tc>
        <w:tc>
          <w:tcPr>
            <w:tcW w:type="dxa" w:w="1296"/>
          </w:tcPr>
          <w:p>
            <w:pPr>
              <w:spacing w:after="20" w:before="20"/>
              <w:jc w:val="center"/>
            </w:pPr>
            <w:r/>
            <w:r>
              <w:rPr>
                <w:b w:val="0"/>
                <w:sz w:val="16"/>
              </w:rPr>
              <w:t>2,000</w:t>
            </w:r>
          </w:p>
        </w:tc>
        <w:tc>
          <w:tcPr>
            <w:tcW w:type="dxa" w:w="1296"/>
          </w:tcPr>
          <w:p>
            <w:pPr>
              <w:spacing w:after="20" w:before="20"/>
              <w:jc w:val="center"/>
            </w:pPr>
            <w:r/>
            <w:r>
              <w:rPr>
                <w:b w:val="0"/>
                <w:sz w:val="16"/>
              </w:rPr>
              <w:t>2,236</w:t>
            </w:r>
          </w:p>
        </w:tc>
        <w:tc>
          <w:tcPr>
            <w:tcW w:type="dxa" w:w="1296"/>
          </w:tcPr>
          <w:p>
            <w:pPr>
              <w:spacing w:after="20" w:before="20"/>
              <w:jc w:val="center"/>
            </w:pPr>
            <w:r/>
            <w:r>
              <w:rPr>
                <w:b w:val="0"/>
                <w:sz w:val="16"/>
              </w:rPr>
              <w:t>2,279</w:t>
            </w:r>
          </w:p>
        </w:tc>
        <w:tc>
          <w:tcPr>
            <w:tcW w:type="dxa" w:w="1296"/>
          </w:tcPr>
          <w:p>
            <w:pPr>
              <w:spacing w:after="20" w:before="20"/>
              <w:jc w:val="center"/>
            </w:pPr>
            <w:r/>
            <w:r>
              <w:rPr>
                <w:b w:val="0"/>
                <w:sz w:val="16"/>
              </w:rPr>
              <w:t>2,547</w:t>
            </w:r>
          </w:p>
        </w:tc>
        <w:tc>
          <w:tcPr>
            <w:tcW w:type="dxa" w:w="1296"/>
          </w:tcPr>
          <w:p>
            <w:pPr>
              <w:spacing w:after="20" w:before="20"/>
              <w:jc w:val="center"/>
            </w:pPr>
            <w:r/>
            <w:r>
              <w:rPr>
                <w:b w:val="0"/>
                <w:sz w:val="16"/>
              </w:rPr>
              <w:t>2,851</w:t>
            </w:r>
          </w:p>
        </w:tc>
      </w:tr>
      <w:tr>
        <w:tc>
          <w:tcPr>
            <w:tcW w:type="dxa" w:w="3024"/>
            <w:shd w:val="clear" w:fill="EEF2F7"/>
          </w:tcPr>
          <w:p>
            <w:pPr>
              <w:spacing w:after="20" w:before="20"/>
              <w:jc w:val="left"/>
            </w:pPr>
            <w:r/>
            <w:r>
              <w:rPr>
                <w:b/>
                <w:sz w:val="16"/>
              </w:rPr>
              <w:t>EBITDA Margin %</w:t>
            </w:r>
          </w:p>
        </w:tc>
        <w:tc>
          <w:tcPr>
            <w:tcW w:type="dxa" w:w="1296"/>
            <w:shd w:val="clear" w:fill="EEF2F7"/>
          </w:tcPr>
          <w:p>
            <w:pPr>
              <w:spacing w:after="20" w:before="20"/>
              <w:jc w:val="center"/>
            </w:pPr>
            <w:r/>
            <w:r>
              <w:rPr>
                <w:b w:val="0"/>
                <w:sz w:val="16"/>
              </w:rPr>
              <w:t>18</w:t>
            </w:r>
          </w:p>
        </w:tc>
        <w:tc>
          <w:tcPr>
            <w:tcW w:type="dxa" w:w="1296"/>
            <w:shd w:val="clear" w:fill="EEF2F7"/>
          </w:tcPr>
          <w:p>
            <w:pPr>
              <w:spacing w:after="20" w:before="20"/>
              <w:jc w:val="center"/>
            </w:pPr>
            <w:r/>
            <w:r>
              <w:rPr>
                <w:b w:val="0"/>
                <w:sz w:val="16"/>
              </w:rPr>
              <w:t>19</w:t>
            </w:r>
          </w:p>
        </w:tc>
        <w:tc>
          <w:tcPr>
            <w:tcW w:type="dxa" w:w="1296"/>
            <w:shd w:val="clear" w:fill="EEF2F7"/>
          </w:tcPr>
          <w:p>
            <w:pPr>
              <w:spacing w:after="20" w:before="20"/>
              <w:jc w:val="center"/>
            </w:pPr>
            <w:r/>
            <w:r>
              <w:rPr>
                <w:b w:val="0"/>
                <w:sz w:val="16"/>
              </w:rPr>
              <w:t>18</w:t>
            </w:r>
          </w:p>
        </w:tc>
        <w:tc>
          <w:tcPr>
            <w:tcW w:type="dxa" w:w="1296"/>
            <w:shd w:val="clear" w:fill="EEF2F7"/>
          </w:tcPr>
          <w:p>
            <w:pPr>
              <w:spacing w:after="20" w:before="20"/>
              <w:jc w:val="center"/>
            </w:pPr>
            <w:r/>
            <w:r>
              <w:rPr>
                <w:b w:val="0"/>
                <w:sz w:val="16"/>
              </w:rPr>
              <w:t>19</w:t>
            </w:r>
          </w:p>
        </w:tc>
        <w:tc>
          <w:tcPr>
            <w:tcW w:type="dxa" w:w="1296"/>
            <w:shd w:val="clear" w:fill="EEF2F7"/>
          </w:tcPr>
          <w:p>
            <w:pPr>
              <w:spacing w:after="20" w:before="20"/>
              <w:jc w:val="center"/>
            </w:pPr>
            <w:r/>
            <w:r>
              <w:rPr>
                <w:b w:val="0"/>
                <w:sz w:val="16"/>
              </w:rPr>
              <w:t>19</w:t>
            </w:r>
          </w:p>
        </w:tc>
      </w:tr>
      <w:tr>
        <w:tc>
          <w:tcPr>
            <w:tcW w:type="dxa" w:w="3024"/>
          </w:tcPr>
          <w:p>
            <w:pPr>
              <w:spacing w:after="20" w:before="20"/>
              <w:jc w:val="left"/>
            </w:pPr>
            <w:r/>
            <w:r>
              <w:rPr>
                <w:b/>
                <w:sz w:val="16"/>
              </w:rPr>
              <w:t>EBIT</w:t>
            </w:r>
          </w:p>
        </w:tc>
        <w:tc>
          <w:tcPr>
            <w:tcW w:type="dxa" w:w="1296"/>
          </w:tcPr>
          <w:p>
            <w:pPr>
              <w:spacing w:after="20" w:before="20"/>
              <w:jc w:val="center"/>
            </w:pPr>
            <w:r/>
            <w:r>
              <w:rPr>
                <w:b w:val="0"/>
                <w:sz w:val="16"/>
              </w:rPr>
              <w:t>1,725</w:t>
            </w:r>
          </w:p>
        </w:tc>
        <w:tc>
          <w:tcPr>
            <w:tcW w:type="dxa" w:w="1296"/>
          </w:tcPr>
          <w:p>
            <w:pPr>
              <w:spacing w:after="20" w:before="20"/>
              <w:jc w:val="center"/>
            </w:pPr>
            <w:r/>
            <w:r>
              <w:rPr>
                <w:b w:val="0"/>
                <w:sz w:val="16"/>
              </w:rPr>
              <w:t>1,953</w:t>
            </w:r>
          </w:p>
        </w:tc>
        <w:tc>
          <w:tcPr>
            <w:tcW w:type="dxa" w:w="1296"/>
          </w:tcPr>
          <w:p>
            <w:pPr>
              <w:spacing w:after="20" w:before="20"/>
              <w:jc w:val="center"/>
            </w:pPr>
            <w:r/>
            <w:r>
              <w:rPr>
                <w:b w:val="0"/>
                <w:sz w:val="16"/>
              </w:rPr>
              <w:t>1,990</w:t>
            </w:r>
          </w:p>
        </w:tc>
        <w:tc>
          <w:tcPr>
            <w:tcW w:type="dxa" w:w="1296"/>
          </w:tcPr>
          <w:p>
            <w:pPr>
              <w:spacing w:after="20" w:before="20"/>
              <w:jc w:val="center"/>
            </w:pPr>
            <w:r/>
            <w:r>
              <w:rPr>
                <w:b w:val="0"/>
                <w:sz w:val="16"/>
              </w:rPr>
              <w:t>2,170</w:t>
            </w:r>
          </w:p>
        </w:tc>
        <w:tc>
          <w:tcPr>
            <w:tcW w:type="dxa" w:w="1296"/>
          </w:tcPr>
          <w:p>
            <w:pPr>
              <w:spacing w:after="20" w:before="20"/>
              <w:jc w:val="center"/>
            </w:pPr>
            <w:r/>
            <w:r>
              <w:rPr>
                <w:b w:val="0"/>
                <w:sz w:val="16"/>
              </w:rPr>
              <w:t>2,433</w:t>
            </w:r>
          </w:p>
        </w:tc>
      </w:tr>
      <w:tr>
        <w:tc>
          <w:tcPr>
            <w:tcW w:type="dxa" w:w="3024"/>
            <w:shd w:val="clear" w:fill="EEF2F7"/>
          </w:tcPr>
          <w:p>
            <w:pPr>
              <w:spacing w:after="20" w:before="20"/>
              <w:jc w:val="left"/>
            </w:pPr>
            <w:r/>
            <w:r>
              <w:rPr>
                <w:b/>
                <w:sz w:val="16"/>
              </w:rPr>
              <w:t>PAT</w:t>
            </w:r>
          </w:p>
        </w:tc>
        <w:tc>
          <w:tcPr>
            <w:tcW w:type="dxa" w:w="1296"/>
            <w:shd w:val="clear" w:fill="EEF2F7"/>
          </w:tcPr>
          <w:p>
            <w:pPr>
              <w:spacing w:after="20" w:before="20"/>
              <w:jc w:val="center"/>
            </w:pPr>
            <w:r/>
            <w:r>
              <w:rPr>
                <w:b w:val="0"/>
                <w:sz w:val="16"/>
              </w:rPr>
              <w:t>1,408</w:t>
            </w:r>
          </w:p>
        </w:tc>
        <w:tc>
          <w:tcPr>
            <w:tcW w:type="dxa" w:w="1296"/>
            <w:shd w:val="clear" w:fill="EEF2F7"/>
          </w:tcPr>
          <w:p>
            <w:pPr>
              <w:spacing w:after="20" w:before="20"/>
              <w:jc w:val="center"/>
            </w:pPr>
            <w:r/>
            <w:r>
              <w:rPr>
                <w:b w:val="0"/>
                <w:sz w:val="16"/>
              </w:rPr>
              <w:t>1,582</w:t>
            </w:r>
          </w:p>
        </w:tc>
        <w:tc>
          <w:tcPr>
            <w:tcW w:type="dxa" w:w="1296"/>
            <w:shd w:val="clear" w:fill="EEF2F7"/>
          </w:tcPr>
          <w:p>
            <w:pPr>
              <w:spacing w:after="20" w:before="20"/>
              <w:jc w:val="center"/>
            </w:pPr>
            <w:r/>
            <w:r>
              <w:rPr>
                <w:b w:val="0"/>
                <w:sz w:val="16"/>
              </w:rPr>
              <w:t>1,838</w:t>
            </w:r>
          </w:p>
        </w:tc>
        <w:tc>
          <w:tcPr>
            <w:tcW w:type="dxa" w:w="1296"/>
            <w:shd w:val="clear" w:fill="EEF2F7"/>
          </w:tcPr>
          <w:p>
            <w:pPr>
              <w:spacing w:after="20" w:before="20"/>
              <w:jc w:val="center"/>
            </w:pPr>
            <w:r/>
            <w:r>
              <w:rPr>
                <w:b w:val="0"/>
                <w:sz w:val="16"/>
              </w:rPr>
              <w:t>1,709</w:t>
            </w:r>
          </w:p>
        </w:tc>
        <w:tc>
          <w:tcPr>
            <w:tcW w:type="dxa" w:w="1296"/>
            <w:shd w:val="clear" w:fill="EEF2F7"/>
          </w:tcPr>
          <w:p>
            <w:pPr>
              <w:spacing w:after="20" w:before="20"/>
              <w:jc w:val="center"/>
            </w:pPr>
            <w:r/>
            <w:r>
              <w:rPr>
                <w:b w:val="0"/>
                <w:sz w:val="16"/>
              </w:rPr>
              <w:t>1,891</w:t>
            </w:r>
          </w:p>
        </w:tc>
      </w:tr>
      <w:tr>
        <w:tc>
          <w:tcPr>
            <w:tcW w:type="dxa" w:w="3024"/>
          </w:tcPr>
          <w:p>
            <w:pPr>
              <w:spacing w:after="20" w:before="20"/>
              <w:jc w:val="left"/>
            </w:pPr>
            <w:r/>
            <w:r>
              <w:rPr>
                <w:b/>
                <w:sz w:val="16"/>
              </w:rPr>
              <w:t>PAT Margin %</w:t>
            </w:r>
          </w:p>
        </w:tc>
        <w:tc>
          <w:tcPr>
            <w:tcW w:type="dxa" w:w="1296"/>
          </w:tcPr>
          <w:p>
            <w:pPr>
              <w:spacing w:after="20" w:before="20"/>
              <w:jc w:val="center"/>
            </w:pPr>
            <w:r/>
            <w:r>
              <w:rPr>
                <w:b w:val="0"/>
                <w:sz w:val="16"/>
              </w:rPr>
              <w:t>12</w:t>
            </w:r>
          </w:p>
        </w:tc>
        <w:tc>
          <w:tcPr>
            <w:tcW w:type="dxa" w:w="1296"/>
          </w:tcPr>
          <w:p>
            <w:pPr>
              <w:spacing w:after="20" w:before="20"/>
              <w:jc w:val="center"/>
            </w:pPr>
            <w:r/>
            <w:r>
              <w:rPr>
                <w:b w:val="0"/>
                <w:sz w:val="16"/>
              </w:rPr>
              <w:t>13</w:t>
            </w:r>
          </w:p>
        </w:tc>
        <w:tc>
          <w:tcPr>
            <w:tcW w:type="dxa" w:w="1296"/>
          </w:tcPr>
          <w:p>
            <w:pPr>
              <w:spacing w:after="20" w:before="20"/>
              <w:jc w:val="center"/>
            </w:pPr>
            <w:r/>
            <w:r>
              <w:rPr>
                <w:b w:val="0"/>
                <w:sz w:val="16"/>
              </w:rPr>
              <w:t>15</w:t>
            </w:r>
          </w:p>
        </w:tc>
        <w:tc>
          <w:tcPr>
            <w:tcW w:type="dxa" w:w="1296"/>
          </w:tcPr>
          <w:p>
            <w:pPr>
              <w:spacing w:after="20" w:before="20"/>
              <w:jc w:val="center"/>
            </w:pPr>
            <w:r/>
            <w:r>
              <w:rPr>
                <w:b w:val="0"/>
                <w:sz w:val="16"/>
              </w:rPr>
              <w:t>13</w:t>
            </w:r>
          </w:p>
        </w:tc>
        <w:tc>
          <w:tcPr>
            <w:tcW w:type="dxa" w:w="1296"/>
          </w:tcPr>
          <w:p>
            <w:pPr>
              <w:spacing w:after="20" w:before="20"/>
              <w:jc w:val="center"/>
            </w:pPr>
            <w:r/>
            <w:r>
              <w:rPr>
                <w:b w:val="0"/>
                <w:sz w:val="16"/>
              </w:rPr>
              <w:t>13</w:t>
            </w:r>
          </w:p>
        </w:tc>
      </w:tr>
      <w:tr>
        <w:tc>
          <w:tcPr>
            <w:tcW w:type="dxa" w:w="3024"/>
            <w:shd w:val="clear" w:fill="EEF2F7"/>
          </w:tcPr>
          <w:p>
            <w:pPr>
              <w:spacing w:after="20" w:before="20"/>
              <w:jc w:val="left"/>
            </w:pPr>
            <w:r/>
            <w:r>
              <w:rPr>
                <w:b/>
                <w:sz w:val="16"/>
              </w:rPr>
              <w:t>EPS (Rs)</w:t>
            </w:r>
          </w:p>
        </w:tc>
        <w:tc>
          <w:tcPr>
            <w:tcW w:type="dxa" w:w="1296"/>
            <w:shd w:val="clear" w:fill="EEF2F7"/>
          </w:tcPr>
          <w:p>
            <w:pPr>
              <w:spacing w:after="20" w:before="20"/>
              <w:jc w:val="center"/>
            </w:pPr>
            <w:r/>
            <w:r>
              <w:rPr>
                <w:b w:val="0"/>
                <w:sz w:val="16"/>
              </w:rPr>
              <w:t>19.4</w:t>
            </w:r>
          </w:p>
        </w:tc>
        <w:tc>
          <w:tcPr>
            <w:tcW w:type="dxa" w:w="1296"/>
            <w:shd w:val="clear" w:fill="EEF2F7"/>
          </w:tcPr>
          <w:p>
            <w:pPr>
              <w:spacing w:after="20" w:before="20"/>
              <w:jc w:val="center"/>
            </w:pPr>
            <w:r/>
            <w:r>
              <w:rPr>
                <w:b w:val="0"/>
                <w:sz w:val="16"/>
              </w:rPr>
              <w:t>21.8</w:t>
            </w:r>
          </w:p>
        </w:tc>
        <w:tc>
          <w:tcPr>
            <w:tcW w:type="dxa" w:w="1296"/>
            <w:shd w:val="clear" w:fill="EEF2F7"/>
          </w:tcPr>
          <w:p>
            <w:pPr>
              <w:spacing w:after="20" w:before="20"/>
              <w:jc w:val="center"/>
            </w:pPr>
            <w:r/>
            <w:r>
              <w:rPr>
                <w:b w:val="0"/>
                <w:sz w:val="16"/>
              </w:rPr>
              <w:t>25.3</w:t>
            </w:r>
          </w:p>
        </w:tc>
        <w:tc>
          <w:tcPr>
            <w:tcW w:type="dxa" w:w="1296"/>
            <w:shd w:val="clear" w:fill="EEF2F7"/>
          </w:tcPr>
          <w:p>
            <w:pPr>
              <w:spacing w:after="20" w:before="20"/>
              <w:jc w:val="center"/>
            </w:pPr>
            <w:r/>
            <w:r>
              <w:rPr>
                <w:b w:val="0"/>
                <w:sz w:val="16"/>
              </w:rPr>
              <w:t>23.5</w:t>
            </w:r>
          </w:p>
        </w:tc>
        <w:tc>
          <w:tcPr>
            <w:tcW w:type="dxa" w:w="1296"/>
            <w:shd w:val="clear" w:fill="EEF2F7"/>
          </w:tcPr>
          <w:p>
            <w:pPr>
              <w:spacing w:after="20" w:before="20"/>
              <w:jc w:val="center"/>
            </w:pPr>
            <w:r/>
            <w:r>
              <w:rPr>
                <w:b w:val="0"/>
                <w:sz w:val="16"/>
              </w:rPr>
              <w:t>26.0</w:t>
            </w:r>
          </w:p>
        </w:tc>
      </w:tr>
    </w:tbl>
    <w:p>
      <w:pPr>
        <w:spacing w:after="40"/>
      </w:pPr>
    </w:p>
    <w:p>
      <w:pPr>
        <w:spacing w:after="120"/>
        <w:jc w:val="both"/>
      </w:pPr>
      <w:r>
        <w:rPr>
          <w:b w:val="0"/>
          <w:i w:val="0"/>
          <w:sz w:val="20"/>
        </w:rPr>
        <w:t>The story in the income statement is clear: net sales rise every year even though total volume has fallen, because the mix keeps getting more premium. Gross margin recovered from a weak FY23 to about 46% by FY26 as input costs eased and the mix improved. EBITDA margin is moving up towards 20%. FY26 PAT was high partly due to one off items, which is why FY27 estimated PAT looks lower even though the underlying business keeps growing.</w:t>
      </w:r>
    </w:p>
    <w:p>
      <w:pPr>
        <w:spacing w:before="160" w:after="60"/>
      </w:pPr>
      <w:r>
        <w:rPr>
          <w:b/>
          <w:color w:val="13558C"/>
          <w:sz w:val="22"/>
        </w:rPr>
        <w:t>Balance Sheet (consolidated, Rs cr)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744"/>
            <w:shd w:val="clear" w:fill="0B2545"/>
          </w:tcPr>
          <w:p>
            <w:pPr>
              <w:spacing w:after="20" w:before="20"/>
              <w:jc w:val="left"/>
            </w:pPr>
            <w:r/>
            <w:r>
              <w:rPr>
                <w:b/>
                <w:color w:val="FFFFFF"/>
                <w:sz w:val="16"/>
              </w:rPr>
              <w:t>Particulars</w:t>
            </w:r>
          </w:p>
        </w:tc>
        <w:tc>
          <w:tcPr>
            <w:tcW w:type="dxa" w:w="1872"/>
            <w:shd w:val="clear" w:fill="0B2545"/>
          </w:tcPr>
          <w:p>
            <w:pPr>
              <w:spacing w:after="20" w:before="20"/>
              <w:jc w:val="center"/>
            </w:pPr>
            <w:r/>
            <w:r>
              <w:rPr>
                <w:b/>
                <w:color w:val="FFFFFF"/>
                <w:sz w:val="16"/>
              </w:rPr>
              <w:t>FY24</w:t>
            </w:r>
          </w:p>
        </w:tc>
        <w:tc>
          <w:tcPr>
            <w:tcW w:type="dxa" w:w="1872"/>
            <w:shd w:val="clear" w:fill="0B2545"/>
          </w:tcPr>
          <w:p>
            <w:pPr>
              <w:spacing w:after="20" w:before="20"/>
              <w:jc w:val="center"/>
            </w:pPr>
            <w:r/>
            <w:r>
              <w:rPr>
                <w:b/>
                <w:color w:val="FFFFFF"/>
                <w:sz w:val="16"/>
              </w:rPr>
              <w:t>FY25</w:t>
            </w:r>
          </w:p>
        </w:tc>
        <w:tc>
          <w:tcPr>
            <w:tcW w:type="dxa" w:w="1872"/>
            <w:shd w:val="clear" w:fill="0B2545"/>
          </w:tcPr>
          <w:p>
            <w:pPr>
              <w:spacing w:after="20" w:before="20"/>
              <w:jc w:val="center"/>
            </w:pPr>
            <w:r/>
            <w:r>
              <w:rPr>
                <w:b/>
                <w:color w:val="FFFFFF"/>
                <w:sz w:val="16"/>
              </w:rPr>
              <w:t>FY26</w:t>
            </w:r>
          </w:p>
        </w:tc>
      </w:tr>
      <w:tr>
        <w:tc>
          <w:tcPr>
            <w:tcW w:type="dxa" w:w="3744"/>
          </w:tcPr>
          <w:p>
            <w:pPr>
              <w:spacing w:after="20" w:before="20"/>
              <w:jc w:val="left"/>
            </w:pPr>
            <w:r/>
            <w:r>
              <w:rPr>
                <w:b/>
                <w:sz w:val="16"/>
              </w:rPr>
              <w:t>Net Worth (Shareholders' funds)</w:t>
            </w:r>
          </w:p>
        </w:tc>
        <w:tc>
          <w:tcPr>
            <w:tcW w:type="dxa" w:w="1872"/>
          </w:tcPr>
          <w:p>
            <w:pPr>
              <w:spacing w:after="20" w:before="20"/>
              <w:jc w:val="center"/>
            </w:pPr>
            <w:r/>
            <w:r>
              <w:rPr>
                <w:b w:val="0"/>
                <w:sz w:val="16"/>
              </w:rPr>
              <w:t>About 7,300</w:t>
            </w:r>
          </w:p>
        </w:tc>
        <w:tc>
          <w:tcPr>
            <w:tcW w:type="dxa" w:w="1872"/>
          </w:tcPr>
          <w:p>
            <w:pPr>
              <w:spacing w:after="20" w:before="20"/>
              <w:jc w:val="center"/>
            </w:pPr>
            <w:r/>
            <w:r>
              <w:rPr>
                <w:b w:val="0"/>
                <w:sz w:val="16"/>
              </w:rPr>
              <w:t>About 8,200</w:t>
            </w:r>
          </w:p>
        </w:tc>
        <w:tc>
          <w:tcPr>
            <w:tcW w:type="dxa" w:w="1872"/>
          </w:tcPr>
          <w:p>
            <w:pPr>
              <w:spacing w:after="20" w:before="20"/>
              <w:jc w:val="center"/>
            </w:pPr>
            <w:r/>
            <w:r>
              <w:rPr>
                <w:b w:val="0"/>
                <w:sz w:val="16"/>
              </w:rPr>
              <w:t>About 9,200</w:t>
            </w:r>
          </w:p>
        </w:tc>
      </w:tr>
      <w:tr>
        <w:tc>
          <w:tcPr>
            <w:tcW w:type="dxa" w:w="3744"/>
            <w:shd w:val="clear" w:fill="EEF2F7"/>
          </w:tcPr>
          <w:p>
            <w:pPr>
              <w:spacing w:after="20" w:before="20"/>
              <w:jc w:val="left"/>
            </w:pPr>
            <w:r/>
            <w:r>
              <w:rPr>
                <w:b/>
                <w:sz w:val="16"/>
              </w:rPr>
              <w:t>Total Debt</w:t>
            </w:r>
          </w:p>
        </w:tc>
        <w:tc>
          <w:tcPr>
            <w:tcW w:type="dxa" w:w="1872"/>
            <w:shd w:val="clear" w:fill="EEF2F7"/>
          </w:tcPr>
          <w:p>
            <w:pPr>
              <w:spacing w:after="20" w:before="20"/>
              <w:jc w:val="center"/>
            </w:pPr>
            <w:r/>
            <w:r>
              <w:rPr>
                <w:b w:val="0"/>
                <w:sz w:val="16"/>
              </w:rPr>
              <w:t>Low / negligible</w:t>
            </w:r>
          </w:p>
        </w:tc>
        <w:tc>
          <w:tcPr>
            <w:tcW w:type="dxa" w:w="1872"/>
            <w:shd w:val="clear" w:fill="EEF2F7"/>
          </w:tcPr>
          <w:p>
            <w:pPr>
              <w:spacing w:after="20" w:before="20"/>
              <w:jc w:val="center"/>
            </w:pPr>
            <w:r/>
            <w:r>
              <w:rPr>
                <w:b w:val="0"/>
                <w:sz w:val="16"/>
              </w:rPr>
              <w:t>Low / negligible</w:t>
            </w:r>
          </w:p>
        </w:tc>
        <w:tc>
          <w:tcPr>
            <w:tcW w:type="dxa" w:w="1872"/>
            <w:shd w:val="clear" w:fill="EEF2F7"/>
          </w:tcPr>
          <w:p>
            <w:pPr>
              <w:spacing w:after="20" w:before="20"/>
              <w:jc w:val="center"/>
            </w:pPr>
            <w:r/>
            <w:r>
              <w:rPr>
                <w:b w:val="0"/>
                <w:sz w:val="16"/>
              </w:rPr>
              <w:t>Low / negligible</w:t>
            </w:r>
          </w:p>
        </w:tc>
      </w:tr>
      <w:tr>
        <w:tc>
          <w:tcPr>
            <w:tcW w:type="dxa" w:w="3744"/>
          </w:tcPr>
          <w:p>
            <w:pPr>
              <w:spacing w:after="20" w:before="20"/>
              <w:jc w:val="left"/>
            </w:pPr>
            <w:r/>
            <w:r>
              <w:rPr>
                <w:b/>
                <w:sz w:val="16"/>
              </w:rPr>
              <w:t>Cash and Treasury</w:t>
            </w:r>
          </w:p>
        </w:tc>
        <w:tc>
          <w:tcPr>
            <w:tcW w:type="dxa" w:w="1872"/>
          </w:tcPr>
          <w:p>
            <w:pPr>
              <w:spacing w:after="20" w:before="20"/>
              <w:jc w:val="center"/>
            </w:pPr>
            <w:r/>
            <w:r>
              <w:rPr>
                <w:b w:val="0"/>
                <w:sz w:val="16"/>
              </w:rPr>
              <w:t>1,868</w:t>
            </w:r>
          </w:p>
        </w:tc>
        <w:tc>
          <w:tcPr>
            <w:tcW w:type="dxa" w:w="1872"/>
          </w:tcPr>
          <w:p>
            <w:pPr>
              <w:spacing w:after="20" w:before="20"/>
              <w:jc w:val="center"/>
            </w:pPr>
            <w:r/>
            <w:r>
              <w:rPr>
                <w:b w:val="0"/>
                <w:sz w:val="16"/>
              </w:rPr>
              <w:t>2,903</w:t>
            </w:r>
          </w:p>
        </w:tc>
        <w:tc>
          <w:tcPr>
            <w:tcW w:type="dxa" w:w="1872"/>
          </w:tcPr>
          <w:p>
            <w:pPr>
              <w:spacing w:after="20" w:before="20"/>
              <w:jc w:val="center"/>
            </w:pPr>
            <w:r/>
            <w:r>
              <w:rPr>
                <w:b w:val="0"/>
                <w:sz w:val="16"/>
              </w:rPr>
              <w:t>3,134</w:t>
            </w:r>
          </w:p>
        </w:tc>
      </w:tr>
      <w:tr>
        <w:tc>
          <w:tcPr>
            <w:tcW w:type="dxa" w:w="3744"/>
            <w:shd w:val="clear" w:fill="EEF2F7"/>
          </w:tcPr>
          <w:p>
            <w:pPr>
              <w:spacing w:after="20" w:before="20"/>
              <w:jc w:val="left"/>
            </w:pPr>
            <w:r/>
            <w:r>
              <w:rPr>
                <w:b/>
                <w:sz w:val="16"/>
              </w:rPr>
              <w:t>Net Debt to EBITDA (x)</w:t>
            </w:r>
          </w:p>
        </w:tc>
        <w:tc>
          <w:tcPr>
            <w:tcW w:type="dxa" w:w="1872"/>
            <w:shd w:val="clear" w:fill="EEF2F7"/>
          </w:tcPr>
          <w:p>
            <w:pPr>
              <w:spacing w:after="20" w:before="20"/>
              <w:jc w:val="center"/>
            </w:pPr>
            <w:r/>
            <w:r>
              <w:rPr>
                <w:b w:val="0"/>
                <w:sz w:val="16"/>
              </w:rPr>
              <w:t>-0.8</w:t>
            </w:r>
          </w:p>
        </w:tc>
        <w:tc>
          <w:tcPr>
            <w:tcW w:type="dxa" w:w="1872"/>
            <w:shd w:val="clear" w:fill="EEF2F7"/>
          </w:tcPr>
          <w:p>
            <w:pPr>
              <w:spacing w:after="20" w:before="20"/>
              <w:jc w:val="center"/>
            </w:pPr>
            <w:r/>
            <w:r>
              <w:rPr>
                <w:b w:val="0"/>
                <w:sz w:val="16"/>
              </w:rPr>
              <w:t>-1.1</w:t>
            </w:r>
          </w:p>
        </w:tc>
        <w:tc>
          <w:tcPr>
            <w:tcW w:type="dxa" w:w="1872"/>
            <w:shd w:val="clear" w:fill="EEF2F7"/>
          </w:tcPr>
          <w:p>
            <w:pPr>
              <w:spacing w:after="20" w:before="20"/>
              <w:jc w:val="center"/>
            </w:pPr>
            <w:r/>
            <w:r>
              <w:rPr>
                <w:b w:val="0"/>
                <w:sz w:val="16"/>
              </w:rPr>
              <w:t>-1.2</w:t>
            </w:r>
          </w:p>
        </w:tc>
      </w:tr>
      <w:tr>
        <w:tc>
          <w:tcPr>
            <w:tcW w:type="dxa" w:w="3744"/>
          </w:tcPr>
          <w:p>
            <w:pPr>
              <w:spacing w:after="20" w:before="20"/>
              <w:jc w:val="left"/>
            </w:pPr>
            <w:r/>
            <w:r>
              <w:rPr>
                <w:b/>
                <w:sz w:val="16"/>
              </w:rPr>
              <w:t>Current Ratio (x)</w:t>
            </w:r>
          </w:p>
        </w:tc>
        <w:tc>
          <w:tcPr>
            <w:tcW w:type="dxa" w:w="1872"/>
          </w:tcPr>
          <w:p>
            <w:pPr>
              <w:spacing w:after="20" w:before="20"/>
              <w:jc w:val="center"/>
            </w:pPr>
            <w:r/>
            <w:r>
              <w:rPr>
                <w:b w:val="0"/>
                <w:sz w:val="16"/>
              </w:rPr>
              <w:t>1.9</w:t>
            </w:r>
          </w:p>
        </w:tc>
        <w:tc>
          <w:tcPr>
            <w:tcW w:type="dxa" w:w="1872"/>
          </w:tcPr>
          <w:p>
            <w:pPr>
              <w:spacing w:after="20" w:before="20"/>
              <w:jc w:val="center"/>
            </w:pPr>
            <w:r/>
            <w:r>
              <w:rPr>
                <w:b w:val="0"/>
                <w:sz w:val="16"/>
              </w:rPr>
              <w:t>2.0</w:t>
            </w:r>
          </w:p>
        </w:tc>
        <w:tc>
          <w:tcPr>
            <w:tcW w:type="dxa" w:w="1872"/>
          </w:tcPr>
          <w:p>
            <w:pPr>
              <w:spacing w:after="20" w:before="20"/>
              <w:jc w:val="center"/>
            </w:pPr>
            <w:r/>
            <w:r>
              <w:rPr>
                <w:b w:val="0"/>
                <w:sz w:val="16"/>
              </w:rPr>
              <w:t>2.1</w:t>
            </w:r>
          </w:p>
        </w:tc>
      </w:tr>
      <w:tr>
        <w:tc>
          <w:tcPr>
            <w:tcW w:type="dxa" w:w="3744"/>
            <w:shd w:val="clear" w:fill="EEF2F7"/>
          </w:tcPr>
          <w:p>
            <w:pPr>
              <w:spacing w:after="20" w:before="20"/>
              <w:jc w:val="left"/>
            </w:pPr>
            <w:r/>
            <w:r>
              <w:rPr>
                <w:b/>
                <w:sz w:val="16"/>
              </w:rPr>
              <w:t>Inventory days</w:t>
            </w:r>
          </w:p>
        </w:tc>
        <w:tc>
          <w:tcPr>
            <w:tcW w:type="dxa" w:w="1872"/>
            <w:shd w:val="clear" w:fill="EEF2F7"/>
          </w:tcPr>
          <w:p>
            <w:pPr>
              <w:spacing w:after="20" w:before="20"/>
              <w:jc w:val="center"/>
            </w:pPr>
            <w:r/>
            <w:r>
              <w:rPr>
                <w:b w:val="0"/>
                <w:sz w:val="16"/>
              </w:rPr>
              <w:t>120</w:t>
            </w:r>
          </w:p>
        </w:tc>
        <w:tc>
          <w:tcPr>
            <w:tcW w:type="dxa" w:w="1872"/>
            <w:shd w:val="clear" w:fill="EEF2F7"/>
          </w:tcPr>
          <w:p>
            <w:pPr>
              <w:spacing w:after="20" w:before="20"/>
              <w:jc w:val="center"/>
            </w:pPr>
            <w:r/>
            <w:r>
              <w:rPr>
                <w:b w:val="0"/>
                <w:sz w:val="16"/>
              </w:rPr>
              <w:t>116</w:t>
            </w:r>
          </w:p>
        </w:tc>
        <w:tc>
          <w:tcPr>
            <w:tcW w:type="dxa" w:w="1872"/>
            <w:shd w:val="clear" w:fill="EEF2F7"/>
          </w:tcPr>
          <w:p>
            <w:pPr>
              <w:spacing w:after="20" w:before="20"/>
              <w:jc w:val="center"/>
            </w:pPr>
            <w:r/>
            <w:r>
              <w:rPr>
                <w:b w:val="0"/>
                <w:sz w:val="16"/>
              </w:rPr>
              <w:t>136</w:t>
            </w:r>
          </w:p>
        </w:tc>
      </w:tr>
      <w:tr>
        <w:tc>
          <w:tcPr>
            <w:tcW w:type="dxa" w:w="3744"/>
          </w:tcPr>
          <w:p>
            <w:pPr>
              <w:spacing w:after="20" w:before="20"/>
              <w:jc w:val="left"/>
            </w:pPr>
            <w:r/>
            <w:r>
              <w:rPr>
                <w:b/>
                <w:sz w:val="16"/>
              </w:rPr>
              <w:t>Receivable days</w:t>
            </w:r>
          </w:p>
        </w:tc>
        <w:tc>
          <w:tcPr>
            <w:tcW w:type="dxa" w:w="1872"/>
          </w:tcPr>
          <w:p>
            <w:pPr>
              <w:spacing w:after="20" w:before="20"/>
              <w:jc w:val="center"/>
            </w:pPr>
            <w:r/>
            <w:r>
              <w:rPr>
                <w:b w:val="0"/>
                <w:sz w:val="16"/>
              </w:rPr>
              <w:t>89</w:t>
            </w:r>
          </w:p>
        </w:tc>
        <w:tc>
          <w:tcPr>
            <w:tcW w:type="dxa" w:w="1872"/>
          </w:tcPr>
          <w:p>
            <w:pPr>
              <w:spacing w:after="20" w:before="20"/>
              <w:jc w:val="center"/>
            </w:pPr>
            <w:r/>
            <w:r>
              <w:rPr>
                <w:b w:val="0"/>
                <w:sz w:val="16"/>
              </w:rPr>
              <w:t>98</w:t>
            </w:r>
          </w:p>
        </w:tc>
        <w:tc>
          <w:tcPr>
            <w:tcW w:type="dxa" w:w="1872"/>
          </w:tcPr>
          <w:p>
            <w:pPr>
              <w:spacing w:after="20" w:before="20"/>
              <w:jc w:val="center"/>
            </w:pPr>
            <w:r/>
            <w:r>
              <w:rPr>
                <w:b w:val="0"/>
                <w:sz w:val="16"/>
              </w:rPr>
              <w:t>103</w:t>
            </w:r>
          </w:p>
        </w:tc>
      </w:tr>
    </w:tbl>
    <w:p>
      <w:pPr>
        <w:spacing w:after="40"/>
      </w:pPr>
    </w:p>
    <w:p>
      <w:pPr>
        <w:spacing w:after="120"/>
        <w:jc w:val="both"/>
      </w:pPr>
      <w:r>
        <w:rPr>
          <w:b w:val="0"/>
          <w:i w:val="0"/>
          <w:sz w:val="20"/>
        </w:rPr>
        <w:t>The balance sheet is a fortress. The company carries net cash, so net debt to EBITDA is negative. Working capital is heavy because premium whisky needs to age (high inventory) and because sales to state corporations stretch receivables. This is normal for the industry and is the main reason free cash conversion is moderate in any single year.</w:t>
      </w:r>
    </w:p>
    <w:p>
      <w:r>
        <w:br w:type="page"/>
      </w:r>
    </w:p>
    <w:p>
      <w:pPr>
        <w:spacing w:before="200" w:after="80"/>
        <w:pBdr>
          <w:bottom w:val="single" w:sz="8" w:space="3" w:color="0B2545"/>
        </w:pBdr>
      </w:pPr>
      <w:r>
        <w:rPr>
          <w:b/>
          <w:color w:val="0B2545"/>
          <w:sz w:val="28"/>
        </w:rPr>
        <w:t>Cash Flow and Key Ratios</w:t>
      </w:r>
    </w:p>
    <w:p>
      <w:pPr>
        <w:spacing w:before="160" w:after="60"/>
      </w:pPr>
      <w:r>
        <w:rPr>
          <w:b/>
          <w:color w:val="13558C"/>
          <w:sz w:val="22"/>
        </w:rPr>
        <w:t>Cash Flow Summary (Rs cr)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shd w:val="clear" w:fill="0B2545"/>
          </w:tcPr>
          <w:p>
            <w:pPr>
              <w:spacing w:after="20" w:before="20"/>
              <w:jc w:val="left"/>
            </w:pPr>
            <w:r/>
            <w:r>
              <w:rPr>
                <w:b/>
                <w:color w:val="FFFFFF"/>
                <w:sz w:val="16"/>
              </w:rPr>
              <w:t>Particulars</w:t>
            </w:r>
          </w:p>
        </w:tc>
        <w:tc>
          <w:tcPr>
            <w:tcW w:type="dxa" w:w="1440"/>
            <w:shd w:val="clear" w:fill="0B2545"/>
          </w:tcPr>
          <w:p>
            <w:pPr>
              <w:spacing w:after="20" w:before="20"/>
              <w:jc w:val="center"/>
            </w:pPr>
            <w:r/>
            <w:r>
              <w:rPr>
                <w:b/>
                <w:color w:val="FFFFFF"/>
                <w:sz w:val="16"/>
              </w:rPr>
              <w:t>FY26</w:t>
            </w:r>
          </w:p>
        </w:tc>
        <w:tc>
          <w:tcPr>
            <w:tcW w:type="dxa" w:w="1440"/>
            <w:shd w:val="clear" w:fill="0B2545"/>
          </w:tcPr>
          <w:p>
            <w:pPr>
              <w:spacing w:after="20" w:before="20"/>
              <w:jc w:val="center"/>
            </w:pPr>
            <w:r/>
            <w:r>
              <w:rPr>
                <w:b/>
                <w:color w:val="FFFFFF"/>
                <w:sz w:val="16"/>
              </w:rPr>
              <w:t>FY27E</w:t>
            </w:r>
          </w:p>
        </w:tc>
        <w:tc>
          <w:tcPr>
            <w:tcW w:type="dxa" w:w="1440"/>
            <w:shd w:val="clear" w:fill="0B2545"/>
          </w:tcPr>
          <w:p>
            <w:pPr>
              <w:spacing w:after="20" w:before="20"/>
              <w:jc w:val="center"/>
            </w:pPr>
            <w:r/>
            <w:r>
              <w:rPr>
                <w:b/>
                <w:color w:val="FFFFFF"/>
                <w:sz w:val="16"/>
              </w:rPr>
              <w:t>FY28E</w:t>
            </w:r>
          </w:p>
        </w:tc>
        <w:tc>
          <w:tcPr>
            <w:tcW w:type="dxa" w:w="1440"/>
            <w:shd w:val="clear" w:fill="0B2545"/>
          </w:tcPr>
          <w:p>
            <w:pPr>
              <w:spacing w:after="20" w:before="20"/>
              <w:jc w:val="center"/>
            </w:pPr>
            <w:r/>
            <w:r>
              <w:rPr>
                <w:b/>
                <w:color w:val="FFFFFF"/>
                <w:sz w:val="16"/>
              </w:rPr>
              <w:t>FY29E</w:t>
            </w:r>
          </w:p>
        </w:tc>
        <w:tc>
          <w:tcPr>
            <w:tcW w:type="dxa" w:w="1704"/>
            <w:shd w:val="clear" w:fill="0B2545"/>
          </w:tcPr>
          <w:p>
            <w:pPr>
              <w:spacing w:after="20" w:before="20"/>
              <w:jc w:val="center"/>
            </w:pPr>
            <w:r/>
            <w:r>
              <w:rPr>
                <w:b/>
                <w:color w:val="FFFFFF"/>
                <w:sz w:val="16"/>
              </w:rPr>
              <w:t>FY30E</w:t>
            </w:r>
          </w:p>
        </w:tc>
      </w:tr>
      <w:tr>
        <w:tc>
          <w:tcPr>
            <w:tcW w:type="dxa" w:w="2880"/>
          </w:tcPr>
          <w:p>
            <w:pPr>
              <w:spacing w:after="20" w:before="20"/>
              <w:jc w:val="left"/>
            </w:pPr>
            <w:r/>
            <w:r>
              <w:rPr>
                <w:b/>
                <w:sz w:val="16"/>
              </w:rPr>
              <w:t>Operating Cash Flow</w:t>
            </w:r>
          </w:p>
        </w:tc>
        <w:tc>
          <w:tcPr>
            <w:tcW w:type="dxa" w:w="1440"/>
          </w:tcPr>
          <w:p>
            <w:pPr>
              <w:spacing w:after="20" w:before="20"/>
              <w:jc w:val="center"/>
            </w:pPr>
            <w:r/>
            <w:r>
              <w:rPr>
                <w:b w:val="0"/>
                <w:sz w:val="16"/>
              </w:rPr>
              <w:t>1,459</w:t>
            </w:r>
          </w:p>
        </w:tc>
        <w:tc>
          <w:tcPr>
            <w:tcW w:type="dxa" w:w="1440"/>
          </w:tcPr>
          <w:p>
            <w:pPr>
              <w:spacing w:after="20" w:before="20"/>
              <w:jc w:val="center"/>
            </w:pPr>
            <w:r/>
            <w:r>
              <w:rPr>
                <w:b w:val="0"/>
                <w:sz w:val="16"/>
              </w:rPr>
              <w:t>1,292</w:t>
            </w:r>
          </w:p>
        </w:tc>
        <w:tc>
          <w:tcPr>
            <w:tcW w:type="dxa" w:w="1440"/>
          </w:tcPr>
          <w:p>
            <w:pPr>
              <w:spacing w:after="20" w:before="20"/>
              <w:jc w:val="center"/>
            </w:pPr>
            <w:r/>
            <w:r>
              <w:rPr>
                <w:b w:val="0"/>
                <w:sz w:val="16"/>
              </w:rPr>
              <w:t>2,345</w:t>
            </w:r>
          </w:p>
        </w:tc>
        <w:tc>
          <w:tcPr>
            <w:tcW w:type="dxa" w:w="1440"/>
          </w:tcPr>
          <w:p>
            <w:pPr>
              <w:spacing w:after="20" w:before="20"/>
              <w:jc w:val="center"/>
            </w:pPr>
            <w:r/>
            <w:r>
              <w:rPr>
                <w:b w:val="0"/>
                <w:sz w:val="16"/>
              </w:rPr>
              <w:t>1,957</w:t>
            </w:r>
          </w:p>
        </w:tc>
        <w:tc>
          <w:tcPr>
            <w:tcW w:type="dxa" w:w="1704"/>
          </w:tcPr>
          <w:p>
            <w:pPr>
              <w:spacing w:after="20" w:before="20"/>
              <w:jc w:val="center"/>
            </w:pPr>
            <w:r/>
            <w:r>
              <w:rPr>
                <w:b w:val="0"/>
                <w:sz w:val="16"/>
              </w:rPr>
              <w:t>2,831</w:t>
            </w:r>
          </w:p>
        </w:tc>
      </w:tr>
      <w:tr>
        <w:tc>
          <w:tcPr>
            <w:tcW w:type="dxa" w:w="2880"/>
            <w:shd w:val="clear" w:fill="EEF2F7"/>
          </w:tcPr>
          <w:p>
            <w:pPr>
              <w:spacing w:after="20" w:before="20"/>
              <w:jc w:val="left"/>
            </w:pPr>
            <w:r/>
            <w:r>
              <w:rPr>
                <w:b/>
                <w:sz w:val="16"/>
              </w:rPr>
              <w:t>Capex</w:t>
            </w:r>
          </w:p>
        </w:tc>
        <w:tc>
          <w:tcPr>
            <w:tcW w:type="dxa" w:w="1440"/>
            <w:shd w:val="clear" w:fill="EEF2F7"/>
          </w:tcPr>
          <w:p>
            <w:pPr>
              <w:spacing w:after="20" w:before="20"/>
              <w:jc w:val="center"/>
            </w:pPr>
            <w:r/>
            <w:r>
              <w:rPr>
                <w:b w:val="0"/>
                <w:sz w:val="16"/>
              </w:rPr>
              <w:t>(181)</w:t>
            </w:r>
          </w:p>
        </w:tc>
        <w:tc>
          <w:tcPr>
            <w:tcW w:type="dxa" w:w="1440"/>
            <w:shd w:val="clear" w:fill="EEF2F7"/>
          </w:tcPr>
          <w:p>
            <w:pPr>
              <w:spacing w:after="20" w:before="20"/>
              <w:jc w:val="center"/>
            </w:pPr>
            <w:r/>
            <w:r>
              <w:rPr>
                <w:b w:val="0"/>
                <w:sz w:val="16"/>
              </w:rPr>
              <w:t>(204)</w:t>
            </w:r>
          </w:p>
        </w:tc>
        <w:tc>
          <w:tcPr>
            <w:tcW w:type="dxa" w:w="1440"/>
            <w:shd w:val="clear" w:fill="EEF2F7"/>
          </w:tcPr>
          <w:p>
            <w:pPr>
              <w:spacing w:after="20" w:before="20"/>
              <w:jc w:val="center"/>
            </w:pPr>
            <w:r/>
            <w:r>
              <w:rPr>
                <w:b w:val="0"/>
                <w:sz w:val="16"/>
              </w:rPr>
              <w:t>(222)</w:t>
            </w:r>
          </w:p>
        </w:tc>
        <w:tc>
          <w:tcPr>
            <w:tcW w:type="dxa" w:w="1440"/>
            <w:shd w:val="clear" w:fill="EEF2F7"/>
          </w:tcPr>
          <w:p>
            <w:pPr>
              <w:spacing w:after="20" w:before="20"/>
              <w:jc w:val="center"/>
            </w:pPr>
            <w:r/>
            <w:r>
              <w:rPr>
                <w:b w:val="0"/>
                <w:sz w:val="16"/>
              </w:rPr>
              <w:t>(240)</w:t>
            </w:r>
          </w:p>
        </w:tc>
        <w:tc>
          <w:tcPr>
            <w:tcW w:type="dxa" w:w="1704"/>
            <w:shd w:val="clear" w:fill="EEF2F7"/>
          </w:tcPr>
          <w:p>
            <w:pPr>
              <w:spacing w:after="20" w:before="20"/>
              <w:jc w:val="center"/>
            </w:pPr>
            <w:r/>
            <w:r>
              <w:rPr>
                <w:b w:val="0"/>
                <w:sz w:val="16"/>
              </w:rPr>
              <w:t>(257)</w:t>
            </w:r>
          </w:p>
        </w:tc>
      </w:tr>
      <w:tr>
        <w:tc>
          <w:tcPr>
            <w:tcW w:type="dxa" w:w="2880"/>
          </w:tcPr>
          <w:p>
            <w:pPr>
              <w:spacing w:after="20" w:before="20"/>
              <w:jc w:val="left"/>
            </w:pPr>
            <w:r/>
            <w:r>
              <w:rPr>
                <w:b/>
                <w:sz w:val="16"/>
              </w:rPr>
              <w:t>Free Cash Flow</w:t>
            </w:r>
          </w:p>
        </w:tc>
        <w:tc>
          <w:tcPr>
            <w:tcW w:type="dxa" w:w="1440"/>
          </w:tcPr>
          <w:p>
            <w:pPr>
              <w:spacing w:after="20" w:before="20"/>
              <w:jc w:val="center"/>
            </w:pPr>
            <w:r/>
            <w:r>
              <w:rPr>
                <w:b w:val="0"/>
                <w:sz w:val="16"/>
              </w:rPr>
              <w:t>1,278</w:t>
            </w:r>
          </w:p>
        </w:tc>
        <w:tc>
          <w:tcPr>
            <w:tcW w:type="dxa" w:w="1440"/>
          </w:tcPr>
          <w:p>
            <w:pPr>
              <w:spacing w:after="20" w:before="20"/>
              <w:jc w:val="center"/>
            </w:pPr>
            <w:r/>
            <w:r>
              <w:rPr>
                <w:b w:val="0"/>
                <w:sz w:val="16"/>
              </w:rPr>
              <w:t>1,088</w:t>
            </w:r>
          </w:p>
        </w:tc>
        <w:tc>
          <w:tcPr>
            <w:tcW w:type="dxa" w:w="1440"/>
          </w:tcPr>
          <w:p>
            <w:pPr>
              <w:spacing w:after="20" w:before="20"/>
              <w:jc w:val="center"/>
            </w:pPr>
            <w:r/>
            <w:r>
              <w:rPr>
                <w:b w:val="0"/>
                <w:sz w:val="16"/>
              </w:rPr>
              <w:t>2,123</w:t>
            </w:r>
          </w:p>
        </w:tc>
        <w:tc>
          <w:tcPr>
            <w:tcW w:type="dxa" w:w="1440"/>
          </w:tcPr>
          <w:p>
            <w:pPr>
              <w:spacing w:after="20" w:before="20"/>
              <w:jc w:val="center"/>
            </w:pPr>
            <w:r/>
            <w:r>
              <w:rPr>
                <w:b w:val="0"/>
                <w:sz w:val="16"/>
              </w:rPr>
              <w:t>1,717</w:t>
            </w:r>
          </w:p>
        </w:tc>
        <w:tc>
          <w:tcPr>
            <w:tcW w:type="dxa" w:w="1704"/>
          </w:tcPr>
          <w:p>
            <w:pPr>
              <w:spacing w:after="20" w:before="20"/>
              <w:jc w:val="center"/>
            </w:pPr>
            <w:r/>
            <w:r>
              <w:rPr>
                <w:b w:val="0"/>
                <w:sz w:val="16"/>
              </w:rPr>
              <w:t>2,574</w:t>
            </w:r>
          </w:p>
        </w:tc>
      </w:tr>
      <w:tr>
        <w:tc>
          <w:tcPr>
            <w:tcW w:type="dxa" w:w="2880"/>
            <w:shd w:val="clear" w:fill="EEF2F7"/>
          </w:tcPr>
          <w:p>
            <w:pPr>
              <w:spacing w:after="20" w:before="20"/>
              <w:jc w:val="left"/>
            </w:pPr>
            <w:r/>
            <w:r>
              <w:rPr>
                <w:b/>
                <w:sz w:val="16"/>
              </w:rPr>
              <w:t>Dividends Paid</w:t>
            </w:r>
          </w:p>
        </w:tc>
        <w:tc>
          <w:tcPr>
            <w:tcW w:type="dxa" w:w="1440"/>
            <w:shd w:val="clear" w:fill="EEF2F7"/>
          </w:tcPr>
          <w:p>
            <w:pPr>
              <w:spacing w:after="20" w:before="20"/>
              <w:jc w:val="center"/>
            </w:pPr>
            <w:r/>
            <w:r>
              <w:rPr>
                <w:b w:val="0"/>
                <w:sz w:val="16"/>
              </w:rPr>
              <w:t>(1,263)</w:t>
            </w:r>
          </w:p>
        </w:tc>
        <w:tc>
          <w:tcPr>
            <w:tcW w:type="dxa" w:w="1440"/>
            <w:shd w:val="clear" w:fill="EEF2F7"/>
          </w:tcPr>
          <w:p>
            <w:pPr>
              <w:spacing w:after="20" w:before="20"/>
              <w:jc w:val="center"/>
            </w:pPr>
            <w:r/>
            <w:r>
              <w:rPr>
                <w:b w:val="0"/>
                <w:sz w:val="16"/>
              </w:rPr>
              <w:t>(1,145)</w:t>
            </w:r>
          </w:p>
        </w:tc>
        <w:tc>
          <w:tcPr>
            <w:tcW w:type="dxa" w:w="1440"/>
            <w:shd w:val="clear" w:fill="EEF2F7"/>
          </w:tcPr>
          <w:p>
            <w:pPr>
              <w:spacing w:after="20" w:before="20"/>
              <w:jc w:val="center"/>
            </w:pPr>
            <w:r/>
            <w:r>
              <w:rPr>
                <w:b w:val="0"/>
                <w:sz w:val="16"/>
              </w:rPr>
              <w:t>(1,267)</w:t>
            </w:r>
          </w:p>
        </w:tc>
        <w:tc>
          <w:tcPr>
            <w:tcW w:type="dxa" w:w="1440"/>
            <w:shd w:val="clear" w:fill="EEF2F7"/>
          </w:tcPr>
          <w:p>
            <w:pPr>
              <w:spacing w:after="20" w:before="20"/>
              <w:jc w:val="center"/>
            </w:pPr>
            <w:r/>
            <w:r>
              <w:rPr>
                <w:b w:val="0"/>
                <w:sz w:val="16"/>
              </w:rPr>
              <w:t>(1,420)</w:t>
            </w:r>
          </w:p>
        </w:tc>
        <w:tc>
          <w:tcPr>
            <w:tcW w:type="dxa" w:w="1704"/>
            <w:shd w:val="clear" w:fill="EEF2F7"/>
          </w:tcPr>
          <w:p>
            <w:pPr>
              <w:spacing w:after="20" w:before="20"/>
              <w:jc w:val="center"/>
            </w:pPr>
            <w:r/>
            <w:r>
              <w:rPr>
                <w:b w:val="0"/>
                <w:sz w:val="16"/>
              </w:rPr>
              <w:t>(1,553)</w:t>
            </w:r>
          </w:p>
        </w:tc>
      </w:tr>
    </w:tbl>
    <w:p>
      <w:pPr>
        <w:spacing w:after="40"/>
      </w:pPr>
    </w:p>
    <w:p>
      <w:pPr>
        <w:spacing w:before="60" w:after="20"/>
        <w:jc w:val="center"/>
      </w:pPr>
      <w:r>
        <w:drawing>
          <wp:inline xmlns:a="http://schemas.openxmlformats.org/drawingml/2006/main" xmlns:pic="http://schemas.openxmlformats.org/drawingml/2006/picture">
            <wp:extent cx="5303520" cy="2778034"/>
            <wp:docPr id="13" name="Picture 13"/>
            <wp:cNvGraphicFramePr>
              <a:graphicFrameLocks noChangeAspect="1"/>
            </wp:cNvGraphicFramePr>
            <a:graphic>
              <a:graphicData uri="http://schemas.openxmlformats.org/drawingml/2006/picture">
                <pic:pic>
                  <pic:nvPicPr>
                    <pic:cNvPr id="0" name="ex9_fcf_div.png"/>
                    <pic:cNvPicPr/>
                  </pic:nvPicPr>
                  <pic:blipFill>
                    <a:blip r:embed="rId21"/>
                    <a:stretch>
                      <a:fillRect/>
                    </a:stretch>
                  </pic:blipFill>
                  <pic:spPr>
                    <a:xfrm>
                      <a:off x="0" y="0"/>
                      <a:ext cx="5303520" cy="2778034"/>
                    </a:xfrm>
                    <a:prstGeom prst="rect"/>
                  </pic:spPr>
                </pic:pic>
              </a:graphicData>
            </a:graphic>
          </wp:inline>
        </w:drawing>
      </w:r>
    </w:p>
    <w:p>
      <w:pPr>
        <w:spacing w:after="140"/>
        <w:jc w:val="center"/>
      </w:pPr>
      <w:r>
        <w:rPr>
          <w:i/>
          <w:color w:val="555B66"/>
          <w:sz w:val="15"/>
        </w:rPr>
        <w:t>Free cash flow versus dividends   |   Source: Company, United Spirits Excell.xlsx, Analyst estimates</w:t>
      </w:r>
    </w:p>
    <w:p>
      <w:pPr>
        <w:spacing w:before="160" w:after="60"/>
      </w:pPr>
      <w:r>
        <w:rPr>
          <w:b/>
          <w:color w:val="13558C"/>
          <w:sz w:val="22"/>
        </w:rPr>
        <w:t>Key Ratios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shd w:val="clear" w:fill="0B2545"/>
          </w:tcPr>
          <w:p>
            <w:pPr>
              <w:spacing w:after="20" w:before="20"/>
              <w:jc w:val="left"/>
            </w:pPr>
            <w:r/>
            <w:r>
              <w:rPr>
                <w:b/>
                <w:color w:val="FFFFFF"/>
                <w:sz w:val="16"/>
              </w:rPr>
              <w:t>Ratio</w:t>
            </w:r>
          </w:p>
        </w:tc>
        <w:tc>
          <w:tcPr>
            <w:tcW w:type="dxa" w:w="1296"/>
            <w:shd w:val="clear" w:fill="0B2545"/>
          </w:tcPr>
          <w:p>
            <w:pPr>
              <w:spacing w:after="20" w:before="20"/>
              <w:jc w:val="center"/>
            </w:pPr>
            <w:r/>
            <w:r>
              <w:rPr>
                <w:b/>
                <w:color w:val="FFFFFF"/>
                <w:sz w:val="16"/>
              </w:rPr>
              <w:t>FY24</w:t>
            </w:r>
          </w:p>
        </w:tc>
        <w:tc>
          <w:tcPr>
            <w:tcW w:type="dxa" w:w="1296"/>
            <w:shd w:val="clear" w:fill="0B2545"/>
          </w:tcPr>
          <w:p>
            <w:pPr>
              <w:spacing w:after="20" w:before="20"/>
              <w:jc w:val="center"/>
            </w:pPr>
            <w:r/>
            <w:r>
              <w:rPr>
                <w:b/>
                <w:color w:val="FFFFFF"/>
                <w:sz w:val="16"/>
              </w:rPr>
              <w:t>FY25</w:t>
            </w:r>
          </w:p>
        </w:tc>
        <w:tc>
          <w:tcPr>
            <w:tcW w:type="dxa" w:w="1296"/>
            <w:shd w:val="clear" w:fill="0B2545"/>
          </w:tcPr>
          <w:p>
            <w:pPr>
              <w:spacing w:after="20" w:before="20"/>
              <w:jc w:val="center"/>
            </w:pPr>
            <w:r/>
            <w:r>
              <w:rPr>
                <w:b/>
                <w:color w:val="FFFFFF"/>
                <w:sz w:val="16"/>
              </w:rPr>
              <w:t>FY26</w:t>
            </w:r>
          </w:p>
        </w:tc>
        <w:tc>
          <w:tcPr>
            <w:tcW w:type="dxa" w:w="1296"/>
            <w:shd w:val="clear" w:fill="0B2545"/>
          </w:tcPr>
          <w:p>
            <w:pPr>
              <w:spacing w:after="20" w:before="20"/>
              <w:jc w:val="center"/>
            </w:pPr>
            <w:r/>
            <w:r>
              <w:rPr>
                <w:b/>
                <w:color w:val="FFFFFF"/>
                <w:sz w:val="16"/>
              </w:rPr>
              <w:t>FY27E</w:t>
            </w:r>
          </w:p>
        </w:tc>
        <w:tc>
          <w:tcPr>
            <w:tcW w:type="dxa" w:w="1296"/>
            <w:shd w:val="clear" w:fill="0B2545"/>
          </w:tcPr>
          <w:p>
            <w:pPr>
              <w:spacing w:after="20" w:before="20"/>
              <w:jc w:val="center"/>
            </w:pPr>
            <w:r/>
            <w:r>
              <w:rPr>
                <w:b/>
                <w:color w:val="FFFFFF"/>
                <w:sz w:val="16"/>
              </w:rPr>
              <w:t>FY28E</w:t>
            </w:r>
          </w:p>
        </w:tc>
      </w:tr>
      <w:tr>
        <w:tc>
          <w:tcPr>
            <w:tcW w:type="dxa" w:w="2880"/>
          </w:tcPr>
          <w:p>
            <w:pPr>
              <w:spacing w:after="20" w:before="20"/>
              <w:jc w:val="left"/>
            </w:pPr>
            <w:r/>
            <w:r>
              <w:rPr>
                <w:b/>
                <w:sz w:val="16"/>
              </w:rPr>
              <w:t>ROE %</w:t>
            </w:r>
          </w:p>
        </w:tc>
        <w:tc>
          <w:tcPr>
            <w:tcW w:type="dxa" w:w="1296"/>
          </w:tcPr>
          <w:p>
            <w:pPr>
              <w:spacing w:after="20" w:before="20"/>
              <w:jc w:val="center"/>
            </w:pPr>
            <w:r/>
            <w:r>
              <w:rPr>
                <w:b w:val="0"/>
                <w:sz w:val="16"/>
              </w:rPr>
              <w:t>21</w:t>
            </w:r>
          </w:p>
        </w:tc>
        <w:tc>
          <w:tcPr>
            <w:tcW w:type="dxa" w:w="1296"/>
          </w:tcPr>
          <w:p>
            <w:pPr>
              <w:spacing w:after="20" w:before="20"/>
              <w:jc w:val="center"/>
            </w:pPr>
            <w:r/>
            <w:r>
              <w:rPr>
                <w:b w:val="0"/>
                <w:sz w:val="16"/>
              </w:rPr>
              <w:t>21</w:t>
            </w:r>
          </w:p>
        </w:tc>
        <w:tc>
          <w:tcPr>
            <w:tcW w:type="dxa" w:w="1296"/>
          </w:tcPr>
          <w:p>
            <w:pPr>
              <w:spacing w:after="20" w:before="20"/>
              <w:jc w:val="center"/>
            </w:pPr>
            <w:r/>
            <w:r>
              <w:rPr>
                <w:b w:val="0"/>
                <w:sz w:val="16"/>
              </w:rPr>
              <w:t>22</w:t>
            </w:r>
          </w:p>
        </w:tc>
        <w:tc>
          <w:tcPr>
            <w:tcW w:type="dxa" w:w="1296"/>
          </w:tcPr>
          <w:p>
            <w:pPr>
              <w:spacing w:after="20" w:before="20"/>
              <w:jc w:val="center"/>
            </w:pPr>
            <w:r/>
            <w:r>
              <w:rPr>
                <w:b w:val="0"/>
                <w:sz w:val="16"/>
              </w:rPr>
              <w:t>19</w:t>
            </w:r>
          </w:p>
        </w:tc>
        <w:tc>
          <w:tcPr>
            <w:tcW w:type="dxa" w:w="1296"/>
          </w:tcPr>
          <w:p>
            <w:pPr>
              <w:spacing w:after="20" w:before="20"/>
              <w:jc w:val="center"/>
            </w:pPr>
            <w:r/>
            <w:r>
              <w:rPr>
                <w:b w:val="0"/>
                <w:sz w:val="16"/>
              </w:rPr>
              <w:t>19</w:t>
            </w:r>
          </w:p>
        </w:tc>
      </w:tr>
      <w:tr>
        <w:tc>
          <w:tcPr>
            <w:tcW w:type="dxa" w:w="2880"/>
            <w:shd w:val="clear" w:fill="EEF2F7"/>
          </w:tcPr>
          <w:p>
            <w:pPr>
              <w:spacing w:after="20" w:before="20"/>
              <w:jc w:val="left"/>
            </w:pPr>
            <w:r/>
            <w:r>
              <w:rPr>
                <w:b/>
                <w:sz w:val="16"/>
              </w:rPr>
              <w:t>ROCE %</w:t>
            </w:r>
          </w:p>
        </w:tc>
        <w:tc>
          <w:tcPr>
            <w:tcW w:type="dxa" w:w="1296"/>
            <w:shd w:val="clear" w:fill="EEF2F7"/>
          </w:tcPr>
          <w:p>
            <w:pPr>
              <w:spacing w:after="20" w:before="20"/>
              <w:jc w:val="center"/>
            </w:pPr>
            <w:r/>
            <w:r>
              <w:rPr>
                <w:b w:val="0"/>
                <w:sz w:val="16"/>
              </w:rPr>
              <w:t>23</w:t>
            </w:r>
          </w:p>
        </w:tc>
        <w:tc>
          <w:tcPr>
            <w:tcW w:type="dxa" w:w="1296"/>
            <w:shd w:val="clear" w:fill="EEF2F7"/>
          </w:tcPr>
          <w:p>
            <w:pPr>
              <w:spacing w:after="20" w:before="20"/>
              <w:jc w:val="center"/>
            </w:pPr>
            <w:r/>
            <w:r>
              <w:rPr>
                <w:b w:val="0"/>
                <w:sz w:val="16"/>
              </w:rPr>
              <w:t>23</w:t>
            </w:r>
          </w:p>
        </w:tc>
        <w:tc>
          <w:tcPr>
            <w:tcW w:type="dxa" w:w="1296"/>
            <w:shd w:val="clear" w:fill="EEF2F7"/>
          </w:tcPr>
          <w:p>
            <w:pPr>
              <w:spacing w:after="20" w:before="20"/>
              <w:jc w:val="center"/>
            </w:pPr>
            <w:r/>
            <w:r>
              <w:rPr>
                <w:b w:val="0"/>
                <w:sz w:val="16"/>
              </w:rPr>
              <w:t>21</w:t>
            </w:r>
          </w:p>
        </w:tc>
        <w:tc>
          <w:tcPr>
            <w:tcW w:type="dxa" w:w="1296"/>
            <w:shd w:val="clear" w:fill="EEF2F7"/>
          </w:tcPr>
          <w:p>
            <w:pPr>
              <w:spacing w:after="20" w:before="20"/>
              <w:jc w:val="center"/>
            </w:pPr>
            <w:r/>
            <w:r>
              <w:rPr>
                <w:b w:val="0"/>
                <w:sz w:val="16"/>
              </w:rPr>
              <w:t>22</w:t>
            </w:r>
          </w:p>
        </w:tc>
        <w:tc>
          <w:tcPr>
            <w:tcW w:type="dxa" w:w="1296"/>
            <w:shd w:val="clear" w:fill="EEF2F7"/>
          </w:tcPr>
          <w:p>
            <w:pPr>
              <w:spacing w:after="20" w:before="20"/>
              <w:jc w:val="center"/>
            </w:pPr>
            <w:r/>
            <w:r>
              <w:rPr>
                <w:b w:val="0"/>
                <w:sz w:val="16"/>
              </w:rPr>
              <w:t>22</w:t>
            </w:r>
          </w:p>
        </w:tc>
      </w:tr>
      <w:tr>
        <w:tc>
          <w:tcPr>
            <w:tcW w:type="dxa" w:w="2880"/>
          </w:tcPr>
          <w:p>
            <w:pPr>
              <w:spacing w:after="20" w:before="20"/>
              <w:jc w:val="left"/>
            </w:pPr>
            <w:r/>
            <w:r>
              <w:rPr>
                <w:b/>
                <w:sz w:val="16"/>
              </w:rPr>
              <w:t>Gross Margin %</w:t>
            </w:r>
          </w:p>
        </w:tc>
        <w:tc>
          <w:tcPr>
            <w:tcW w:type="dxa" w:w="1296"/>
          </w:tcPr>
          <w:p>
            <w:pPr>
              <w:spacing w:after="20" w:before="20"/>
              <w:jc w:val="center"/>
            </w:pPr>
            <w:r/>
            <w:r>
              <w:rPr>
                <w:b w:val="0"/>
                <w:sz w:val="16"/>
              </w:rPr>
              <w:t>42</w:t>
            </w:r>
          </w:p>
        </w:tc>
        <w:tc>
          <w:tcPr>
            <w:tcW w:type="dxa" w:w="1296"/>
          </w:tcPr>
          <w:p>
            <w:pPr>
              <w:spacing w:after="20" w:before="20"/>
              <w:jc w:val="center"/>
            </w:pPr>
            <w:r/>
            <w:r>
              <w:rPr>
                <w:b w:val="0"/>
                <w:sz w:val="16"/>
              </w:rPr>
              <w:t>43</w:t>
            </w:r>
          </w:p>
        </w:tc>
        <w:tc>
          <w:tcPr>
            <w:tcW w:type="dxa" w:w="1296"/>
          </w:tcPr>
          <w:p>
            <w:pPr>
              <w:spacing w:after="20" w:before="20"/>
              <w:jc w:val="center"/>
            </w:pPr>
            <w:r/>
            <w:r>
              <w:rPr>
                <w:b w:val="0"/>
                <w:sz w:val="16"/>
              </w:rPr>
              <w:t>46</w:t>
            </w:r>
          </w:p>
        </w:tc>
        <w:tc>
          <w:tcPr>
            <w:tcW w:type="dxa" w:w="1296"/>
          </w:tcPr>
          <w:p>
            <w:pPr>
              <w:spacing w:after="20" w:before="20"/>
              <w:jc w:val="center"/>
            </w:pPr>
            <w:r/>
            <w:r>
              <w:rPr>
                <w:b w:val="0"/>
                <w:sz w:val="16"/>
              </w:rPr>
              <w:t>46</w:t>
            </w:r>
          </w:p>
        </w:tc>
        <w:tc>
          <w:tcPr>
            <w:tcW w:type="dxa" w:w="1296"/>
          </w:tcPr>
          <w:p>
            <w:pPr>
              <w:spacing w:after="20" w:before="20"/>
              <w:jc w:val="center"/>
            </w:pPr>
            <w:r/>
            <w:r>
              <w:rPr>
                <w:b w:val="0"/>
                <w:sz w:val="16"/>
              </w:rPr>
              <w:t>46</w:t>
            </w:r>
          </w:p>
        </w:tc>
      </w:tr>
      <w:tr>
        <w:tc>
          <w:tcPr>
            <w:tcW w:type="dxa" w:w="2880"/>
            <w:shd w:val="clear" w:fill="EEF2F7"/>
          </w:tcPr>
          <w:p>
            <w:pPr>
              <w:spacing w:after="20" w:before="20"/>
              <w:jc w:val="left"/>
            </w:pPr>
            <w:r/>
            <w:r>
              <w:rPr>
                <w:b/>
                <w:sz w:val="16"/>
              </w:rPr>
              <w:t>EBITDA Margin %</w:t>
            </w:r>
          </w:p>
        </w:tc>
        <w:tc>
          <w:tcPr>
            <w:tcW w:type="dxa" w:w="1296"/>
            <w:shd w:val="clear" w:fill="EEF2F7"/>
          </w:tcPr>
          <w:p>
            <w:pPr>
              <w:spacing w:after="20" w:before="20"/>
              <w:jc w:val="center"/>
            </w:pPr>
            <w:r/>
            <w:r>
              <w:rPr>
                <w:b w:val="0"/>
                <w:sz w:val="16"/>
              </w:rPr>
              <w:t>18</w:t>
            </w:r>
          </w:p>
        </w:tc>
        <w:tc>
          <w:tcPr>
            <w:tcW w:type="dxa" w:w="1296"/>
            <w:shd w:val="clear" w:fill="EEF2F7"/>
          </w:tcPr>
          <w:p>
            <w:pPr>
              <w:spacing w:after="20" w:before="20"/>
              <w:jc w:val="center"/>
            </w:pPr>
            <w:r/>
            <w:r>
              <w:rPr>
                <w:b w:val="0"/>
                <w:sz w:val="16"/>
              </w:rPr>
              <w:t>19</w:t>
            </w:r>
          </w:p>
        </w:tc>
        <w:tc>
          <w:tcPr>
            <w:tcW w:type="dxa" w:w="1296"/>
            <w:shd w:val="clear" w:fill="EEF2F7"/>
          </w:tcPr>
          <w:p>
            <w:pPr>
              <w:spacing w:after="20" w:before="20"/>
              <w:jc w:val="center"/>
            </w:pPr>
            <w:r/>
            <w:r>
              <w:rPr>
                <w:b w:val="0"/>
                <w:sz w:val="16"/>
              </w:rPr>
              <w:t>18</w:t>
            </w:r>
          </w:p>
        </w:tc>
        <w:tc>
          <w:tcPr>
            <w:tcW w:type="dxa" w:w="1296"/>
            <w:shd w:val="clear" w:fill="EEF2F7"/>
          </w:tcPr>
          <w:p>
            <w:pPr>
              <w:spacing w:after="20" w:before="20"/>
              <w:jc w:val="center"/>
            </w:pPr>
            <w:r/>
            <w:r>
              <w:rPr>
                <w:b w:val="0"/>
                <w:sz w:val="16"/>
              </w:rPr>
              <w:t>19</w:t>
            </w:r>
          </w:p>
        </w:tc>
        <w:tc>
          <w:tcPr>
            <w:tcW w:type="dxa" w:w="1296"/>
            <w:shd w:val="clear" w:fill="EEF2F7"/>
          </w:tcPr>
          <w:p>
            <w:pPr>
              <w:spacing w:after="20" w:before="20"/>
              <w:jc w:val="center"/>
            </w:pPr>
            <w:r/>
            <w:r>
              <w:rPr>
                <w:b w:val="0"/>
                <w:sz w:val="16"/>
              </w:rPr>
              <w:t>19</w:t>
            </w:r>
          </w:p>
        </w:tc>
      </w:tr>
      <w:tr>
        <w:tc>
          <w:tcPr>
            <w:tcW w:type="dxa" w:w="2880"/>
          </w:tcPr>
          <w:p>
            <w:pPr>
              <w:spacing w:after="20" w:before="20"/>
              <w:jc w:val="left"/>
            </w:pPr>
            <w:r/>
            <w:r>
              <w:rPr>
                <w:b/>
                <w:sz w:val="16"/>
              </w:rPr>
              <w:t>Net Debt to EBITDA (x)</w:t>
            </w:r>
          </w:p>
        </w:tc>
        <w:tc>
          <w:tcPr>
            <w:tcW w:type="dxa" w:w="1296"/>
          </w:tcPr>
          <w:p>
            <w:pPr>
              <w:spacing w:after="20" w:before="20"/>
              <w:jc w:val="center"/>
            </w:pPr>
            <w:r/>
            <w:r>
              <w:rPr>
                <w:b w:val="0"/>
                <w:sz w:val="16"/>
              </w:rPr>
              <w:t>-0.8</w:t>
            </w:r>
          </w:p>
        </w:tc>
        <w:tc>
          <w:tcPr>
            <w:tcW w:type="dxa" w:w="1296"/>
          </w:tcPr>
          <w:p>
            <w:pPr>
              <w:spacing w:after="20" w:before="20"/>
              <w:jc w:val="center"/>
            </w:pPr>
            <w:r/>
            <w:r>
              <w:rPr>
                <w:b w:val="0"/>
                <w:sz w:val="16"/>
              </w:rPr>
              <w:t>-1.1</w:t>
            </w:r>
          </w:p>
        </w:tc>
        <w:tc>
          <w:tcPr>
            <w:tcW w:type="dxa" w:w="1296"/>
          </w:tcPr>
          <w:p>
            <w:pPr>
              <w:spacing w:after="20" w:before="20"/>
              <w:jc w:val="center"/>
            </w:pPr>
            <w:r/>
            <w:r>
              <w:rPr>
                <w:b w:val="0"/>
                <w:sz w:val="16"/>
              </w:rPr>
              <w:t>-1.2</w:t>
            </w:r>
          </w:p>
        </w:tc>
        <w:tc>
          <w:tcPr>
            <w:tcW w:type="dxa" w:w="1296"/>
          </w:tcPr>
          <w:p>
            <w:pPr>
              <w:spacing w:after="20" w:before="20"/>
              <w:jc w:val="center"/>
            </w:pPr>
            <w:r/>
            <w:r>
              <w:rPr>
                <w:b w:val="0"/>
                <w:sz w:val="16"/>
              </w:rPr>
              <w:t>-1.1</w:t>
            </w:r>
          </w:p>
        </w:tc>
        <w:tc>
          <w:tcPr>
            <w:tcW w:type="dxa" w:w="1296"/>
          </w:tcPr>
          <w:p>
            <w:pPr>
              <w:spacing w:after="20" w:before="20"/>
              <w:jc w:val="center"/>
            </w:pPr>
            <w:r/>
            <w:r>
              <w:rPr>
                <w:b w:val="0"/>
                <w:sz w:val="16"/>
              </w:rPr>
              <w:t>-1.0</w:t>
            </w:r>
          </w:p>
        </w:tc>
      </w:tr>
      <w:tr>
        <w:tc>
          <w:tcPr>
            <w:tcW w:type="dxa" w:w="2880"/>
            <w:shd w:val="clear" w:fill="EEF2F7"/>
          </w:tcPr>
          <w:p>
            <w:pPr>
              <w:spacing w:after="20" w:before="20"/>
              <w:jc w:val="left"/>
            </w:pPr>
            <w:r/>
            <w:r>
              <w:rPr>
                <w:b/>
                <w:sz w:val="16"/>
              </w:rPr>
              <w:t>Dividend Payout %</w:t>
            </w:r>
          </w:p>
        </w:tc>
        <w:tc>
          <w:tcPr>
            <w:tcW w:type="dxa" w:w="1296"/>
            <w:shd w:val="clear" w:fill="EEF2F7"/>
          </w:tcPr>
          <w:p>
            <w:pPr>
              <w:spacing w:after="20" w:before="20"/>
              <w:jc w:val="center"/>
            </w:pPr>
            <w:r/>
            <w:r>
              <w:rPr>
                <w:b w:val="0"/>
                <w:sz w:val="16"/>
              </w:rPr>
              <w:t>About 70</w:t>
            </w:r>
          </w:p>
        </w:tc>
        <w:tc>
          <w:tcPr>
            <w:tcW w:type="dxa" w:w="1296"/>
            <w:shd w:val="clear" w:fill="EEF2F7"/>
          </w:tcPr>
          <w:p>
            <w:pPr>
              <w:spacing w:after="20" w:before="20"/>
              <w:jc w:val="center"/>
            </w:pPr>
            <w:r/>
            <w:r>
              <w:rPr>
                <w:b w:val="0"/>
                <w:sz w:val="16"/>
              </w:rPr>
              <w:t>About 70</w:t>
            </w:r>
          </w:p>
        </w:tc>
        <w:tc>
          <w:tcPr>
            <w:tcW w:type="dxa" w:w="1296"/>
            <w:shd w:val="clear" w:fill="EEF2F7"/>
          </w:tcPr>
          <w:p>
            <w:pPr>
              <w:spacing w:after="20" w:before="20"/>
              <w:jc w:val="center"/>
            </w:pPr>
            <w:r/>
            <w:r>
              <w:rPr>
                <w:b w:val="0"/>
                <w:sz w:val="16"/>
              </w:rPr>
              <w:t>About 70</w:t>
            </w:r>
          </w:p>
        </w:tc>
        <w:tc>
          <w:tcPr>
            <w:tcW w:type="dxa" w:w="1296"/>
            <w:shd w:val="clear" w:fill="EEF2F7"/>
          </w:tcPr>
          <w:p>
            <w:pPr>
              <w:spacing w:after="20" w:before="20"/>
              <w:jc w:val="center"/>
            </w:pPr>
            <w:r/>
            <w:r>
              <w:rPr>
                <w:b w:val="0"/>
                <w:sz w:val="16"/>
              </w:rPr>
              <w:t>About 70</w:t>
            </w:r>
          </w:p>
        </w:tc>
        <w:tc>
          <w:tcPr>
            <w:tcW w:type="dxa" w:w="1296"/>
            <w:shd w:val="clear" w:fill="EEF2F7"/>
          </w:tcPr>
          <w:p>
            <w:pPr>
              <w:spacing w:after="20" w:before="20"/>
              <w:jc w:val="center"/>
            </w:pPr>
            <w:r/>
            <w:r>
              <w:rPr>
                <w:b w:val="0"/>
                <w:sz w:val="16"/>
              </w:rPr>
              <w:t>About 70</w:t>
            </w:r>
          </w:p>
        </w:tc>
      </w:tr>
    </w:tbl>
    <w:p>
      <w:pPr>
        <w:spacing w:after="40"/>
      </w:pPr>
    </w:p>
    <w:p>
      <w:pPr>
        <w:spacing w:after="120"/>
        <w:jc w:val="both"/>
      </w:pPr>
      <w:r>
        <w:rPr>
          <w:b w:val="0"/>
          <w:i w:val="0"/>
          <w:sz w:val="20"/>
        </w:rPr>
        <w:t>Capex is small, at about 1% to 2% of net sales, because the model is light on fixed assets. With healthy operating cash flow, low capex and a payout of about 70% of profit, USL is a steady cash compounder. The dip in ROE in FY27 reflects the one off items in the FY26 base.</w:t>
      </w:r>
    </w:p>
    <w:p>
      <w:r>
        <w:br w:type="page"/>
      </w:r>
    </w:p>
    <w:p>
      <w:pPr>
        <w:spacing w:before="200" w:after="80"/>
        <w:pBdr>
          <w:bottom w:val="single" w:sz="8" w:space="3" w:color="0B2545"/>
        </w:pBdr>
      </w:pPr>
      <w:r>
        <w:rPr>
          <w:b/>
          <w:color w:val="0B2545"/>
          <w:sz w:val="28"/>
        </w:rPr>
        <w:t>Valuation in Detail</w:t>
      </w:r>
    </w:p>
    <w:p>
      <w:pPr>
        <w:spacing w:before="160" w:after="60"/>
      </w:pPr>
      <w:r>
        <w:rPr>
          <w:b/>
          <w:color w:val="13558C"/>
          <w:sz w:val="22"/>
        </w:rPr>
        <w:t>A) Discounted Cash Flow (DCF)</w:t>
      </w:r>
    </w:p>
    <w:tbl>
      <w:tblPr>
        <w:tblStyle w:val="TableGrid"/>
        <w:tblW w:type="auto" w:w="0"/>
        <w:jc w:val="center"/>
        <w:tblLook w:firstColumn="1" w:firstRow="1" w:lastColumn="0" w:lastRow="0" w:noHBand="0" w:noVBand="1" w:val="04A0"/>
      </w:tblPr>
      <w:tblGrid>
        <w:gridCol w:w="5112"/>
        <w:gridCol w:w="5112"/>
      </w:tblGrid>
      <w:tr>
        <w:tc>
          <w:tcPr>
            <w:tcW w:type="dxa" w:w="6048"/>
            <w:shd w:val="clear" w:fill="0B2545"/>
          </w:tcPr>
          <w:p>
            <w:pPr>
              <w:spacing w:after="20" w:before="20"/>
              <w:jc w:val="left"/>
            </w:pPr>
            <w:r/>
            <w:r>
              <w:rPr>
                <w:b/>
                <w:color w:val="FFFFFF"/>
                <w:sz w:val="16"/>
              </w:rPr>
              <w:t>Assumption</w:t>
            </w:r>
          </w:p>
        </w:tc>
        <w:tc>
          <w:tcPr>
            <w:tcW w:type="dxa" w:w="3456"/>
            <w:shd w:val="clear" w:fill="0B2545"/>
          </w:tcPr>
          <w:p>
            <w:pPr>
              <w:spacing w:after="20" w:before="20"/>
              <w:jc w:val="center"/>
            </w:pPr>
            <w:r/>
            <w:r>
              <w:rPr>
                <w:b/>
                <w:color w:val="FFFFFF"/>
                <w:sz w:val="16"/>
              </w:rPr>
              <w:t>Value</w:t>
            </w:r>
          </w:p>
        </w:tc>
      </w:tr>
      <w:tr>
        <w:tc>
          <w:tcPr>
            <w:tcW w:type="dxa" w:w="6048"/>
          </w:tcPr>
          <w:p>
            <w:pPr>
              <w:spacing w:after="20" w:before="20"/>
              <w:jc w:val="left"/>
            </w:pPr>
            <w:r/>
            <w:r>
              <w:rPr>
                <w:b/>
                <w:sz w:val="16"/>
              </w:rPr>
              <w:t>Risk free rate (10 year G-Sec)</w:t>
            </w:r>
          </w:p>
        </w:tc>
        <w:tc>
          <w:tcPr>
            <w:tcW w:type="dxa" w:w="3456"/>
          </w:tcPr>
          <w:p>
            <w:pPr>
              <w:spacing w:after="20" w:before="20"/>
              <w:jc w:val="center"/>
            </w:pPr>
            <w:r/>
            <w:r>
              <w:rPr>
                <w:b w:val="0"/>
                <w:sz w:val="16"/>
              </w:rPr>
              <w:t>7.0%</w:t>
            </w:r>
          </w:p>
        </w:tc>
      </w:tr>
      <w:tr>
        <w:tc>
          <w:tcPr>
            <w:tcW w:type="dxa" w:w="6048"/>
            <w:shd w:val="clear" w:fill="EEF2F7"/>
          </w:tcPr>
          <w:p>
            <w:pPr>
              <w:spacing w:after="20" w:before="20"/>
              <w:jc w:val="left"/>
            </w:pPr>
            <w:r/>
            <w:r>
              <w:rPr>
                <w:b/>
                <w:sz w:val="16"/>
              </w:rPr>
              <w:t>Equity risk premium</w:t>
            </w:r>
          </w:p>
        </w:tc>
        <w:tc>
          <w:tcPr>
            <w:tcW w:type="dxa" w:w="3456"/>
            <w:shd w:val="clear" w:fill="EEF2F7"/>
          </w:tcPr>
          <w:p>
            <w:pPr>
              <w:spacing w:after="20" w:before="20"/>
              <w:jc w:val="center"/>
            </w:pPr>
            <w:r/>
            <w:r>
              <w:rPr>
                <w:b w:val="0"/>
                <w:sz w:val="16"/>
              </w:rPr>
              <w:t>4.0%</w:t>
            </w:r>
          </w:p>
        </w:tc>
      </w:tr>
      <w:tr>
        <w:tc>
          <w:tcPr>
            <w:tcW w:type="dxa" w:w="6048"/>
          </w:tcPr>
          <w:p>
            <w:pPr>
              <w:spacing w:after="20" w:before="20"/>
              <w:jc w:val="left"/>
            </w:pPr>
            <w:r/>
            <w:r>
              <w:rPr>
                <w:b/>
                <w:sz w:val="16"/>
              </w:rPr>
              <w:t>Adjusted beta</w:t>
            </w:r>
          </w:p>
        </w:tc>
        <w:tc>
          <w:tcPr>
            <w:tcW w:type="dxa" w:w="3456"/>
          </w:tcPr>
          <w:p>
            <w:pPr>
              <w:spacing w:after="20" w:before="20"/>
              <w:jc w:val="center"/>
            </w:pPr>
            <w:r/>
            <w:r>
              <w:rPr>
                <w:b w:val="0"/>
                <w:sz w:val="16"/>
              </w:rPr>
              <w:t>0.92</w:t>
            </w:r>
          </w:p>
        </w:tc>
      </w:tr>
      <w:tr>
        <w:tc>
          <w:tcPr>
            <w:tcW w:type="dxa" w:w="6048"/>
            <w:shd w:val="clear" w:fill="EEF2F7"/>
          </w:tcPr>
          <w:p>
            <w:pPr>
              <w:spacing w:after="20" w:before="20"/>
              <w:jc w:val="left"/>
            </w:pPr>
            <w:r/>
            <w:r>
              <w:rPr>
                <w:b/>
                <w:sz w:val="16"/>
              </w:rPr>
              <w:t>Cost of equity, which is also WACC (debt is negligible)</w:t>
            </w:r>
          </w:p>
        </w:tc>
        <w:tc>
          <w:tcPr>
            <w:tcW w:type="dxa" w:w="3456"/>
            <w:shd w:val="clear" w:fill="EEF2F7"/>
          </w:tcPr>
          <w:p>
            <w:pPr>
              <w:spacing w:after="20" w:before="20"/>
              <w:jc w:val="center"/>
            </w:pPr>
            <w:r/>
            <w:r>
              <w:rPr>
                <w:b w:val="0"/>
                <w:sz w:val="16"/>
              </w:rPr>
              <w:t>11.0%</w:t>
            </w:r>
          </w:p>
        </w:tc>
      </w:tr>
      <w:tr>
        <w:tc>
          <w:tcPr>
            <w:tcW w:type="dxa" w:w="6048"/>
          </w:tcPr>
          <w:p>
            <w:pPr>
              <w:spacing w:after="20" w:before="20"/>
              <w:jc w:val="left"/>
            </w:pPr>
            <w:r/>
            <w:r>
              <w:rPr>
                <w:b/>
                <w:sz w:val="16"/>
              </w:rPr>
              <w:t>Terminal growth</w:t>
            </w:r>
          </w:p>
        </w:tc>
        <w:tc>
          <w:tcPr>
            <w:tcW w:type="dxa" w:w="3456"/>
          </w:tcPr>
          <w:p>
            <w:pPr>
              <w:spacing w:after="20" w:before="20"/>
              <w:jc w:val="center"/>
            </w:pPr>
            <w:r/>
            <w:r>
              <w:rPr>
                <w:b w:val="0"/>
                <w:sz w:val="16"/>
              </w:rPr>
              <w:t>6.0%</w:t>
            </w:r>
          </w:p>
        </w:tc>
      </w:tr>
      <w:tr>
        <w:tc>
          <w:tcPr>
            <w:tcW w:type="dxa" w:w="6048"/>
            <w:shd w:val="clear" w:fill="EEF2F7"/>
          </w:tcPr>
          <w:p>
            <w:pPr>
              <w:spacing w:after="20" w:before="20"/>
              <w:jc w:val="left"/>
            </w:pPr>
            <w:r/>
            <w:r>
              <w:rPr>
                <w:b/>
                <w:sz w:val="16"/>
              </w:rPr>
              <w:t>Enterprise Value</w:t>
            </w:r>
          </w:p>
        </w:tc>
        <w:tc>
          <w:tcPr>
            <w:tcW w:type="dxa" w:w="3456"/>
            <w:shd w:val="clear" w:fill="EEF2F7"/>
          </w:tcPr>
          <w:p>
            <w:pPr>
              <w:spacing w:after="20" w:before="20"/>
              <w:jc w:val="center"/>
            </w:pPr>
            <w:r/>
            <w:r>
              <w:rPr>
                <w:b w:val="0"/>
                <w:sz w:val="16"/>
              </w:rPr>
              <w:t>Rs 43,990 cr</w:t>
            </w:r>
          </w:p>
        </w:tc>
      </w:tr>
      <w:tr>
        <w:tc>
          <w:tcPr>
            <w:tcW w:type="dxa" w:w="6048"/>
          </w:tcPr>
          <w:p>
            <w:pPr>
              <w:spacing w:after="20" w:before="20"/>
              <w:jc w:val="left"/>
            </w:pPr>
            <w:r/>
            <w:r>
              <w:rPr>
                <w:b/>
                <w:sz w:val="16"/>
              </w:rPr>
              <w:t>Add cash, less debt</w:t>
            </w:r>
          </w:p>
        </w:tc>
        <w:tc>
          <w:tcPr>
            <w:tcW w:type="dxa" w:w="3456"/>
          </w:tcPr>
          <w:p>
            <w:pPr>
              <w:spacing w:after="20" w:before="20"/>
              <w:jc w:val="center"/>
            </w:pPr>
            <w:r/>
            <w:r>
              <w:rPr>
                <w:b w:val="0"/>
                <w:sz w:val="16"/>
              </w:rPr>
              <w:t>+3,134 / -407</w:t>
            </w:r>
          </w:p>
        </w:tc>
      </w:tr>
      <w:tr>
        <w:tc>
          <w:tcPr>
            <w:tcW w:type="dxa" w:w="6048"/>
            <w:shd w:val="clear" w:fill="EEF2F7"/>
          </w:tcPr>
          <w:p>
            <w:pPr>
              <w:spacing w:after="20" w:before="20"/>
              <w:jc w:val="left"/>
            </w:pPr>
            <w:r/>
            <w:r>
              <w:rPr>
                <w:b/>
                <w:sz w:val="16"/>
              </w:rPr>
              <w:t>Equity Value</w:t>
            </w:r>
          </w:p>
        </w:tc>
        <w:tc>
          <w:tcPr>
            <w:tcW w:type="dxa" w:w="3456"/>
            <w:shd w:val="clear" w:fill="EEF2F7"/>
          </w:tcPr>
          <w:p>
            <w:pPr>
              <w:spacing w:after="20" w:before="20"/>
              <w:jc w:val="center"/>
            </w:pPr>
            <w:r/>
            <w:r>
              <w:rPr>
                <w:b w:val="0"/>
                <w:sz w:val="16"/>
              </w:rPr>
              <w:t>Rs 46,717 cr</w:t>
            </w:r>
          </w:p>
        </w:tc>
      </w:tr>
      <w:tr>
        <w:tc>
          <w:tcPr>
            <w:tcW w:type="dxa" w:w="6048"/>
          </w:tcPr>
          <w:p>
            <w:pPr>
              <w:spacing w:after="20" w:before="20"/>
              <w:jc w:val="left"/>
            </w:pPr>
            <w:r/>
            <w:r>
              <w:rPr>
                <w:b/>
                <w:sz w:val="16"/>
              </w:rPr>
              <w:t>DCF Value per share</w:t>
            </w:r>
          </w:p>
        </w:tc>
        <w:tc>
          <w:tcPr>
            <w:tcW w:type="dxa" w:w="3456"/>
          </w:tcPr>
          <w:p>
            <w:pPr>
              <w:spacing w:after="20" w:before="20"/>
              <w:jc w:val="center"/>
            </w:pPr>
            <w:r/>
            <w:r>
              <w:rPr>
                <w:b w:val="0"/>
                <w:sz w:val="16"/>
              </w:rPr>
              <w:t>Rs 642</w:t>
            </w:r>
          </w:p>
        </w:tc>
      </w:tr>
    </w:tbl>
    <w:p>
      <w:pPr>
        <w:spacing w:after="40"/>
      </w:pPr>
    </w:p>
    <w:p>
      <w:pPr>
        <w:spacing w:after="120"/>
        <w:jc w:val="both"/>
      </w:pPr>
      <w:r>
        <w:rPr>
          <w:b w:val="0"/>
          <w:i w:val="0"/>
          <w:sz w:val="20"/>
        </w:rPr>
        <w:t>The DCF uses a WACC of 11% and a terminal growth of 6%, which is close to long run nominal consumption growth. On these inputs the DCF gives a value of about Rs 642 per share, which is below the market price. Heavy working capital lowers free cash conversion, and the market is clearly pricing in a lower discount rate or faster long term growth than our base case. For this reason the DCF acts as a floor and carries only a 15% weight in the blend.</w:t>
      </w:r>
    </w:p>
    <w:p>
      <w:pPr>
        <w:spacing w:before="60" w:after="20"/>
        <w:jc w:val="center"/>
      </w:pPr>
      <w:r>
        <w:drawing>
          <wp:inline xmlns:a="http://schemas.openxmlformats.org/drawingml/2006/main" xmlns:pic="http://schemas.openxmlformats.org/drawingml/2006/picture">
            <wp:extent cx="4572000" cy="2909455"/>
            <wp:docPr id="14" name="Picture 14"/>
            <wp:cNvGraphicFramePr>
              <a:graphicFrameLocks noChangeAspect="1"/>
            </wp:cNvGraphicFramePr>
            <a:graphic>
              <a:graphicData uri="http://schemas.openxmlformats.org/drawingml/2006/picture">
                <pic:pic>
                  <pic:nvPicPr>
                    <pic:cNvPr id="0" name="ex7_dcf_sensitivity.png"/>
                    <pic:cNvPicPr/>
                  </pic:nvPicPr>
                  <pic:blipFill>
                    <a:blip r:embed="rId22"/>
                    <a:stretch>
                      <a:fillRect/>
                    </a:stretch>
                  </pic:blipFill>
                  <pic:spPr>
                    <a:xfrm>
                      <a:off x="0" y="0"/>
                      <a:ext cx="4572000" cy="2909455"/>
                    </a:xfrm>
                    <a:prstGeom prst="rect"/>
                  </pic:spPr>
                </pic:pic>
              </a:graphicData>
            </a:graphic>
          </wp:inline>
        </w:drawing>
      </w:r>
    </w:p>
    <w:p>
      <w:pPr>
        <w:spacing w:after="140"/>
        <w:jc w:val="center"/>
      </w:pPr>
      <w:r>
        <w:rPr>
          <w:i/>
          <w:color w:val="555B66"/>
          <w:sz w:val="15"/>
        </w:rPr>
        <w:t>DCF value per share under different WACC and growth   |   Source: Company, United Spirits Excell.xlsx, Analyst estimates</w:t>
      </w:r>
    </w:p>
    <w:p>
      <w:pPr>
        <w:spacing w:before="160" w:after="60"/>
      </w:pPr>
      <w:r>
        <w:rPr>
          <w:b/>
          <w:color w:val="13558C"/>
          <w:sz w:val="22"/>
        </w:rPr>
        <w:t>B) Relative Valuation</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val="clear" w:fill="0B2545"/>
          </w:tcPr>
          <w:p>
            <w:pPr>
              <w:spacing w:after="20" w:before="20"/>
              <w:jc w:val="left"/>
            </w:pPr>
            <w:r/>
            <w:r>
              <w:rPr>
                <w:b/>
                <w:color w:val="FFFFFF"/>
                <w:sz w:val="16"/>
              </w:rPr>
              <w:t>Method</w:t>
            </w:r>
          </w:p>
        </w:tc>
        <w:tc>
          <w:tcPr>
            <w:tcW w:type="dxa" w:w="2880"/>
            <w:shd w:val="clear" w:fill="0B2545"/>
          </w:tcPr>
          <w:p>
            <w:pPr>
              <w:spacing w:after="20" w:before="20"/>
              <w:jc w:val="center"/>
            </w:pPr>
            <w:r/>
            <w:r>
              <w:rPr>
                <w:b/>
                <w:color w:val="FFFFFF"/>
                <w:sz w:val="16"/>
              </w:rPr>
              <w:t>Peer median (x)</w:t>
            </w:r>
          </w:p>
        </w:tc>
        <w:tc>
          <w:tcPr>
            <w:tcW w:type="dxa" w:w="3312"/>
            <w:shd w:val="clear" w:fill="0B2545"/>
          </w:tcPr>
          <w:p>
            <w:pPr>
              <w:spacing w:after="20" w:before="20"/>
              <w:jc w:val="center"/>
            </w:pPr>
            <w:r/>
            <w:r>
              <w:rPr>
                <w:b/>
                <w:color w:val="FFFFFF"/>
                <w:sz w:val="16"/>
              </w:rPr>
              <w:t>Implied value per share (Rs)</w:t>
            </w:r>
          </w:p>
        </w:tc>
      </w:tr>
      <w:tr>
        <w:tc>
          <w:tcPr>
            <w:tcW w:type="dxa" w:w="3312"/>
          </w:tcPr>
          <w:p>
            <w:pPr>
              <w:spacing w:after="20" w:before="20"/>
              <w:jc w:val="left"/>
            </w:pPr>
            <w:r/>
            <w:r>
              <w:rPr>
                <w:b/>
                <w:sz w:val="16"/>
              </w:rPr>
              <w:t>EV/EBITDA</w:t>
            </w:r>
          </w:p>
        </w:tc>
        <w:tc>
          <w:tcPr>
            <w:tcW w:type="dxa" w:w="2880"/>
          </w:tcPr>
          <w:p>
            <w:pPr>
              <w:spacing w:after="20" w:before="20"/>
              <w:jc w:val="center"/>
            </w:pPr>
            <w:r/>
            <w:r>
              <w:rPr>
                <w:b w:val="0"/>
                <w:sz w:val="16"/>
              </w:rPr>
              <w:t>39.2</w:t>
            </w:r>
          </w:p>
        </w:tc>
        <w:tc>
          <w:tcPr>
            <w:tcW w:type="dxa" w:w="3312"/>
          </w:tcPr>
          <w:p>
            <w:pPr>
              <w:spacing w:after="20" w:before="20"/>
              <w:jc w:val="center"/>
            </w:pPr>
            <w:r/>
            <w:r>
              <w:rPr>
                <w:b w:val="0"/>
                <w:sz w:val="16"/>
              </w:rPr>
              <w:t>1,411</w:t>
            </w:r>
          </w:p>
        </w:tc>
      </w:tr>
      <w:tr>
        <w:tc>
          <w:tcPr>
            <w:tcW w:type="dxa" w:w="3312"/>
            <w:shd w:val="clear" w:fill="EEF2F7"/>
          </w:tcPr>
          <w:p>
            <w:pPr>
              <w:spacing w:after="20" w:before="20"/>
              <w:jc w:val="left"/>
            </w:pPr>
            <w:r/>
            <w:r>
              <w:rPr>
                <w:b/>
                <w:sz w:val="16"/>
              </w:rPr>
              <w:t>P/E</w:t>
            </w:r>
          </w:p>
        </w:tc>
        <w:tc>
          <w:tcPr>
            <w:tcW w:type="dxa" w:w="2880"/>
            <w:shd w:val="clear" w:fill="EEF2F7"/>
          </w:tcPr>
          <w:p>
            <w:pPr>
              <w:spacing w:after="20" w:before="20"/>
              <w:jc w:val="center"/>
            </w:pPr>
            <w:r/>
            <w:r>
              <w:rPr>
                <w:b w:val="0"/>
                <w:sz w:val="16"/>
              </w:rPr>
              <w:t>71.3</w:t>
            </w:r>
          </w:p>
        </w:tc>
        <w:tc>
          <w:tcPr>
            <w:tcW w:type="dxa" w:w="3312"/>
            <w:shd w:val="clear" w:fill="EEF2F7"/>
          </w:tcPr>
          <w:p>
            <w:pPr>
              <w:spacing w:after="20" w:before="20"/>
              <w:jc w:val="center"/>
            </w:pPr>
            <w:r/>
            <w:r>
              <w:rPr>
                <w:b w:val="0"/>
                <w:sz w:val="16"/>
              </w:rPr>
              <w:t>1,675</w:t>
            </w:r>
          </w:p>
        </w:tc>
      </w:tr>
      <w:tr>
        <w:tc>
          <w:tcPr>
            <w:tcW w:type="dxa" w:w="3312"/>
          </w:tcPr>
          <w:p>
            <w:pPr>
              <w:spacing w:after="20" w:before="20"/>
              <w:jc w:val="left"/>
            </w:pPr>
            <w:r/>
            <w:r>
              <w:rPr>
                <w:b/>
                <w:sz w:val="16"/>
              </w:rPr>
              <w:t>EV/EBIT</w:t>
            </w:r>
          </w:p>
        </w:tc>
        <w:tc>
          <w:tcPr>
            <w:tcW w:type="dxa" w:w="2880"/>
          </w:tcPr>
          <w:p>
            <w:pPr>
              <w:spacing w:after="20" w:before="20"/>
              <w:jc w:val="center"/>
            </w:pPr>
            <w:r/>
            <w:r>
              <w:rPr>
                <w:b w:val="0"/>
                <w:sz w:val="16"/>
              </w:rPr>
              <w:t>45.9</w:t>
            </w:r>
          </w:p>
        </w:tc>
        <w:tc>
          <w:tcPr>
            <w:tcW w:type="dxa" w:w="3312"/>
          </w:tcPr>
          <w:p>
            <w:pPr>
              <w:spacing w:after="20" w:before="20"/>
              <w:jc w:val="center"/>
            </w:pPr>
            <w:r/>
            <w:r>
              <w:rPr>
                <w:b w:val="0"/>
                <w:sz w:val="16"/>
              </w:rPr>
              <w:t>1,408</w:t>
            </w:r>
          </w:p>
        </w:tc>
      </w:tr>
      <w:tr>
        <w:tc>
          <w:tcPr>
            <w:tcW w:type="dxa" w:w="3312"/>
            <w:shd w:val="clear" w:fill="EEF2F7"/>
          </w:tcPr>
          <w:p>
            <w:pPr>
              <w:spacing w:after="20" w:before="20"/>
              <w:jc w:val="left"/>
            </w:pPr>
            <w:r/>
            <w:r>
              <w:rPr>
                <w:b/>
                <w:sz w:val="16"/>
              </w:rPr>
              <w:t>EV/Revenue (reference)</w:t>
            </w:r>
          </w:p>
        </w:tc>
        <w:tc>
          <w:tcPr>
            <w:tcW w:type="dxa" w:w="2880"/>
            <w:shd w:val="clear" w:fill="EEF2F7"/>
          </w:tcPr>
          <w:p>
            <w:pPr>
              <w:spacing w:after="20" w:before="20"/>
              <w:jc w:val="center"/>
            </w:pPr>
            <w:r/>
            <w:r>
              <w:rPr>
                <w:b w:val="0"/>
                <w:sz w:val="16"/>
              </w:rPr>
              <w:t>4.4</w:t>
            </w:r>
          </w:p>
        </w:tc>
        <w:tc>
          <w:tcPr>
            <w:tcW w:type="dxa" w:w="3312"/>
            <w:shd w:val="clear" w:fill="EEF2F7"/>
          </w:tcPr>
          <w:p>
            <w:pPr>
              <w:spacing w:after="20" w:before="20"/>
              <w:jc w:val="center"/>
            </w:pPr>
            <w:r/>
            <w:r>
              <w:rPr>
                <w:b w:val="0"/>
                <w:sz w:val="16"/>
              </w:rPr>
              <w:t>859</w:t>
            </w:r>
          </w:p>
        </w:tc>
      </w:tr>
    </w:tbl>
    <w:p>
      <w:pPr>
        <w:spacing w:after="40"/>
      </w:pPr>
    </w:p>
    <w:p>
      <w:pPr>
        <w:spacing w:after="120"/>
        <w:jc w:val="both"/>
      </w:pPr>
      <w:r>
        <w:rPr>
          <w:b w:val="0"/>
          <w:i w:val="0"/>
          <w:sz w:val="20"/>
        </w:rPr>
        <w:t>We apply the median forward multiples of the listed peers (Radico Khaitan, United Breweries and Allied Blenders) to USL's FY27 estimated figures. USL trades below the fastest growing peer, Radico, on P/E, but above mass market peers. This is fair given USL's leadership, premium mix and strong returns, while its slower headline growth versus Radico limits the premium.</w:t>
      </w:r>
    </w:p>
    <w:p>
      <w:r>
        <w:br w:type="page"/>
      </w:r>
    </w:p>
    <w:p>
      <w:pPr>
        <w:spacing w:before="160" w:after="60"/>
      </w:pPr>
      <w:r>
        <w:rPr>
          <w:b/>
          <w:color w:val="13558C"/>
          <w:sz w:val="22"/>
        </w:rPr>
        <w:t>C) Target Price: Blended Method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val="clear" w:fill="0B2545"/>
          </w:tcPr>
          <w:p>
            <w:pPr>
              <w:spacing w:after="20" w:before="20"/>
              <w:jc w:val="left"/>
            </w:pPr>
            <w:r/>
            <w:r>
              <w:rPr>
                <w:b/>
                <w:color w:val="FFFFFF"/>
                <w:sz w:val="16"/>
              </w:rPr>
              <w:t>Method</w:t>
            </w:r>
          </w:p>
        </w:tc>
        <w:tc>
          <w:tcPr>
            <w:tcW w:type="dxa" w:w="1440"/>
            <w:shd w:val="clear" w:fill="0B2545"/>
          </w:tcPr>
          <w:p>
            <w:pPr>
              <w:spacing w:after="20" w:before="20"/>
              <w:jc w:val="center"/>
            </w:pPr>
            <w:r/>
            <w:r>
              <w:rPr>
                <w:b/>
                <w:color w:val="FFFFFF"/>
                <w:sz w:val="16"/>
              </w:rPr>
              <w:t>Weight</w:t>
            </w:r>
          </w:p>
        </w:tc>
        <w:tc>
          <w:tcPr>
            <w:tcW w:type="dxa" w:w="2448"/>
            <w:shd w:val="clear" w:fill="0B2545"/>
          </w:tcPr>
          <w:p>
            <w:pPr>
              <w:spacing w:after="20" w:before="20"/>
              <w:jc w:val="center"/>
            </w:pPr>
            <w:r/>
            <w:r>
              <w:rPr>
                <w:b/>
                <w:color w:val="FFFFFF"/>
                <w:sz w:val="16"/>
              </w:rPr>
              <w:t>Implied value (Rs)</w:t>
            </w:r>
          </w:p>
        </w:tc>
        <w:tc>
          <w:tcPr>
            <w:tcW w:type="dxa" w:w="2448"/>
            <w:shd w:val="clear" w:fill="0B2545"/>
          </w:tcPr>
          <w:p>
            <w:pPr>
              <w:spacing w:after="20" w:before="20"/>
              <w:jc w:val="center"/>
            </w:pPr>
            <w:r/>
            <w:r>
              <w:rPr>
                <w:b/>
                <w:color w:val="FFFFFF"/>
                <w:sz w:val="16"/>
              </w:rPr>
              <w:t>Contribution (Rs)</w:t>
            </w:r>
          </w:p>
        </w:tc>
      </w:tr>
      <w:tr>
        <w:tc>
          <w:tcPr>
            <w:tcW w:type="dxa" w:w="2592"/>
          </w:tcPr>
          <w:p>
            <w:pPr>
              <w:spacing w:after="20" w:before="20"/>
              <w:jc w:val="left"/>
            </w:pPr>
            <w:r/>
            <w:r>
              <w:rPr>
                <w:b/>
                <w:sz w:val="16"/>
              </w:rPr>
              <w:t>EV/EBITDA</w:t>
            </w:r>
          </w:p>
        </w:tc>
        <w:tc>
          <w:tcPr>
            <w:tcW w:type="dxa" w:w="1440"/>
          </w:tcPr>
          <w:p>
            <w:pPr>
              <w:spacing w:after="20" w:before="20"/>
              <w:jc w:val="center"/>
            </w:pPr>
            <w:r/>
            <w:r>
              <w:rPr>
                <w:b w:val="0"/>
                <w:sz w:val="16"/>
              </w:rPr>
              <w:t>60%</w:t>
            </w:r>
          </w:p>
        </w:tc>
        <w:tc>
          <w:tcPr>
            <w:tcW w:type="dxa" w:w="2448"/>
          </w:tcPr>
          <w:p>
            <w:pPr>
              <w:spacing w:after="20" w:before="20"/>
              <w:jc w:val="center"/>
            </w:pPr>
            <w:r/>
            <w:r>
              <w:rPr>
                <w:b w:val="0"/>
                <w:sz w:val="16"/>
              </w:rPr>
              <w:t>1,411</w:t>
            </w:r>
          </w:p>
        </w:tc>
        <w:tc>
          <w:tcPr>
            <w:tcW w:type="dxa" w:w="2448"/>
          </w:tcPr>
          <w:p>
            <w:pPr>
              <w:spacing w:after="20" w:before="20"/>
              <w:jc w:val="center"/>
            </w:pPr>
            <w:r/>
            <w:r>
              <w:rPr>
                <w:b w:val="0"/>
                <w:sz w:val="16"/>
              </w:rPr>
              <w:t>846</w:t>
            </w:r>
          </w:p>
        </w:tc>
      </w:tr>
      <w:tr>
        <w:tc>
          <w:tcPr>
            <w:tcW w:type="dxa" w:w="2592"/>
            <w:shd w:val="clear" w:fill="EEF2F7"/>
          </w:tcPr>
          <w:p>
            <w:pPr>
              <w:spacing w:after="20" w:before="20"/>
              <w:jc w:val="left"/>
            </w:pPr>
            <w:r/>
            <w:r>
              <w:rPr>
                <w:b/>
                <w:sz w:val="16"/>
              </w:rPr>
              <w:t>P/E</w:t>
            </w:r>
          </w:p>
        </w:tc>
        <w:tc>
          <w:tcPr>
            <w:tcW w:type="dxa" w:w="1440"/>
            <w:shd w:val="clear" w:fill="EEF2F7"/>
          </w:tcPr>
          <w:p>
            <w:pPr>
              <w:spacing w:after="20" w:before="20"/>
              <w:jc w:val="center"/>
            </w:pPr>
            <w:r/>
            <w:r>
              <w:rPr>
                <w:b w:val="0"/>
                <w:sz w:val="16"/>
              </w:rPr>
              <w:t>20%</w:t>
            </w:r>
          </w:p>
        </w:tc>
        <w:tc>
          <w:tcPr>
            <w:tcW w:type="dxa" w:w="2448"/>
            <w:shd w:val="clear" w:fill="EEF2F7"/>
          </w:tcPr>
          <w:p>
            <w:pPr>
              <w:spacing w:after="20" w:before="20"/>
              <w:jc w:val="center"/>
            </w:pPr>
            <w:r/>
            <w:r>
              <w:rPr>
                <w:b w:val="0"/>
                <w:sz w:val="16"/>
              </w:rPr>
              <w:t>1,675</w:t>
            </w:r>
          </w:p>
        </w:tc>
        <w:tc>
          <w:tcPr>
            <w:tcW w:type="dxa" w:w="2448"/>
            <w:shd w:val="clear" w:fill="EEF2F7"/>
          </w:tcPr>
          <w:p>
            <w:pPr>
              <w:spacing w:after="20" w:before="20"/>
              <w:jc w:val="center"/>
            </w:pPr>
            <w:r/>
            <w:r>
              <w:rPr>
                <w:b w:val="0"/>
                <w:sz w:val="16"/>
              </w:rPr>
              <w:t>335</w:t>
            </w:r>
          </w:p>
        </w:tc>
      </w:tr>
      <w:tr>
        <w:tc>
          <w:tcPr>
            <w:tcW w:type="dxa" w:w="2592"/>
          </w:tcPr>
          <w:p>
            <w:pPr>
              <w:spacing w:after="20" w:before="20"/>
              <w:jc w:val="left"/>
            </w:pPr>
            <w:r/>
            <w:r>
              <w:rPr>
                <w:b/>
                <w:sz w:val="16"/>
              </w:rPr>
              <w:t>EV/EBIT</w:t>
            </w:r>
          </w:p>
        </w:tc>
        <w:tc>
          <w:tcPr>
            <w:tcW w:type="dxa" w:w="1440"/>
          </w:tcPr>
          <w:p>
            <w:pPr>
              <w:spacing w:after="20" w:before="20"/>
              <w:jc w:val="center"/>
            </w:pPr>
            <w:r/>
            <w:r>
              <w:rPr>
                <w:b w:val="0"/>
                <w:sz w:val="16"/>
              </w:rPr>
              <w:t>5%</w:t>
            </w:r>
          </w:p>
        </w:tc>
        <w:tc>
          <w:tcPr>
            <w:tcW w:type="dxa" w:w="2448"/>
          </w:tcPr>
          <w:p>
            <w:pPr>
              <w:spacing w:after="20" w:before="20"/>
              <w:jc w:val="center"/>
            </w:pPr>
            <w:r/>
            <w:r>
              <w:rPr>
                <w:b w:val="0"/>
                <w:sz w:val="16"/>
              </w:rPr>
              <w:t>1,408</w:t>
            </w:r>
          </w:p>
        </w:tc>
        <w:tc>
          <w:tcPr>
            <w:tcW w:type="dxa" w:w="2448"/>
          </w:tcPr>
          <w:p>
            <w:pPr>
              <w:spacing w:after="20" w:before="20"/>
              <w:jc w:val="center"/>
            </w:pPr>
            <w:r/>
            <w:r>
              <w:rPr>
                <w:b w:val="0"/>
                <w:sz w:val="16"/>
              </w:rPr>
              <w:t>70</w:t>
            </w:r>
          </w:p>
        </w:tc>
      </w:tr>
      <w:tr>
        <w:tc>
          <w:tcPr>
            <w:tcW w:type="dxa" w:w="2592"/>
            <w:shd w:val="clear" w:fill="EEF2F7"/>
          </w:tcPr>
          <w:p>
            <w:pPr>
              <w:spacing w:after="20" w:before="20"/>
              <w:jc w:val="left"/>
            </w:pPr>
            <w:r/>
            <w:r>
              <w:rPr>
                <w:b/>
                <w:sz w:val="16"/>
              </w:rPr>
              <w:t>DCF</w:t>
            </w:r>
          </w:p>
        </w:tc>
        <w:tc>
          <w:tcPr>
            <w:tcW w:type="dxa" w:w="1440"/>
            <w:shd w:val="clear" w:fill="EEF2F7"/>
          </w:tcPr>
          <w:p>
            <w:pPr>
              <w:spacing w:after="20" w:before="20"/>
              <w:jc w:val="center"/>
            </w:pPr>
            <w:r/>
            <w:r>
              <w:rPr>
                <w:b w:val="0"/>
                <w:sz w:val="16"/>
              </w:rPr>
              <w:t>15%</w:t>
            </w:r>
          </w:p>
        </w:tc>
        <w:tc>
          <w:tcPr>
            <w:tcW w:type="dxa" w:w="2448"/>
            <w:shd w:val="clear" w:fill="EEF2F7"/>
          </w:tcPr>
          <w:p>
            <w:pPr>
              <w:spacing w:after="20" w:before="20"/>
              <w:jc w:val="center"/>
            </w:pPr>
            <w:r/>
            <w:r>
              <w:rPr>
                <w:b w:val="0"/>
                <w:sz w:val="16"/>
              </w:rPr>
              <w:t>642</w:t>
            </w:r>
          </w:p>
        </w:tc>
        <w:tc>
          <w:tcPr>
            <w:tcW w:type="dxa" w:w="2448"/>
            <w:shd w:val="clear" w:fill="EEF2F7"/>
          </w:tcPr>
          <w:p>
            <w:pPr>
              <w:spacing w:after="20" w:before="20"/>
              <w:jc w:val="center"/>
            </w:pPr>
            <w:r/>
            <w:r>
              <w:rPr>
                <w:b w:val="0"/>
                <w:sz w:val="16"/>
              </w:rPr>
              <w:t>96</w:t>
            </w:r>
          </w:p>
        </w:tc>
      </w:tr>
      <w:tr>
        <w:tc>
          <w:tcPr>
            <w:tcW w:type="dxa" w:w="2592"/>
          </w:tcPr>
          <w:p>
            <w:pPr>
              <w:spacing w:after="20" w:before="20"/>
              <w:jc w:val="left"/>
            </w:pPr>
            <w:r/>
            <w:r>
              <w:rPr>
                <w:b/>
                <w:sz w:val="16"/>
              </w:rPr>
              <w:t>Base Case Fair Value</w:t>
            </w:r>
          </w:p>
        </w:tc>
        <w:tc>
          <w:tcPr>
            <w:tcW w:type="dxa" w:w="1440"/>
          </w:tcPr>
          <w:p>
            <w:pPr>
              <w:spacing w:after="20" w:before="20"/>
              <w:jc w:val="center"/>
            </w:pPr>
            <w:r/>
            <w:r>
              <w:rPr>
                <w:b w:val="0"/>
                <w:sz w:val="16"/>
              </w:rPr>
              <w:t>100%</w:t>
            </w:r>
          </w:p>
        </w:tc>
        <w:tc>
          <w:tcPr>
            <w:tcW w:type="dxa" w:w="2448"/>
          </w:tcPr>
          <w:p>
            <w:pPr>
              <w:spacing w:after="20" w:before="20"/>
              <w:jc w:val="center"/>
            </w:pPr>
            <w:r/>
            <w:r>
              <w:rPr>
                <w:b w:val="0"/>
                <w:sz w:val="16"/>
              </w:rPr>
            </w:r>
          </w:p>
        </w:tc>
        <w:tc>
          <w:tcPr>
            <w:tcW w:type="dxa" w:w="2448"/>
          </w:tcPr>
          <w:p>
            <w:pPr>
              <w:spacing w:after="20" w:before="20"/>
              <w:jc w:val="center"/>
            </w:pPr>
            <w:r/>
            <w:r>
              <w:rPr>
                <w:b w:val="0"/>
                <w:sz w:val="16"/>
              </w:rPr>
              <w:t>1,348</w:t>
            </w:r>
          </w:p>
        </w:tc>
      </w:tr>
    </w:tbl>
    <w:p>
      <w:pPr>
        <w:spacing w:after="40"/>
      </w:pPr>
    </w:p>
    <w:p>
      <w:pPr>
        <w:spacing w:before="60" w:after="20"/>
        <w:jc w:val="center"/>
      </w:pPr>
      <w:r>
        <w:drawing>
          <wp:inline xmlns:a="http://schemas.openxmlformats.org/drawingml/2006/main" xmlns:pic="http://schemas.openxmlformats.org/drawingml/2006/picture">
            <wp:extent cx="5852160" cy="2805830"/>
            <wp:docPr id="15" name="Picture 15"/>
            <wp:cNvGraphicFramePr>
              <a:graphicFrameLocks noChangeAspect="1"/>
            </wp:cNvGraphicFramePr>
            <a:graphic>
              <a:graphicData uri="http://schemas.openxmlformats.org/drawingml/2006/picture">
                <pic:pic>
                  <pic:nvPicPr>
                    <pic:cNvPr id="0" name="ex6_football_field.png"/>
                    <pic:cNvPicPr/>
                  </pic:nvPicPr>
                  <pic:blipFill>
                    <a:blip r:embed="rId23"/>
                    <a:stretch>
                      <a:fillRect/>
                    </a:stretch>
                  </pic:blipFill>
                  <pic:spPr>
                    <a:xfrm>
                      <a:off x="0" y="0"/>
                      <a:ext cx="5852160" cy="2805830"/>
                    </a:xfrm>
                    <a:prstGeom prst="rect"/>
                  </pic:spPr>
                </pic:pic>
              </a:graphicData>
            </a:graphic>
          </wp:inline>
        </w:drawing>
      </w:r>
    </w:p>
    <w:p>
      <w:pPr>
        <w:spacing w:after="140"/>
        <w:jc w:val="center"/>
      </w:pPr>
      <w:r>
        <w:rPr>
          <w:i/>
          <w:color w:val="555B66"/>
          <w:sz w:val="15"/>
        </w:rPr>
        <w:t>Valuation summary by method and the blended target   |   Source: Company, United Spirits Excell.xlsx, Analyst estimates</w:t>
      </w:r>
    </w:p>
    <w:p>
      <w:pPr>
        <w:spacing w:after="120"/>
        <w:jc w:val="both"/>
      </w:pPr>
      <w:r>
        <w:rPr>
          <w:b w:val="0"/>
          <w:i w:val="0"/>
          <w:sz w:val="20"/>
        </w:rPr>
        <w:t>We give relative methods more weight because India has several listed alcobev peers whose multiples are useful and current, and because the long horizon DCF is very sensitive to small changes in assumptions. The blend gives a base case fair value of Rs 1,348. Our bull case of Rs 1,500 assumes faster premiumisation and margin gains, while our bear case of about Rs 920 assumes weak demand, margin pressure and a de-rating.</w:t>
      </w:r>
    </w:p>
    <w:p>
      <w:pPr>
        <w:spacing w:before="60" w:after="20"/>
        <w:jc w:val="center"/>
      </w:pPr>
      <w:r>
        <w:drawing>
          <wp:inline xmlns:a="http://schemas.openxmlformats.org/drawingml/2006/main" xmlns:pic="http://schemas.openxmlformats.org/drawingml/2006/picture">
            <wp:extent cx="4389120" cy="2633472"/>
            <wp:docPr id="16" name="Picture 16"/>
            <wp:cNvGraphicFramePr>
              <a:graphicFrameLocks noChangeAspect="1"/>
            </wp:cNvGraphicFramePr>
            <a:graphic>
              <a:graphicData uri="http://schemas.openxmlformats.org/drawingml/2006/picture">
                <pic:pic>
                  <pic:nvPicPr>
                    <pic:cNvPr id="0" name="ex8_scenarios.png"/>
                    <pic:cNvPicPr/>
                  </pic:nvPicPr>
                  <pic:blipFill>
                    <a:blip r:embed="rId24"/>
                    <a:stretch>
                      <a:fillRect/>
                    </a:stretch>
                  </pic:blipFill>
                  <pic:spPr>
                    <a:xfrm>
                      <a:off x="0" y="0"/>
                      <a:ext cx="4389120" cy="2633472"/>
                    </a:xfrm>
                    <a:prstGeom prst="rect"/>
                  </pic:spPr>
                </pic:pic>
              </a:graphicData>
            </a:graphic>
          </wp:inline>
        </w:drawing>
      </w:r>
    </w:p>
    <w:p>
      <w:pPr>
        <w:spacing w:after="140"/>
        <w:jc w:val="center"/>
      </w:pPr>
      <w:r>
        <w:rPr>
          <w:i/>
          <w:color w:val="555B66"/>
          <w:sz w:val="15"/>
        </w:rPr>
        <w:t>Bull, base and bear case fair values   |   Source: Company, United Spirits Excell.xlsx, Analyst estimates</w:t>
      </w:r>
    </w:p>
    <w:p>
      <w:r>
        <w:br w:type="page"/>
      </w:r>
    </w:p>
    <w:p>
      <w:pPr>
        <w:spacing w:before="200" w:after="80"/>
        <w:pBdr>
          <w:bottom w:val="single" w:sz="8" w:space="3" w:color="0B2545"/>
        </w:pBdr>
      </w:pPr>
      <w:r>
        <w:rPr>
          <w:b/>
          <w:color w:val="0B2545"/>
          <w:sz w:val="28"/>
        </w:rPr>
        <w:t>ESG (Environment, Social and Governance)</w:t>
      </w:r>
    </w:p>
    <w:p>
      <w:pPr>
        <w:spacing w:after="120"/>
        <w:jc w:val="both"/>
      </w:pPr>
      <w:r>
        <w:rPr>
          <w:b w:val="0"/>
          <w:i w:val="0"/>
          <w:sz w:val="20"/>
        </w:rPr>
        <w:t>United Spirits runs its ESG agenda under the name Spirit of Progress, which is aligned with Diageo's global plan. The FY2025 Annual Report shows strong progress.</w:t>
      </w:r>
    </w:p>
    <w:p>
      <w:pPr>
        <w:spacing w:before="160" w:after="60"/>
      </w:pPr>
      <w:r>
        <w:rPr>
          <w:b/>
          <w:color w:val="13558C"/>
          <w:sz w:val="22"/>
        </w:rPr>
        <w:t>Environment</w:t>
      </w:r>
    </w:p>
    <w:p>
      <w:pPr>
        <w:pStyle w:val="ListBullet"/>
        <w:spacing w:after="60"/>
      </w:pPr>
      <w:r>
        <w:rPr>
          <w:b/>
          <w:sz w:val="20"/>
        </w:rPr>
        <w:t xml:space="preserve">Water: </w:t>
      </w:r>
      <w:r>
        <w:rPr>
          <w:b w:val="0"/>
          <w:sz w:val="20"/>
        </w:rPr>
        <w:t>about 54% improvement in water used per litre of spirit distilled since FY2020; programmes to replenish water and support regenerative farming.</w:t>
      </w:r>
    </w:p>
    <w:p>
      <w:pPr>
        <w:pStyle w:val="ListBullet"/>
        <w:spacing w:after="60"/>
      </w:pPr>
      <w:r>
        <w:rPr>
          <w:b/>
          <w:sz w:val="20"/>
        </w:rPr>
        <w:t xml:space="preserve">Energy and emissions: </w:t>
      </w:r>
      <w:r>
        <w:rPr>
          <w:b w:val="0"/>
          <w:sz w:val="20"/>
        </w:rPr>
        <w:t>99% of energy in direct operations now comes from renewable sources; about 93% cut in direct Scope 1 and 2 greenhouse gas emissions since FY2020.</w:t>
      </w:r>
    </w:p>
    <w:p>
      <w:pPr>
        <w:pStyle w:val="ListBullet"/>
        <w:spacing w:after="60"/>
      </w:pPr>
      <w:r>
        <w:rPr>
          <w:b/>
          <w:sz w:val="20"/>
        </w:rPr>
        <w:t xml:space="preserve">Net Zero plan: </w:t>
      </w:r>
      <w:r>
        <w:rPr>
          <w:b w:val="0"/>
          <w:sz w:val="20"/>
        </w:rPr>
        <w:t>Net Zero in direct operations by 2030 and across the value chain by 2050.</w:t>
      </w:r>
    </w:p>
    <w:p>
      <w:pPr>
        <w:spacing w:before="160" w:after="60"/>
      </w:pPr>
      <w:r>
        <w:rPr>
          <w:b/>
          <w:color w:val="13558C"/>
          <w:sz w:val="22"/>
        </w:rPr>
        <w:t>Social</w:t>
      </w:r>
    </w:p>
    <w:p>
      <w:pPr>
        <w:pStyle w:val="ListBullet"/>
        <w:spacing w:after="60"/>
      </w:pPr>
      <w:r>
        <w:rPr>
          <w:b/>
          <w:sz w:val="20"/>
        </w:rPr>
        <w:t xml:space="preserve">Responsible drinking: </w:t>
      </w:r>
      <w:r>
        <w:rPr>
          <w:b w:val="0"/>
          <w:sz w:val="20"/>
        </w:rPr>
        <w:t>about 0.7 million people reached through responsible drinking programmes.</w:t>
      </w:r>
    </w:p>
    <w:p>
      <w:pPr>
        <w:pStyle w:val="ListBullet"/>
        <w:spacing w:after="60"/>
      </w:pPr>
      <w:r>
        <w:rPr>
          <w:b/>
          <w:sz w:val="20"/>
        </w:rPr>
        <w:t xml:space="preserve">People: </w:t>
      </w:r>
      <w:r>
        <w:rPr>
          <w:b w:val="0"/>
          <w:sz w:val="20"/>
        </w:rPr>
        <w:t>about 2,400 employees, around 86% retention, about 89% engagement and about 28% women representation.</w:t>
      </w:r>
    </w:p>
    <w:p>
      <w:pPr>
        <w:spacing w:before="160" w:after="60"/>
      </w:pPr>
      <w:r>
        <w:rPr>
          <w:b/>
          <w:color w:val="13558C"/>
          <w:sz w:val="22"/>
        </w:rPr>
        <w:t>Governance</w:t>
      </w:r>
    </w:p>
    <w:p>
      <w:pPr>
        <w:pStyle w:val="ListBullet"/>
        <w:spacing w:after="60"/>
      </w:pPr>
      <w:r>
        <w:rPr>
          <w:b w:val="0"/>
          <w:sz w:val="20"/>
        </w:rPr>
      </w:r>
      <w:r>
        <w:rPr>
          <w:b w:val="0"/>
          <w:sz w:val="20"/>
        </w:rPr>
        <w:t>Diageo level governance standards, a strong board, a marketing code and a conservative treasury policy.</w:t>
      </w:r>
    </w:p>
    <w:p>
      <w:pPr>
        <w:spacing w:after="120"/>
        <w:jc w:val="both"/>
      </w:pPr>
      <w:r>
        <w:rPr>
          <w:b w:val="0"/>
          <w:i w:val="0"/>
          <w:sz w:val="20"/>
        </w:rPr>
        <w:t>Impact on value and risk: strong ESG action lowers the risk of regulatory and reputation problems in a sector that is always under scrutiny, supports the premium brand image and is consistent with the low beta we use in the DCF. We do not add a separate ESG premium, but we see ESG leadership as supportive of a durable valuation. Source: United Spirits FY2025 Annual Report.</w:t>
      </w:r>
    </w:p>
    <w:p>
      <w:r>
        <w:br w:type="page"/>
      </w:r>
    </w:p>
    <w:p>
      <w:pPr>
        <w:spacing w:before="200" w:after="80"/>
        <w:pBdr>
          <w:bottom w:val="single" w:sz="8" w:space="3" w:color="0B2545"/>
        </w:pBdr>
      </w:pPr>
      <w:r>
        <w:rPr>
          <w:b/>
          <w:color w:val="0B2545"/>
          <w:sz w:val="28"/>
        </w:rPr>
        <w:t>Risks and Concerns</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val="clear" w:fill="0B2545"/>
          </w:tcPr>
          <w:p>
            <w:pPr>
              <w:spacing w:after="20" w:before="20"/>
              <w:jc w:val="left"/>
            </w:pPr>
            <w:r/>
            <w:r>
              <w:rPr>
                <w:b/>
                <w:color w:val="FFFFFF"/>
                <w:sz w:val="16"/>
              </w:rPr>
              <w:t>Risk</w:t>
            </w:r>
          </w:p>
        </w:tc>
        <w:tc>
          <w:tcPr>
            <w:tcW w:type="dxa" w:w="3888"/>
            <w:shd w:val="clear" w:fill="0B2545"/>
          </w:tcPr>
          <w:p>
            <w:pPr>
              <w:spacing w:after="20" w:before="20"/>
              <w:jc w:val="center"/>
            </w:pPr>
            <w:r/>
            <w:r>
              <w:rPr>
                <w:b/>
                <w:color w:val="FFFFFF"/>
                <w:sz w:val="16"/>
              </w:rPr>
              <w:t>Why it matters</w:t>
            </w:r>
          </w:p>
        </w:tc>
        <w:tc>
          <w:tcPr>
            <w:tcW w:type="dxa" w:w="2880"/>
            <w:shd w:val="clear" w:fill="0B2545"/>
          </w:tcPr>
          <w:p>
            <w:pPr>
              <w:spacing w:after="20" w:before="20"/>
              <w:jc w:val="center"/>
            </w:pPr>
            <w:r/>
            <w:r>
              <w:rPr>
                <w:b/>
                <w:color w:val="FFFFFF"/>
                <w:sz w:val="16"/>
              </w:rPr>
              <w:t>What reduces it</w:t>
            </w:r>
          </w:p>
        </w:tc>
      </w:tr>
      <w:tr>
        <w:tc>
          <w:tcPr>
            <w:tcW w:type="dxa" w:w="2736"/>
          </w:tcPr>
          <w:p>
            <w:pPr>
              <w:spacing w:after="20" w:before="20"/>
              <w:jc w:val="left"/>
            </w:pPr>
            <w:r/>
            <w:r>
              <w:rPr>
                <w:b/>
                <w:sz w:val="16"/>
              </w:rPr>
              <w:t>Regulatory and route to market changes</w:t>
            </w:r>
          </w:p>
        </w:tc>
        <w:tc>
          <w:tcPr>
            <w:tcW w:type="dxa" w:w="3888"/>
          </w:tcPr>
          <w:p>
            <w:pPr>
              <w:spacing w:after="20" w:before="20"/>
              <w:jc w:val="center"/>
            </w:pPr>
            <w:r/>
            <w:r>
              <w:rPr>
                <w:b w:val="0"/>
                <w:sz w:val="16"/>
              </w:rPr>
              <w:t>Sudden state policy or distribution changes can hurt sales and credit risk</w:t>
            </w:r>
          </w:p>
        </w:tc>
        <w:tc>
          <w:tcPr>
            <w:tcW w:type="dxa" w:w="2880"/>
          </w:tcPr>
          <w:p>
            <w:pPr>
              <w:spacing w:after="20" w:before="20"/>
              <w:jc w:val="center"/>
            </w:pPr>
            <w:r/>
            <w:r>
              <w:rPr>
                <w:b w:val="0"/>
                <w:sz w:val="16"/>
              </w:rPr>
              <w:t>Spread across 30 plus states; Diageo compliance</w:t>
            </w:r>
          </w:p>
        </w:tc>
      </w:tr>
      <w:tr>
        <w:tc>
          <w:tcPr>
            <w:tcW w:type="dxa" w:w="2736"/>
            <w:shd w:val="clear" w:fill="EEF2F7"/>
          </w:tcPr>
          <w:p>
            <w:pPr>
              <w:spacing w:after="20" w:before="20"/>
              <w:jc w:val="left"/>
            </w:pPr>
            <w:r/>
            <w:r>
              <w:rPr>
                <w:b/>
                <w:sz w:val="16"/>
              </w:rPr>
              <w:t>Excise and tax increases</w:t>
            </w:r>
          </w:p>
        </w:tc>
        <w:tc>
          <w:tcPr>
            <w:tcW w:type="dxa" w:w="3888"/>
            <w:shd w:val="clear" w:fill="EEF2F7"/>
          </w:tcPr>
          <w:p>
            <w:pPr>
              <w:spacing w:after="20" w:before="20"/>
              <w:jc w:val="center"/>
            </w:pPr>
            <w:r/>
            <w:r>
              <w:rPr>
                <w:b w:val="0"/>
                <w:sz w:val="16"/>
              </w:rPr>
              <w:t>Higher duties raise shelf prices with little gain to the company</w:t>
            </w:r>
          </w:p>
        </w:tc>
        <w:tc>
          <w:tcPr>
            <w:tcW w:type="dxa" w:w="2880"/>
            <w:shd w:val="clear" w:fill="EEF2F7"/>
          </w:tcPr>
          <w:p>
            <w:pPr>
              <w:spacing w:after="20" w:before="20"/>
              <w:jc w:val="center"/>
            </w:pPr>
            <w:r/>
            <w:r>
              <w:rPr>
                <w:b w:val="0"/>
                <w:sz w:val="16"/>
              </w:rPr>
              <w:t>Premium mix and pricing power; Karnataka pricing freedom</w:t>
            </w:r>
          </w:p>
        </w:tc>
      </w:tr>
      <w:tr>
        <w:tc>
          <w:tcPr>
            <w:tcW w:type="dxa" w:w="2736"/>
          </w:tcPr>
          <w:p>
            <w:pPr>
              <w:spacing w:after="20" w:before="20"/>
              <w:jc w:val="left"/>
            </w:pPr>
            <w:r/>
            <w:r>
              <w:rPr>
                <w:b/>
                <w:sz w:val="16"/>
              </w:rPr>
              <w:t>Raw material inflation</w:t>
            </w:r>
          </w:p>
        </w:tc>
        <w:tc>
          <w:tcPr>
            <w:tcW w:type="dxa" w:w="3888"/>
          </w:tcPr>
          <w:p>
            <w:pPr>
              <w:spacing w:after="20" w:before="20"/>
              <w:jc w:val="center"/>
            </w:pPr>
            <w:r/>
            <w:r>
              <w:rPr>
                <w:b w:val="0"/>
                <w:sz w:val="16"/>
              </w:rPr>
              <w:t>Extra neutral alcohol, glass and scotch can rise in price</w:t>
            </w:r>
          </w:p>
        </w:tc>
        <w:tc>
          <w:tcPr>
            <w:tcW w:type="dxa" w:w="2880"/>
          </w:tcPr>
          <w:p>
            <w:pPr>
              <w:spacing w:after="20" w:before="20"/>
              <w:jc w:val="center"/>
            </w:pPr>
            <w:r/>
            <w:r>
              <w:rPr>
                <w:b w:val="0"/>
                <w:sz w:val="16"/>
              </w:rPr>
              <w:t>Scale buying, cost programmes, productivity</w:t>
            </w:r>
          </w:p>
        </w:tc>
      </w:tr>
      <w:tr>
        <w:tc>
          <w:tcPr>
            <w:tcW w:type="dxa" w:w="2736"/>
            <w:shd w:val="clear" w:fill="EEF2F7"/>
          </w:tcPr>
          <w:p>
            <w:pPr>
              <w:spacing w:after="20" w:before="20"/>
              <w:jc w:val="left"/>
            </w:pPr>
            <w:r/>
            <w:r>
              <w:rPr>
                <w:b/>
                <w:sz w:val="16"/>
              </w:rPr>
              <w:t>Stronger competition</w:t>
            </w:r>
          </w:p>
        </w:tc>
        <w:tc>
          <w:tcPr>
            <w:tcW w:type="dxa" w:w="3888"/>
            <w:shd w:val="clear" w:fill="EEF2F7"/>
          </w:tcPr>
          <w:p>
            <w:pPr>
              <w:spacing w:after="20" w:before="20"/>
              <w:jc w:val="center"/>
            </w:pPr>
            <w:r/>
            <w:r>
              <w:rPr>
                <w:b w:val="0"/>
                <w:sz w:val="16"/>
              </w:rPr>
              <w:t>Pernod, Radico, Allied Blenders and Tilaknagar are pushing premium</w:t>
            </w:r>
          </w:p>
        </w:tc>
        <w:tc>
          <w:tcPr>
            <w:tcW w:type="dxa" w:w="2880"/>
            <w:shd w:val="clear" w:fill="EEF2F7"/>
          </w:tcPr>
          <w:p>
            <w:pPr>
              <w:spacing w:after="20" w:before="20"/>
              <w:jc w:val="center"/>
            </w:pPr>
            <w:r/>
            <w:r>
              <w:rPr>
                <w:b w:val="0"/>
                <w:sz w:val="16"/>
              </w:rPr>
              <w:t>Widest portfolio, deep distribution, value share focus</w:t>
            </w:r>
          </w:p>
        </w:tc>
      </w:tr>
      <w:tr>
        <w:tc>
          <w:tcPr>
            <w:tcW w:type="dxa" w:w="2736"/>
          </w:tcPr>
          <w:p>
            <w:pPr>
              <w:spacing w:after="20" w:before="20"/>
              <w:jc w:val="left"/>
            </w:pPr>
            <w:r/>
            <w:r>
              <w:rPr>
                <w:b/>
                <w:sz w:val="16"/>
              </w:rPr>
              <w:t>Consumer down trading</w:t>
            </w:r>
          </w:p>
        </w:tc>
        <w:tc>
          <w:tcPr>
            <w:tcW w:type="dxa" w:w="3888"/>
          </w:tcPr>
          <w:p>
            <w:pPr>
              <w:spacing w:after="20" w:before="20"/>
              <w:jc w:val="center"/>
            </w:pPr>
            <w:r/>
            <w:r>
              <w:rPr>
                <w:b w:val="0"/>
                <w:sz w:val="16"/>
              </w:rPr>
              <w:t>A slowdown can move some buyers to cheaper drinks</w:t>
            </w:r>
          </w:p>
        </w:tc>
        <w:tc>
          <w:tcPr>
            <w:tcW w:type="dxa" w:w="2880"/>
          </w:tcPr>
          <w:p>
            <w:pPr>
              <w:spacing w:after="20" w:before="20"/>
              <w:jc w:val="center"/>
            </w:pPr>
            <w:r/>
            <w:r>
              <w:rPr>
                <w:b w:val="0"/>
                <w:sz w:val="16"/>
              </w:rPr>
              <w:t>Full price ladder; mass to premium funnel</w:t>
            </w:r>
          </w:p>
        </w:tc>
      </w:tr>
      <w:tr>
        <w:tc>
          <w:tcPr>
            <w:tcW w:type="dxa" w:w="2736"/>
            <w:shd w:val="clear" w:fill="EEF2F7"/>
          </w:tcPr>
          <w:p>
            <w:pPr>
              <w:spacing w:after="20" w:before="20"/>
              <w:jc w:val="left"/>
            </w:pPr>
            <w:r/>
            <w:r>
              <w:rPr>
                <w:b/>
                <w:sz w:val="16"/>
              </w:rPr>
              <w:t>Currency and import cost</w:t>
            </w:r>
          </w:p>
        </w:tc>
        <w:tc>
          <w:tcPr>
            <w:tcW w:type="dxa" w:w="3888"/>
            <w:shd w:val="clear" w:fill="EEF2F7"/>
          </w:tcPr>
          <w:p>
            <w:pPr>
              <w:spacing w:after="20" w:before="20"/>
              <w:jc w:val="center"/>
            </w:pPr>
            <w:r/>
            <w:r>
              <w:rPr>
                <w:b w:val="0"/>
                <w:sz w:val="16"/>
              </w:rPr>
              <w:t>Scotch concentrate is imported</w:t>
            </w:r>
          </w:p>
        </w:tc>
        <w:tc>
          <w:tcPr>
            <w:tcW w:type="dxa" w:w="2880"/>
            <w:shd w:val="clear" w:fill="EEF2F7"/>
          </w:tcPr>
          <w:p>
            <w:pPr>
              <w:spacing w:after="20" w:before="20"/>
              <w:jc w:val="center"/>
            </w:pPr>
            <w:r/>
            <w:r>
              <w:rPr>
                <w:b w:val="0"/>
                <w:sz w:val="16"/>
              </w:rPr>
              <w:t>Mostly local production; some hedging</w:t>
            </w:r>
          </w:p>
        </w:tc>
      </w:tr>
      <w:tr>
        <w:tc>
          <w:tcPr>
            <w:tcW w:type="dxa" w:w="2736"/>
          </w:tcPr>
          <w:p>
            <w:pPr>
              <w:spacing w:after="20" w:before="20"/>
              <w:jc w:val="left"/>
            </w:pPr>
            <w:r/>
            <w:r>
              <w:rPr>
                <w:b/>
                <w:sz w:val="16"/>
              </w:rPr>
              <w:t>Customer concentration</w:t>
            </w:r>
          </w:p>
        </w:tc>
        <w:tc>
          <w:tcPr>
            <w:tcW w:type="dxa" w:w="3888"/>
          </w:tcPr>
          <w:p>
            <w:pPr>
              <w:spacing w:after="20" w:before="20"/>
              <w:jc w:val="center"/>
            </w:pPr>
            <w:r/>
            <w:r>
              <w:rPr>
                <w:b w:val="0"/>
                <w:sz w:val="16"/>
              </w:rPr>
              <w:t>One state customer is close to 30% of revenue</w:t>
            </w:r>
          </w:p>
        </w:tc>
        <w:tc>
          <w:tcPr>
            <w:tcW w:type="dxa" w:w="2880"/>
          </w:tcPr>
          <w:p>
            <w:pPr>
              <w:spacing w:after="20" w:before="20"/>
              <w:jc w:val="center"/>
            </w:pPr>
            <w:r/>
            <w:r>
              <w:rPr>
                <w:b w:val="0"/>
                <w:sz w:val="16"/>
              </w:rPr>
              <w:t>Industry norm; careful receivables management</w:t>
            </w:r>
          </w:p>
        </w:tc>
      </w:tr>
      <w:tr>
        <w:tc>
          <w:tcPr>
            <w:tcW w:type="dxa" w:w="2736"/>
            <w:shd w:val="clear" w:fill="EEF2F7"/>
          </w:tcPr>
          <w:p>
            <w:pPr>
              <w:spacing w:after="20" w:before="20"/>
              <w:jc w:val="left"/>
            </w:pPr>
            <w:r/>
            <w:r>
              <w:rPr>
                <w:b/>
                <w:sz w:val="16"/>
              </w:rPr>
              <w:t>Rich valuation</w:t>
            </w:r>
          </w:p>
        </w:tc>
        <w:tc>
          <w:tcPr>
            <w:tcW w:type="dxa" w:w="3888"/>
            <w:shd w:val="clear" w:fill="EEF2F7"/>
          </w:tcPr>
          <w:p>
            <w:pPr>
              <w:spacing w:after="20" w:before="20"/>
              <w:jc w:val="center"/>
            </w:pPr>
            <w:r/>
            <w:r>
              <w:rPr>
                <w:b w:val="0"/>
                <w:sz w:val="16"/>
              </w:rPr>
              <w:t>High multiples leave little margin of safety</w:t>
            </w:r>
          </w:p>
        </w:tc>
        <w:tc>
          <w:tcPr>
            <w:tcW w:type="dxa" w:w="2880"/>
            <w:shd w:val="clear" w:fill="EEF2F7"/>
          </w:tcPr>
          <w:p>
            <w:pPr>
              <w:spacing w:after="20" w:before="20"/>
              <w:jc w:val="center"/>
            </w:pPr>
            <w:r/>
            <w:r>
              <w:rPr>
                <w:b w:val="0"/>
                <w:sz w:val="16"/>
              </w:rPr>
              <w:t>Quality, growth and the RCB cash option</w:t>
            </w:r>
          </w:p>
        </w:tc>
      </w:tr>
    </w:tbl>
    <w:p>
      <w:pPr>
        <w:spacing w:after="40"/>
      </w:pPr>
    </w:p>
    <w:p>
      <w:pPr>
        <w:spacing w:before="160" w:after="60"/>
      </w:pPr>
      <w:r>
        <w:rPr>
          <w:b/>
          <w:color w:val="13558C"/>
          <w:sz w:val="22"/>
        </w:rPr>
        <w:t>Global context</w:t>
      </w:r>
    </w:p>
    <w:p>
      <w:pPr>
        <w:spacing w:after="120"/>
        <w:jc w:val="both"/>
      </w:pPr>
      <w:r>
        <w:rPr>
          <w:b w:val="0"/>
          <w:i w:val="0"/>
          <w:sz w:val="20"/>
        </w:rPr>
        <w:t>USL is mainly a domestic business, so it has limited direct exposure to US tariffs. Even so, the global backdrop matters. Global spirits volumes fell about 2% in 2025, the third year of decline, and premiumisation has slowed in many markets (IWSR). US tariffs cut scotch exports to the US by about 15% by volume (Scotch Whisky Association via The Spirits Business). Parent Diageo cut its FY26 guidance on weak US and China demand and tariffs. The bright side is that India stands out as a growth market within a flat global industry, which is a relative positive for USL. The items to watch are scotch input costs and any change in the parent's strategy. Sources: IWSR; The Spirits Business; Diageo releases.</w:t>
      </w:r>
    </w:p>
    <w:p>
      <w:r>
        <w:br w:type="page"/>
      </w:r>
    </w:p>
    <w:p>
      <w:pPr>
        <w:spacing w:before="200" w:after="80"/>
        <w:pBdr>
          <w:bottom w:val="single" w:sz="8" w:space="3" w:color="0B2545"/>
        </w:pBdr>
      </w:pPr>
      <w:r>
        <w:rPr>
          <w:b/>
          <w:color w:val="0B2545"/>
          <w:sz w:val="28"/>
        </w:rPr>
        <w:t>Company Background and Peers</w:t>
      </w:r>
    </w:p>
    <w:p>
      <w:pPr>
        <w:spacing w:after="120"/>
        <w:jc w:val="both"/>
      </w:pPr>
      <w:r>
        <w:rPr>
          <w:b w:val="0"/>
          <w:i w:val="0"/>
          <w:sz w:val="20"/>
        </w:rPr>
        <w:t>United Spirits Ltd is the largest beverage alcohol company in India and the India operating company of Diageo plc, which holds about 56% of the equity. The company is based in Bengaluru. It makes, sells and distributes spirits across more than 60 brands, with about 40 manufacturing sites and more than 70,000 retail outlets. The company also imports and sells many global Diageo brands under licence. It reports two main segments: beverage alcohol (the core business) and, until March 2026, a sports segment (the RCB cricket franchise), which has now been sold. The Chief Executive Officer and Managing Director is Praveen Someshwar.</w:t>
      </w:r>
    </w:p>
    <w:p>
      <w:pPr>
        <w:spacing w:before="160" w:after="60"/>
      </w:pPr>
      <w:r>
        <w:rPr>
          <w:b/>
          <w:color w:val="13558C"/>
          <w:sz w:val="22"/>
        </w:rPr>
        <w:t>Peer Comparison (FY26)</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592"/>
            <w:shd w:val="clear" w:fill="0B2545"/>
          </w:tcPr>
          <w:p>
            <w:pPr>
              <w:spacing w:after="20" w:before="20"/>
              <w:jc w:val="left"/>
            </w:pPr>
            <w:r/>
            <w:r>
              <w:rPr>
                <w:b/>
                <w:color w:val="FFFFFF"/>
                <w:sz w:val="16"/>
              </w:rPr>
              <w:t>Company</w:t>
            </w:r>
          </w:p>
        </w:tc>
        <w:tc>
          <w:tcPr>
            <w:tcW w:type="dxa" w:w="1440"/>
            <w:shd w:val="clear" w:fill="0B2545"/>
          </w:tcPr>
          <w:p>
            <w:pPr>
              <w:spacing w:after="20" w:before="20"/>
              <w:jc w:val="center"/>
            </w:pPr>
            <w:r/>
            <w:r>
              <w:rPr>
                <w:b/>
                <w:color w:val="FFFFFF"/>
                <w:sz w:val="16"/>
              </w:rPr>
              <w:t>NSV (Rs cr)</w:t>
            </w:r>
          </w:p>
        </w:tc>
        <w:tc>
          <w:tcPr>
            <w:tcW w:type="dxa" w:w="1512"/>
            <w:shd w:val="clear" w:fill="0B2545"/>
          </w:tcPr>
          <w:p>
            <w:pPr>
              <w:spacing w:after="20" w:before="20"/>
              <w:jc w:val="center"/>
            </w:pPr>
            <w:r/>
            <w:r>
              <w:rPr>
                <w:b/>
                <w:color w:val="FFFFFF"/>
                <w:sz w:val="16"/>
              </w:rPr>
              <w:t>EBITDA (Rs cr)</w:t>
            </w:r>
          </w:p>
        </w:tc>
        <w:tc>
          <w:tcPr>
            <w:tcW w:type="dxa" w:w="1224"/>
            <w:shd w:val="clear" w:fill="0B2545"/>
          </w:tcPr>
          <w:p>
            <w:pPr>
              <w:spacing w:after="20" w:before="20"/>
              <w:jc w:val="center"/>
            </w:pPr>
            <w:r/>
            <w:r>
              <w:rPr>
                <w:b/>
                <w:color w:val="FFFFFF"/>
                <w:sz w:val="16"/>
              </w:rPr>
              <w:t>EBITDA %</w:t>
            </w:r>
          </w:p>
        </w:tc>
        <w:tc>
          <w:tcPr>
            <w:tcW w:type="dxa" w:w="1512"/>
            <w:shd w:val="clear" w:fill="0B2545"/>
          </w:tcPr>
          <w:p>
            <w:pPr>
              <w:spacing w:after="20" w:before="20"/>
              <w:jc w:val="center"/>
            </w:pPr>
            <w:r/>
            <w:r>
              <w:rPr>
                <w:b/>
                <w:color w:val="FFFFFF"/>
                <w:sz w:val="16"/>
              </w:rPr>
              <w:t>Mcap (Rs cr)</w:t>
            </w:r>
          </w:p>
        </w:tc>
        <w:tc>
          <w:tcPr>
            <w:tcW w:type="dxa" w:w="1224"/>
            <w:shd w:val="clear" w:fill="0B2545"/>
          </w:tcPr>
          <w:p>
            <w:pPr>
              <w:spacing w:after="20" w:before="20"/>
              <w:jc w:val="center"/>
            </w:pPr>
            <w:r/>
            <w:r>
              <w:rPr>
                <w:b/>
                <w:color w:val="FFFFFF"/>
                <w:sz w:val="16"/>
              </w:rPr>
              <w:t>EV/EBITDA</w:t>
            </w:r>
          </w:p>
        </w:tc>
        <w:tc>
          <w:tcPr>
            <w:tcW w:type="dxa" w:w="1008"/>
            <w:shd w:val="clear" w:fill="0B2545"/>
          </w:tcPr>
          <w:p>
            <w:pPr>
              <w:spacing w:after="20" w:before="20"/>
              <w:jc w:val="center"/>
            </w:pPr>
            <w:r/>
            <w:r>
              <w:rPr>
                <w:b/>
                <w:color w:val="FFFFFF"/>
                <w:sz w:val="16"/>
              </w:rPr>
              <w:t>P/E</w:t>
            </w:r>
          </w:p>
        </w:tc>
      </w:tr>
      <w:tr>
        <w:tc>
          <w:tcPr>
            <w:tcW w:type="dxa" w:w="2592"/>
          </w:tcPr>
          <w:p>
            <w:pPr>
              <w:spacing w:after="20" w:before="20"/>
              <w:jc w:val="left"/>
            </w:pPr>
            <w:r/>
            <w:r>
              <w:rPr>
                <w:b/>
                <w:sz w:val="16"/>
              </w:rPr>
              <w:t>United Spirits</w:t>
            </w:r>
          </w:p>
        </w:tc>
        <w:tc>
          <w:tcPr>
            <w:tcW w:type="dxa" w:w="1440"/>
          </w:tcPr>
          <w:p>
            <w:pPr>
              <w:spacing w:after="20" w:before="20"/>
              <w:jc w:val="center"/>
            </w:pPr>
            <w:r/>
            <w:r>
              <w:rPr>
                <w:b w:val="0"/>
                <w:sz w:val="16"/>
              </w:rPr>
              <w:t>12,467</w:t>
            </w:r>
          </w:p>
        </w:tc>
        <w:tc>
          <w:tcPr>
            <w:tcW w:type="dxa" w:w="1512"/>
          </w:tcPr>
          <w:p>
            <w:pPr>
              <w:spacing w:after="20" w:before="20"/>
              <w:jc w:val="center"/>
            </w:pPr>
            <w:r/>
            <w:r>
              <w:rPr>
                <w:b w:val="0"/>
                <w:sz w:val="16"/>
              </w:rPr>
              <w:t>2,279</w:t>
            </w:r>
          </w:p>
        </w:tc>
        <w:tc>
          <w:tcPr>
            <w:tcW w:type="dxa" w:w="1224"/>
          </w:tcPr>
          <w:p>
            <w:pPr>
              <w:spacing w:after="20" w:before="20"/>
              <w:jc w:val="center"/>
            </w:pPr>
            <w:r/>
            <w:r>
              <w:rPr>
                <w:b w:val="0"/>
                <w:sz w:val="16"/>
              </w:rPr>
              <w:t>18.3</w:t>
            </w:r>
          </w:p>
        </w:tc>
        <w:tc>
          <w:tcPr>
            <w:tcW w:type="dxa" w:w="1512"/>
          </w:tcPr>
          <w:p>
            <w:pPr>
              <w:spacing w:after="20" w:before="20"/>
              <w:jc w:val="center"/>
            </w:pPr>
            <w:r/>
            <w:r>
              <w:rPr>
                <w:b w:val="0"/>
                <w:sz w:val="16"/>
              </w:rPr>
              <w:t>96,453</w:t>
            </w:r>
          </w:p>
        </w:tc>
        <w:tc>
          <w:tcPr>
            <w:tcW w:type="dxa" w:w="1224"/>
          </w:tcPr>
          <w:p>
            <w:pPr>
              <w:spacing w:after="20" w:before="20"/>
              <w:jc w:val="center"/>
            </w:pPr>
            <w:r/>
            <w:r>
              <w:rPr>
                <w:b w:val="0"/>
                <w:sz w:val="16"/>
              </w:rPr>
              <w:t>41</w:t>
            </w:r>
          </w:p>
        </w:tc>
        <w:tc>
          <w:tcPr>
            <w:tcW w:type="dxa" w:w="1008"/>
          </w:tcPr>
          <w:p>
            <w:pPr>
              <w:spacing w:after="20" w:before="20"/>
              <w:jc w:val="center"/>
            </w:pPr>
            <w:r/>
            <w:r>
              <w:rPr>
                <w:b w:val="0"/>
                <w:sz w:val="16"/>
              </w:rPr>
              <w:t>53</w:t>
            </w:r>
          </w:p>
        </w:tc>
      </w:tr>
      <w:tr>
        <w:tc>
          <w:tcPr>
            <w:tcW w:type="dxa" w:w="2592"/>
            <w:shd w:val="clear" w:fill="EEF2F7"/>
          </w:tcPr>
          <w:p>
            <w:pPr>
              <w:spacing w:after="20" w:before="20"/>
              <w:jc w:val="left"/>
            </w:pPr>
            <w:r/>
            <w:r>
              <w:rPr>
                <w:b/>
                <w:sz w:val="16"/>
              </w:rPr>
              <w:t>Radico Khaitan</w:t>
            </w:r>
          </w:p>
        </w:tc>
        <w:tc>
          <w:tcPr>
            <w:tcW w:type="dxa" w:w="1440"/>
            <w:shd w:val="clear" w:fill="EEF2F7"/>
          </w:tcPr>
          <w:p>
            <w:pPr>
              <w:spacing w:after="20" w:before="20"/>
              <w:jc w:val="center"/>
            </w:pPr>
            <w:r/>
            <w:r>
              <w:rPr>
                <w:b w:val="0"/>
                <w:sz w:val="16"/>
              </w:rPr>
              <w:t>6,050</w:t>
            </w:r>
          </w:p>
        </w:tc>
        <w:tc>
          <w:tcPr>
            <w:tcW w:type="dxa" w:w="1512"/>
            <w:shd w:val="clear" w:fill="EEF2F7"/>
          </w:tcPr>
          <w:p>
            <w:pPr>
              <w:spacing w:after="20" w:before="20"/>
              <w:jc w:val="center"/>
            </w:pPr>
            <w:r/>
            <w:r>
              <w:rPr>
                <w:b w:val="0"/>
                <w:sz w:val="16"/>
              </w:rPr>
              <w:t>1,038</w:t>
            </w:r>
          </w:p>
        </w:tc>
        <w:tc>
          <w:tcPr>
            <w:tcW w:type="dxa" w:w="1224"/>
            <w:shd w:val="clear" w:fill="EEF2F7"/>
          </w:tcPr>
          <w:p>
            <w:pPr>
              <w:spacing w:after="20" w:before="20"/>
              <w:jc w:val="center"/>
            </w:pPr>
            <w:r/>
            <w:r>
              <w:rPr>
                <w:b w:val="0"/>
                <w:sz w:val="16"/>
              </w:rPr>
              <w:t>17.1</w:t>
            </w:r>
          </w:p>
        </w:tc>
        <w:tc>
          <w:tcPr>
            <w:tcW w:type="dxa" w:w="1512"/>
            <w:shd w:val="clear" w:fill="EEF2F7"/>
          </w:tcPr>
          <w:p>
            <w:pPr>
              <w:spacing w:after="20" w:before="20"/>
              <w:jc w:val="center"/>
            </w:pPr>
            <w:r/>
            <w:r>
              <w:rPr>
                <w:b w:val="0"/>
                <w:sz w:val="16"/>
              </w:rPr>
              <w:t>50,274</w:t>
            </w:r>
          </w:p>
        </w:tc>
        <w:tc>
          <w:tcPr>
            <w:tcW w:type="dxa" w:w="1224"/>
            <w:shd w:val="clear" w:fill="EEF2F7"/>
          </w:tcPr>
          <w:p>
            <w:pPr>
              <w:spacing w:after="20" w:before="20"/>
              <w:jc w:val="center"/>
            </w:pPr>
            <w:r/>
            <w:r>
              <w:rPr>
                <w:b w:val="0"/>
                <w:sz w:val="16"/>
              </w:rPr>
              <w:t>49</w:t>
            </w:r>
          </w:p>
        </w:tc>
        <w:tc>
          <w:tcPr>
            <w:tcW w:type="dxa" w:w="1008"/>
            <w:shd w:val="clear" w:fill="EEF2F7"/>
          </w:tcPr>
          <w:p>
            <w:pPr>
              <w:spacing w:after="20" w:before="20"/>
              <w:jc w:val="center"/>
            </w:pPr>
            <w:r/>
            <w:r>
              <w:rPr>
                <w:b w:val="0"/>
                <w:sz w:val="16"/>
              </w:rPr>
              <w:t>82</w:t>
            </w:r>
          </w:p>
        </w:tc>
      </w:tr>
      <w:tr>
        <w:tc>
          <w:tcPr>
            <w:tcW w:type="dxa" w:w="2592"/>
          </w:tcPr>
          <w:p>
            <w:pPr>
              <w:spacing w:after="20" w:before="20"/>
              <w:jc w:val="left"/>
            </w:pPr>
            <w:r/>
            <w:r>
              <w:rPr>
                <w:b/>
                <w:sz w:val="16"/>
              </w:rPr>
              <w:t>United Breweries (beer)</w:t>
            </w:r>
          </w:p>
        </w:tc>
        <w:tc>
          <w:tcPr>
            <w:tcW w:type="dxa" w:w="1440"/>
          </w:tcPr>
          <w:p>
            <w:pPr>
              <w:spacing w:after="20" w:before="20"/>
              <w:jc w:val="center"/>
            </w:pPr>
            <w:r/>
            <w:r>
              <w:rPr>
                <w:b w:val="0"/>
                <w:sz w:val="16"/>
              </w:rPr>
              <w:t>9,240</w:t>
            </w:r>
          </w:p>
        </w:tc>
        <w:tc>
          <w:tcPr>
            <w:tcW w:type="dxa" w:w="1512"/>
          </w:tcPr>
          <w:p>
            <w:pPr>
              <w:spacing w:after="20" w:before="20"/>
              <w:jc w:val="center"/>
            </w:pPr>
            <w:r/>
            <w:r>
              <w:rPr>
                <w:b w:val="0"/>
                <w:sz w:val="16"/>
              </w:rPr>
              <w:t>824</w:t>
            </w:r>
          </w:p>
        </w:tc>
        <w:tc>
          <w:tcPr>
            <w:tcW w:type="dxa" w:w="1224"/>
          </w:tcPr>
          <w:p>
            <w:pPr>
              <w:spacing w:after="20" w:before="20"/>
              <w:jc w:val="center"/>
            </w:pPr>
            <w:r/>
            <w:r>
              <w:rPr>
                <w:b w:val="0"/>
                <w:sz w:val="16"/>
              </w:rPr>
              <w:t>8.9</w:t>
            </w:r>
          </w:p>
        </w:tc>
        <w:tc>
          <w:tcPr>
            <w:tcW w:type="dxa" w:w="1512"/>
          </w:tcPr>
          <w:p>
            <w:pPr>
              <w:spacing w:after="20" w:before="20"/>
              <w:jc w:val="center"/>
            </w:pPr>
            <w:r/>
            <w:r>
              <w:rPr>
                <w:b w:val="0"/>
                <w:sz w:val="16"/>
              </w:rPr>
              <w:t>35,605</w:t>
            </w:r>
          </w:p>
        </w:tc>
        <w:tc>
          <w:tcPr>
            <w:tcW w:type="dxa" w:w="1224"/>
          </w:tcPr>
          <w:p>
            <w:pPr>
              <w:spacing w:after="20" w:before="20"/>
              <w:jc w:val="center"/>
            </w:pPr>
            <w:r/>
            <w:r>
              <w:rPr>
                <w:b w:val="0"/>
                <w:sz w:val="16"/>
              </w:rPr>
              <w:t>44</w:t>
            </w:r>
          </w:p>
        </w:tc>
        <w:tc>
          <w:tcPr>
            <w:tcW w:type="dxa" w:w="1008"/>
          </w:tcPr>
          <w:p>
            <w:pPr>
              <w:spacing w:after="20" w:before="20"/>
              <w:jc w:val="center"/>
            </w:pPr>
            <w:r/>
            <w:r>
              <w:rPr>
                <w:b w:val="0"/>
                <w:sz w:val="16"/>
              </w:rPr>
              <w:t>86</w:t>
            </w:r>
          </w:p>
        </w:tc>
      </w:tr>
      <w:tr>
        <w:tc>
          <w:tcPr>
            <w:tcW w:type="dxa" w:w="2592"/>
            <w:shd w:val="clear" w:fill="EEF2F7"/>
          </w:tcPr>
          <w:p>
            <w:pPr>
              <w:spacing w:after="20" w:before="20"/>
              <w:jc w:val="left"/>
            </w:pPr>
            <w:r/>
            <w:r>
              <w:rPr>
                <w:b/>
                <w:sz w:val="16"/>
              </w:rPr>
              <w:t>Allied Blenders</w:t>
            </w:r>
          </w:p>
        </w:tc>
        <w:tc>
          <w:tcPr>
            <w:tcW w:type="dxa" w:w="1440"/>
            <w:shd w:val="clear" w:fill="EEF2F7"/>
          </w:tcPr>
          <w:p>
            <w:pPr>
              <w:spacing w:after="20" w:before="20"/>
              <w:jc w:val="center"/>
            </w:pPr>
            <w:r/>
            <w:r>
              <w:rPr>
                <w:b w:val="0"/>
                <w:sz w:val="16"/>
              </w:rPr>
              <w:t>3,923</w:t>
            </w:r>
          </w:p>
        </w:tc>
        <w:tc>
          <w:tcPr>
            <w:tcW w:type="dxa" w:w="1512"/>
            <w:shd w:val="clear" w:fill="EEF2F7"/>
          </w:tcPr>
          <w:p>
            <w:pPr>
              <w:spacing w:after="20" w:before="20"/>
              <w:jc w:val="center"/>
            </w:pPr>
            <w:r/>
            <w:r>
              <w:rPr>
                <w:b w:val="0"/>
                <w:sz w:val="16"/>
              </w:rPr>
              <w:t>542</w:t>
            </w:r>
          </w:p>
        </w:tc>
        <w:tc>
          <w:tcPr>
            <w:tcW w:type="dxa" w:w="1224"/>
            <w:shd w:val="clear" w:fill="EEF2F7"/>
          </w:tcPr>
          <w:p>
            <w:pPr>
              <w:spacing w:after="20" w:before="20"/>
              <w:jc w:val="center"/>
            </w:pPr>
            <w:r/>
            <w:r>
              <w:rPr>
                <w:b w:val="0"/>
                <w:sz w:val="16"/>
              </w:rPr>
              <w:t>13.8</w:t>
            </w:r>
          </w:p>
        </w:tc>
        <w:tc>
          <w:tcPr>
            <w:tcW w:type="dxa" w:w="1512"/>
            <w:shd w:val="clear" w:fill="EEF2F7"/>
          </w:tcPr>
          <w:p>
            <w:pPr>
              <w:spacing w:after="20" w:before="20"/>
              <w:jc w:val="center"/>
            </w:pPr>
            <w:r/>
            <w:r>
              <w:rPr>
                <w:b w:val="0"/>
                <w:sz w:val="16"/>
              </w:rPr>
              <w:t>17,640</w:t>
            </w:r>
          </w:p>
        </w:tc>
        <w:tc>
          <w:tcPr>
            <w:tcW w:type="dxa" w:w="1224"/>
            <w:shd w:val="clear" w:fill="EEF2F7"/>
          </w:tcPr>
          <w:p>
            <w:pPr>
              <w:spacing w:after="20" w:before="20"/>
              <w:jc w:val="center"/>
            </w:pPr>
            <w:r/>
            <w:r>
              <w:rPr>
                <w:b w:val="0"/>
                <w:sz w:val="16"/>
              </w:rPr>
              <w:t>34</w:t>
            </w:r>
          </w:p>
        </w:tc>
        <w:tc>
          <w:tcPr>
            <w:tcW w:type="dxa" w:w="1008"/>
            <w:shd w:val="clear" w:fill="EEF2F7"/>
          </w:tcPr>
          <w:p>
            <w:pPr>
              <w:spacing w:after="20" w:before="20"/>
              <w:jc w:val="center"/>
            </w:pPr>
            <w:r/>
            <w:r>
              <w:rPr>
                <w:b w:val="0"/>
                <w:sz w:val="16"/>
              </w:rPr>
              <w:t>77</w:t>
            </w:r>
          </w:p>
        </w:tc>
      </w:tr>
    </w:tbl>
    <w:p>
      <w:pPr>
        <w:spacing w:after="40"/>
      </w:pPr>
    </w:p>
    <w:p>
      <w:pPr>
        <w:spacing w:before="60" w:after="20"/>
        <w:jc w:val="center"/>
      </w:pPr>
      <w:r>
        <w:drawing>
          <wp:inline xmlns:a="http://schemas.openxmlformats.org/drawingml/2006/main" xmlns:pic="http://schemas.openxmlformats.org/drawingml/2006/picture">
            <wp:extent cx="5486400" cy="2630466"/>
            <wp:docPr id="17" name="Picture 17"/>
            <wp:cNvGraphicFramePr>
              <a:graphicFrameLocks noChangeAspect="1"/>
            </wp:cNvGraphicFramePr>
            <a:graphic>
              <a:graphicData uri="http://schemas.openxmlformats.org/drawingml/2006/picture">
                <pic:pic>
                  <pic:nvPicPr>
                    <pic:cNvPr id="0" name="ex5_peer_multiples.png"/>
                    <pic:cNvPicPr/>
                  </pic:nvPicPr>
                  <pic:blipFill>
                    <a:blip r:embed="rId25"/>
                    <a:stretch>
                      <a:fillRect/>
                    </a:stretch>
                  </pic:blipFill>
                  <pic:spPr>
                    <a:xfrm>
                      <a:off x="0" y="0"/>
                      <a:ext cx="5486400" cy="2630466"/>
                    </a:xfrm>
                    <a:prstGeom prst="rect"/>
                  </pic:spPr>
                </pic:pic>
              </a:graphicData>
            </a:graphic>
          </wp:inline>
        </w:drawing>
      </w:r>
    </w:p>
    <w:p>
      <w:pPr>
        <w:spacing w:after="140"/>
        <w:jc w:val="center"/>
      </w:pPr>
      <w:r>
        <w:rPr>
          <w:i/>
          <w:color w:val="555B66"/>
          <w:sz w:val="15"/>
        </w:rPr>
        <w:t>Peer valuation multiples   |   Source: Company data, United Spirits Excell.xlsx</w:t>
      </w:r>
    </w:p>
    <w:p>
      <w:pPr>
        <w:spacing w:after="120"/>
        <w:jc w:val="both"/>
      </w:pPr>
      <w:r>
        <w:rPr>
          <w:b w:val="0"/>
          <w:i w:val="0"/>
          <w:sz w:val="20"/>
        </w:rPr>
        <w:t>USL has the largest premium portfolio, the deepest distribution and the strongest balance sheet in the group. It trades below Radico on P/E because Radico is growing faster from a smaller base, while it trades above mass market peers because of its leadership and mix.</w:t>
      </w:r>
    </w:p>
    <w:p>
      <w:r>
        <w:br w:type="page"/>
      </w:r>
    </w:p>
    <w:p>
      <w:pPr>
        <w:spacing w:before="200" w:after="80"/>
        <w:pBdr>
          <w:bottom w:val="single" w:sz="8" w:space="3" w:color="0B2545"/>
        </w:pBdr>
      </w:pPr>
      <w:r>
        <w:rPr>
          <w:b/>
          <w:color w:val="0B2545"/>
          <w:sz w:val="28"/>
        </w:rPr>
        <w:t>Recommendation Summary and Disclaimer</w:t>
      </w:r>
    </w:p>
    <w:tbl>
      <w:tblPr>
        <w:tblStyle w:val="TableGrid"/>
        <w:tblW w:type="auto" w:w="0"/>
        <w:jc w:val="center"/>
        <w:tblLook w:firstColumn="1" w:firstRow="1" w:lastColumn="0" w:lastRow="0" w:noHBand="0" w:noVBand="1" w:val="04A0"/>
      </w:tblPr>
      <w:tblGrid>
        <w:gridCol w:w="5112"/>
        <w:gridCol w:w="5112"/>
      </w:tblGrid>
      <w:tr>
        <w:tc>
          <w:tcPr>
            <w:tcW w:type="dxa" w:w="2880"/>
            <w:shd w:val="clear" w:fill="0B2545"/>
          </w:tcPr>
          <w:p>
            <w:pPr>
              <w:spacing w:after="20" w:before="20"/>
              <w:jc w:val="left"/>
            </w:pPr>
            <w:r/>
            <w:r>
              <w:rPr>
                <w:b/>
                <w:color w:val="FFFFFF"/>
                <w:sz w:val="17"/>
              </w:rPr>
              <w:t>Item</w:t>
            </w:r>
          </w:p>
        </w:tc>
        <w:tc>
          <w:tcPr>
            <w:tcW w:type="dxa" w:w="6624"/>
            <w:shd w:val="clear" w:fill="0B2545"/>
          </w:tcPr>
          <w:p>
            <w:pPr>
              <w:spacing w:after="20" w:before="20"/>
              <w:jc w:val="center"/>
            </w:pPr>
            <w:r/>
            <w:r>
              <w:rPr>
                <w:b/>
                <w:color w:val="FFFFFF"/>
                <w:sz w:val="17"/>
              </w:rPr>
              <w:t>Detail</w:t>
            </w:r>
          </w:p>
        </w:tc>
      </w:tr>
      <w:tr>
        <w:tc>
          <w:tcPr>
            <w:tcW w:type="dxa" w:w="2880"/>
          </w:tcPr>
          <w:p>
            <w:pPr>
              <w:spacing w:after="20" w:before="20"/>
              <w:jc w:val="left"/>
            </w:pPr>
            <w:r/>
            <w:r>
              <w:rPr>
                <w:b/>
                <w:sz w:val="17"/>
              </w:rPr>
              <w:t>Recommendation</w:t>
            </w:r>
          </w:p>
        </w:tc>
        <w:tc>
          <w:tcPr>
            <w:tcW w:type="dxa" w:w="6624"/>
          </w:tcPr>
          <w:p>
            <w:pPr>
              <w:spacing w:after="20" w:before="20"/>
              <w:jc w:val="center"/>
            </w:pPr>
            <w:r/>
            <w:r>
              <w:rPr>
                <w:b w:val="0"/>
                <w:sz w:val="17"/>
              </w:rPr>
              <w:t>HOLD; add on dips in the Rs 1,150 to Rs 1,200 band</w:t>
            </w:r>
          </w:p>
        </w:tc>
      </w:tr>
      <w:tr>
        <w:tc>
          <w:tcPr>
            <w:tcW w:type="dxa" w:w="2880"/>
            <w:shd w:val="clear" w:fill="EEF2F7"/>
          </w:tcPr>
          <w:p>
            <w:pPr>
              <w:spacing w:after="20" w:before="20"/>
              <w:jc w:val="left"/>
            </w:pPr>
            <w:r/>
            <w:r>
              <w:rPr>
                <w:b/>
                <w:sz w:val="17"/>
              </w:rPr>
              <w:t>Current Market Price</w:t>
            </w:r>
          </w:p>
        </w:tc>
        <w:tc>
          <w:tcPr>
            <w:tcW w:type="dxa" w:w="6624"/>
            <w:shd w:val="clear" w:fill="EEF2F7"/>
          </w:tcPr>
          <w:p>
            <w:pPr>
              <w:spacing w:after="20" w:before="20"/>
              <w:jc w:val="center"/>
            </w:pPr>
            <w:r/>
            <w:r>
              <w:rPr>
                <w:b w:val="0"/>
                <w:sz w:val="17"/>
              </w:rPr>
              <w:t>Rs 1,343</w:t>
            </w:r>
          </w:p>
        </w:tc>
      </w:tr>
      <w:tr>
        <w:tc>
          <w:tcPr>
            <w:tcW w:type="dxa" w:w="2880"/>
          </w:tcPr>
          <w:p>
            <w:pPr>
              <w:spacing w:after="20" w:before="20"/>
              <w:jc w:val="left"/>
            </w:pPr>
            <w:r/>
            <w:r>
              <w:rPr>
                <w:b/>
                <w:sz w:val="17"/>
              </w:rPr>
              <w:t>Base Case Fair Value</w:t>
            </w:r>
          </w:p>
        </w:tc>
        <w:tc>
          <w:tcPr>
            <w:tcW w:type="dxa" w:w="6624"/>
          </w:tcPr>
          <w:p>
            <w:pPr>
              <w:spacing w:after="20" w:before="20"/>
              <w:jc w:val="center"/>
            </w:pPr>
            <w:r/>
            <w:r>
              <w:rPr>
                <w:b w:val="0"/>
                <w:sz w:val="17"/>
              </w:rPr>
              <w:t>Rs 1,348 (about 57 times FY27 estimated EPS)</w:t>
            </w:r>
          </w:p>
        </w:tc>
      </w:tr>
      <w:tr>
        <w:tc>
          <w:tcPr>
            <w:tcW w:type="dxa" w:w="2880"/>
            <w:shd w:val="clear" w:fill="EEF2F7"/>
          </w:tcPr>
          <w:p>
            <w:pPr>
              <w:spacing w:after="20" w:before="20"/>
              <w:jc w:val="left"/>
            </w:pPr>
            <w:r/>
            <w:r>
              <w:rPr>
                <w:b/>
                <w:sz w:val="17"/>
              </w:rPr>
              <w:t>Bull Case Fair Value</w:t>
            </w:r>
          </w:p>
        </w:tc>
        <w:tc>
          <w:tcPr>
            <w:tcW w:type="dxa" w:w="6624"/>
            <w:shd w:val="clear" w:fill="EEF2F7"/>
          </w:tcPr>
          <w:p>
            <w:pPr>
              <w:spacing w:after="20" w:before="20"/>
              <w:jc w:val="center"/>
            </w:pPr>
            <w:r/>
            <w:r>
              <w:rPr>
                <w:b w:val="0"/>
                <w:sz w:val="17"/>
              </w:rPr>
              <w:t>Rs 1,500 (about 64 times FY27 estimated EPS)</w:t>
            </w:r>
          </w:p>
        </w:tc>
      </w:tr>
      <w:tr>
        <w:tc>
          <w:tcPr>
            <w:tcW w:type="dxa" w:w="2880"/>
          </w:tcPr>
          <w:p>
            <w:pPr>
              <w:spacing w:after="20" w:before="20"/>
              <w:jc w:val="left"/>
            </w:pPr>
            <w:r/>
            <w:r>
              <w:rPr>
                <w:b/>
                <w:sz w:val="17"/>
              </w:rPr>
              <w:t>Bear Case Fair Value</w:t>
            </w:r>
          </w:p>
        </w:tc>
        <w:tc>
          <w:tcPr>
            <w:tcW w:type="dxa" w:w="6624"/>
          </w:tcPr>
          <w:p>
            <w:pPr>
              <w:spacing w:after="20" w:before="20"/>
              <w:jc w:val="center"/>
            </w:pPr>
            <w:r/>
            <w:r>
              <w:rPr>
                <w:b w:val="0"/>
                <w:sz w:val="17"/>
              </w:rPr>
              <w:t>About Rs 920</w:t>
            </w:r>
          </w:p>
        </w:tc>
      </w:tr>
      <w:tr>
        <w:tc>
          <w:tcPr>
            <w:tcW w:type="dxa" w:w="2880"/>
            <w:shd w:val="clear" w:fill="EEF2F7"/>
          </w:tcPr>
          <w:p>
            <w:pPr>
              <w:spacing w:after="20" w:before="20"/>
              <w:jc w:val="left"/>
            </w:pPr>
            <w:r/>
            <w:r>
              <w:rPr>
                <w:b/>
                <w:sz w:val="17"/>
              </w:rPr>
              <w:t>Time Horizon</w:t>
            </w:r>
          </w:p>
        </w:tc>
        <w:tc>
          <w:tcPr>
            <w:tcW w:type="dxa" w:w="6624"/>
            <w:shd w:val="clear" w:fill="EEF2F7"/>
          </w:tcPr>
          <w:p>
            <w:pPr>
              <w:spacing w:after="20" w:before="20"/>
              <w:jc w:val="center"/>
            </w:pPr>
            <w:r/>
            <w:r>
              <w:rPr>
                <w:b w:val="0"/>
                <w:sz w:val="17"/>
              </w:rPr>
              <w:t>12 months</w:t>
            </w:r>
          </w:p>
        </w:tc>
      </w:tr>
      <w:tr>
        <w:tc>
          <w:tcPr>
            <w:tcW w:type="dxa" w:w="2880"/>
          </w:tcPr>
          <w:p>
            <w:pPr>
              <w:spacing w:after="20" w:before="20"/>
              <w:jc w:val="left"/>
            </w:pPr>
            <w:r/>
            <w:r>
              <w:rPr>
                <w:b/>
                <w:sz w:val="17"/>
              </w:rPr>
              <w:t>Key catalysts</w:t>
            </w:r>
          </w:p>
        </w:tc>
        <w:tc>
          <w:tcPr>
            <w:tcW w:type="dxa" w:w="6624"/>
          </w:tcPr>
          <w:p>
            <w:pPr>
              <w:spacing w:after="20" w:before="20"/>
              <w:jc w:val="center"/>
            </w:pPr>
            <w:r/>
            <w:r>
              <w:rPr>
                <w:b w:val="0"/>
                <w:sz w:val="17"/>
              </w:rPr>
              <w:t>Use of RCB cash; Karnataka pricing; premium volume; input costs</w:t>
            </w:r>
          </w:p>
        </w:tc>
      </w:tr>
    </w:tbl>
    <w:p>
      <w:pPr>
        <w:spacing w:after="40"/>
      </w:pPr>
    </w:p>
    <w:p>
      <w:pPr>
        <w:spacing w:after="120"/>
        <w:jc w:val="both"/>
      </w:pPr>
      <w:r>
        <w:rPr>
          <w:b w:val="0"/>
          <w:i w:val="0"/>
          <w:sz w:val="20"/>
        </w:rPr>
        <w:t>In one paragraph: United Spirits is a high quality, market leading business with a premium portfolio, a fortress balance sheet, strong returns and a clear premiumisation runway. The shares already trade at rich multiples, so the base case fair value sits close to the current price. We rate the stock HOLD and would add on declines. The Rs 16,660 crore RCB cash, not included in our base case, is an extra source of value that supports our preference for HOLD over a more negative call. The stock deserves a premium to mass market peers for its quality and mix, but a discount to the fastest growing peer (Radico) given its larger, more mature base.</w:t>
      </w:r>
    </w:p>
    <w:p>
      <w:pPr>
        <w:spacing w:before="160" w:after="60"/>
      </w:pPr>
      <w:r>
        <w:rPr>
          <w:b/>
          <w:color w:val="13558C"/>
          <w:sz w:val="22"/>
        </w:rPr>
        <w:t>Rating scale</w:t>
      </w:r>
    </w:p>
    <w:p>
      <w:pPr>
        <w:spacing w:after="120"/>
        <w:jc w:val="both"/>
      </w:pPr>
      <w:r>
        <w:rPr>
          <w:b w:val="0"/>
          <w:i w:val="0"/>
          <w:sz w:val="19"/>
        </w:rPr>
        <w:t>HOLD means the expected return over the next 12 months is broadly in line with the broad market. BUY means meaningfully above the market, and SELL means meaningfully below the market. Add on dips means accumulate the stock if it falls into the stated price band.</w:t>
      </w:r>
    </w:p>
    <w:p>
      <w:pPr>
        <w:spacing w:before="160" w:after="60"/>
      </w:pPr>
      <w:r>
        <w:rPr>
          <w:b/>
          <w:color w:val="13558C"/>
          <w:sz w:val="22"/>
        </w:rPr>
        <w:t>Disclaimer</w:t>
      </w:r>
    </w:p>
    <w:p>
      <w:pPr>
        <w:spacing w:after="120"/>
        <w:jc w:val="both"/>
      </w:pPr>
      <w:r>
        <w:rPr>
          <w:b w:val="0"/>
          <w:i w:val="0"/>
          <w:sz w:val="18"/>
        </w:rPr>
        <w:t>This Stock Note has been prepared for an MBA Finance capstone and for illustration, following CFA Institute research reporting essentials. It is not investment advice and is not an offer or solicitation to buy or sell any security. Readers should take their own professional advice before investing. Financial data is taken from the uploaded model (United Spirits Excell.xlsx), the company filing (fy 2026.xlsx) and the FY2025 Annual Report. Industry, quarterly and macro information is taken from public sources that are cited in the text, including Diageo India results releases, IWSR, Economic Times, Livemint, CNBC TV18, Business Standard, Businessworld, NDTV Profit, The Hindu, Hindustan Times, The Spirits Business, Quartr, PRS and the Economic Survey. Third party content has been summarised in our own words to respect licensing rules. The author holds no position in the stock.</w:t>
      </w:r>
    </w:p>
    <w:sectPr w:rsidR="00FC693F" w:rsidRPr="0006063C" w:rsidSect="00034616">
      <w:footerReference w:type="default" r:id="rId2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5"/>
      </w:rPr>
      <w:t xml:space="preserve">United Spirits Ltd  |  Stock Note  |  HOLD, Base Case FV Rs 1,348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