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9BA1C" w14:textId="456E895F" w:rsidR="00890D9A" w:rsidRDefault="00964508" w:rsidP="00924984">
      <w:pPr>
        <w:pStyle w:val="berschrift1"/>
      </w:pPr>
      <w:r>
        <w:t>Ziel</w:t>
      </w:r>
    </w:p>
    <w:p w14:paraId="4E6EC584" w14:textId="418DBBBD" w:rsidR="00964508" w:rsidRDefault="00840895" w:rsidP="00964508">
      <w:r>
        <w:t xml:space="preserve">Der Showcase demonstriert </w:t>
      </w:r>
      <w:r w:rsidR="00964508">
        <w:t xml:space="preserve">die allgemeinen und Fähigkeiten des Cloud-DBMS Snowflake </w:t>
      </w:r>
      <w:r>
        <w:t>Daten zu laden. transformieren und zu präsentieren</w:t>
      </w:r>
      <w:r w:rsidR="00964508">
        <w:t>.</w:t>
      </w:r>
    </w:p>
    <w:p w14:paraId="5DE9FC57" w14:textId="40F47677" w:rsidR="00964508" w:rsidRDefault="00964508" w:rsidP="00964508">
      <w:r>
        <w:t>Der Showcase</w:t>
      </w:r>
      <w:r w:rsidR="00840895">
        <w:t xml:space="preserve"> lehnt sich an den 'A</w:t>
      </w:r>
      <w:proofErr w:type="spellStart"/>
      <w:r w:rsidR="00840895" w:rsidRPr="00840895">
        <w:rPr>
          <w:lang w:val="en-GB"/>
        </w:rPr>
        <w:t>tlas</w:t>
      </w:r>
      <w:proofErr w:type="spellEnd"/>
      <w:r w:rsidR="00840895" w:rsidRPr="00840895">
        <w:rPr>
          <w:lang w:val="en-GB"/>
        </w:rPr>
        <w:t xml:space="preserve"> of Economical Complexity</w:t>
      </w:r>
      <w:r w:rsidR="00840895">
        <w:t>' (AoEC) aus dem 'Harvard Dataverse' an (</w:t>
      </w:r>
      <w:hyperlink r:id="rId5" w:history="1">
        <w:r w:rsidR="00840895" w:rsidRPr="00706609">
          <w:rPr>
            <w:rStyle w:val="Hyperlink"/>
          </w:rPr>
          <w:t>https://dataverse.harvard.edu/dataverse/atlas</w:t>
        </w:r>
      </w:hyperlink>
      <w:r w:rsidR="00840895">
        <w:t>)</w:t>
      </w:r>
      <w:r w:rsidR="000B4920">
        <w:t>.</w:t>
      </w:r>
      <w:r w:rsidR="00840895">
        <w:t xml:space="preserve"> Die verwendeten Daten wurden aus diesem System bezogen</w:t>
      </w:r>
    </w:p>
    <w:p w14:paraId="7B6C2306" w14:textId="5D45ABB6" w:rsidR="00964508" w:rsidRDefault="00964508" w:rsidP="00964508">
      <w:r>
        <w:t>Technisch sollen die folgenden Aspekte demonstriert werden:</w:t>
      </w:r>
    </w:p>
    <w:p w14:paraId="2CC15525" w14:textId="5FA72D96" w:rsidR="00964508" w:rsidRDefault="00964508" w:rsidP="00964508">
      <w:pPr>
        <w:pStyle w:val="Listenabsatz"/>
        <w:numPr>
          <w:ilvl w:val="0"/>
          <w:numId w:val="2"/>
        </w:numPr>
      </w:pPr>
      <w:r>
        <w:t>Laden und Speichern großer Datenmengen in Snowflake mit relationalen Datenstrukturen</w:t>
      </w:r>
    </w:p>
    <w:p w14:paraId="1B50DA91" w14:textId="37BFAE68" w:rsidR="00840895" w:rsidRDefault="00840895" w:rsidP="00964508">
      <w:pPr>
        <w:pStyle w:val="Listenabsatz"/>
        <w:numPr>
          <w:ilvl w:val="0"/>
          <w:numId w:val="2"/>
        </w:numPr>
      </w:pPr>
      <w:r>
        <w:t>Laden aus Cloud-Systemen</w:t>
      </w:r>
    </w:p>
    <w:p w14:paraId="69E1930C" w14:textId="2B74ED18" w:rsidR="00964508" w:rsidRDefault="00840895" w:rsidP="00964508">
      <w:pPr>
        <w:pStyle w:val="Listenabsatz"/>
        <w:numPr>
          <w:ilvl w:val="0"/>
          <w:numId w:val="2"/>
        </w:numPr>
      </w:pPr>
      <w:r>
        <w:t>Konvertierung von speziellen Datenformaten, hier Stata Binärdaten.</w:t>
      </w:r>
    </w:p>
    <w:p w14:paraId="3812EC27" w14:textId="57FB1521" w:rsidR="00964508" w:rsidRDefault="00840895" w:rsidP="00964508">
      <w:pPr>
        <w:pStyle w:val="Listenabsatz"/>
        <w:numPr>
          <w:ilvl w:val="0"/>
          <w:numId w:val="2"/>
        </w:numPr>
      </w:pPr>
      <w:r>
        <w:t>Transformation der Daten in Strukturen, die für die Visualisierung optimiert sind.</w:t>
      </w:r>
    </w:p>
    <w:p w14:paraId="73350D6D" w14:textId="1B2F1807" w:rsidR="00964508" w:rsidRDefault="00840895" w:rsidP="00964508">
      <w:pPr>
        <w:pStyle w:val="Listenabsatz"/>
        <w:numPr>
          <w:ilvl w:val="0"/>
          <w:numId w:val="2"/>
        </w:numPr>
      </w:pPr>
      <w:r>
        <w:t>Visualisierung der Daten</w:t>
      </w:r>
    </w:p>
    <w:p w14:paraId="107B9B91" w14:textId="77777777" w:rsidR="00840895" w:rsidRDefault="00840895" w:rsidP="00964508">
      <w:r>
        <w:t xml:space="preserve">Darüber hinaus wird eine Architektur vorgestellt, die sowohl </w:t>
      </w:r>
    </w:p>
    <w:p w14:paraId="57F4D8F3" w14:textId="37A624C8" w:rsidR="00964508" w:rsidRDefault="00840895" w:rsidP="00840895">
      <w:pPr>
        <w:pStyle w:val="Listenabsatz"/>
        <w:numPr>
          <w:ilvl w:val="0"/>
          <w:numId w:val="14"/>
        </w:numPr>
      </w:pPr>
      <w:r>
        <w:t>Plattform unabhängig wie auch</w:t>
      </w:r>
    </w:p>
    <w:p w14:paraId="09DAD395" w14:textId="0DB0C49E" w:rsidR="00840895" w:rsidRDefault="00840895" w:rsidP="00840895">
      <w:pPr>
        <w:pStyle w:val="Listenabsatz"/>
        <w:numPr>
          <w:ilvl w:val="0"/>
          <w:numId w:val="14"/>
        </w:numPr>
      </w:pPr>
      <w:r>
        <w:t>unabhängig vom Visualisierungstool</w:t>
      </w:r>
    </w:p>
    <w:p w14:paraId="5BB594F1" w14:textId="2CD97025" w:rsidR="00840895" w:rsidRDefault="00840895" w:rsidP="00840895">
      <w:r>
        <w:t>ist.</w:t>
      </w:r>
    </w:p>
    <w:p w14:paraId="3E7592CB" w14:textId="77C165A2" w:rsidR="00964508" w:rsidRDefault="00964508" w:rsidP="00924984">
      <w:pPr>
        <w:pStyle w:val="berschrift1"/>
      </w:pPr>
      <w:r>
        <w:t>Umsetzung</w:t>
      </w:r>
    </w:p>
    <w:p w14:paraId="4D5C22A0" w14:textId="17D8AF00" w:rsidR="00964508" w:rsidRPr="00840895" w:rsidRDefault="00840895" w:rsidP="00964508">
      <w:pPr>
        <w:rPr>
          <w:i/>
          <w:iCs/>
          <w:color w:val="007BB8"/>
        </w:rPr>
      </w:pPr>
      <w:r w:rsidRPr="00840895">
        <w:rPr>
          <w:i/>
          <w:iCs/>
          <w:color w:val="007BB8"/>
        </w:rPr>
        <w:t>Hier Verweis auf die zu Grunde liegende Confluence Epic</w:t>
      </w:r>
    </w:p>
    <w:p w14:paraId="1A530637" w14:textId="77777777" w:rsidR="00964508" w:rsidRDefault="00964508" w:rsidP="00964508"/>
    <w:p w14:paraId="555647EF" w14:textId="77777777" w:rsidR="00607ECE" w:rsidRDefault="00607ECE">
      <w:pPr>
        <w:rPr>
          <w:rFonts w:asciiTheme="majorHAnsi" w:eastAsiaTheme="majorEastAsia" w:hAnsiTheme="majorHAnsi" w:cstheme="majorBidi"/>
          <w:color w:val="0F4761" w:themeColor="accent1" w:themeShade="BF"/>
          <w:sz w:val="40"/>
          <w:szCs w:val="40"/>
        </w:rPr>
      </w:pPr>
      <w:r>
        <w:br w:type="page"/>
      </w:r>
    </w:p>
    <w:p w14:paraId="718C7113" w14:textId="2C04F5CB" w:rsidR="00964508" w:rsidRDefault="00A967FA" w:rsidP="00924984">
      <w:pPr>
        <w:pStyle w:val="berschrift1"/>
      </w:pPr>
      <w:r>
        <w:lastRenderedPageBreak/>
        <w:t>Beschreibung</w:t>
      </w:r>
    </w:p>
    <w:p w14:paraId="618C28AD" w14:textId="14B74083" w:rsidR="00607ECE" w:rsidRDefault="00607ECE" w:rsidP="00247F93">
      <w:pPr>
        <w:pStyle w:val="berschrift2"/>
      </w:pPr>
      <w:r>
        <w:t>Fachliche Problemstellung</w:t>
      </w:r>
    </w:p>
    <w:p w14:paraId="31932DB0" w14:textId="26949B19" w:rsidR="00840895" w:rsidRPr="00840895" w:rsidRDefault="00840895" w:rsidP="00840895">
      <w:pPr>
        <w:rPr>
          <w:i/>
          <w:iCs/>
          <w:color w:val="007BB8"/>
        </w:rPr>
      </w:pPr>
      <w:r w:rsidRPr="00840895">
        <w:rPr>
          <w:i/>
          <w:iCs/>
          <w:color w:val="007BB8"/>
        </w:rPr>
        <w:t>Fachliche Beschreibung steht noch aus.</w:t>
      </w:r>
    </w:p>
    <w:p w14:paraId="19D88BB8" w14:textId="180746BD" w:rsidR="00607ECE" w:rsidRDefault="00607ECE" w:rsidP="001941C1">
      <w:pPr>
        <w:pStyle w:val="berschrift2"/>
        <w:pageBreakBefore/>
        <w:ind w:left="578" w:hanging="578"/>
      </w:pPr>
      <w:r>
        <w:lastRenderedPageBreak/>
        <w:t>Generelles Sys</w:t>
      </w:r>
      <w:r w:rsidR="000B6E4F">
        <w:t>t</w:t>
      </w:r>
      <w:r>
        <w:t>embeschreibung</w:t>
      </w:r>
    </w:p>
    <w:p w14:paraId="3B08AF36" w14:textId="770B6500" w:rsidR="00C9141D" w:rsidRDefault="00DD7686" w:rsidP="00247F93">
      <w:r>
        <w:t>Die Daten wurden aus dem AoEC-System kopiert und auf unterschiedlichen Plattformen abgelegt. Diese Plattformen sind:</w:t>
      </w:r>
    </w:p>
    <w:p w14:paraId="39D30898" w14:textId="4D1810A1" w:rsidR="00DD7686" w:rsidRDefault="00DD7686" w:rsidP="00DD7686">
      <w:pPr>
        <w:pStyle w:val="Listenabsatz"/>
        <w:numPr>
          <w:ilvl w:val="0"/>
          <w:numId w:val="15"/>
        </w:numPr>
      </w:pPr>
      <w:r>
        <w:t>Windows-Filesystem (PC)</w:t>
      </w:r>
    </w:p>
    <w:p w14:paraId="1D7282FE" w14:textId="5276AB2F" w:rsidR="00DD7686" w:rsidRDefault="00DD7686" w:rsidP="00DD7686">
      <w:pPr>
        <w:pStyle w:val="Listenabsatz"/>
        <w:numPr>
          <w:ilvl w:val="0"/>
          <w:numId w:val="15"/>
        </w:numPr>
      </w:pPr>
      <w:r>
        <w:t>Clous-System (AWS)</w:t>
      </w:r>
    </w:p>
    <w:p w14:paraId="68DD7437" w14:textId="5FB229FD" w:rsidR="00A967FA" w:rsidRDefault="00DD7686" w:rsidP="00247F93">
      <w:r>
        <w:t>Von dort werden sie in das Snowflake-System übertragen und in einer relationalen Tabellenstruktur (Database) abgelegt.</w:t>
      </w:r>
    </w:p>
    <w:p w14:paraId="4AC73BFC" w14:textId="785431B6" w:rsidR="00DD7686" w:rsidRDefault="00DD7686" w:rsidP="00247F93">
      <w:r>
        <w:t>Die Statistikdaten liegen in einem Binärformat vor, das für die Verarbeitung, insbes. Visualisierung, so nicht verwendet werden kann. Deshalb müssen diese Daten in ein ladbares Format konvertiert werden. Nachdem die Daten konvertiert und relational abgelegt sind, werden sie für die Visualisierung vorbereitet und dafür in einen Datamart geschrieben.</w:t>
      </w:r>
    </w:p>
    <w:p w14:paraId="6C8EB01D" w14:textId="30A29749" w:rsidR="00607ECE" w:rsidRDefault="00DD7686" w:rsidP="00247F93">
      <w:r>
        <w:t>Aus diesem Datamart bezieht die Visualisierungskomponente ihre Eingangsdaten und benötigt dann keine weiteren Ergänzungen oder Transformationen mehr.</w:t>
      </w:r>
    </w:p>
    <w:p w14:paraId="5C01360D" w14:textId="104BC3E5" w:rsidR="00DD7686" w:rsidRDefault="00D95B25" w:rsidP="00247F93">
      <w:pPr>
        <w:rPr>
          <w:noProof/>
        </w:rPr>
      </w:pPr>
      <w:r w:rsidRPr="00D95B25">
        <w:rPr>
          <w:noProof/>
        </w:rPr>
        <w:drawing>
          <wp:anchor distT="0" distB="0" distL="114300" distR="114300" simplePos="0" relativeHeight="251658240" behindDoc="0" locked="0" layoutInCell="1" allowOverlap="1" wp14:anchorId="5AFB2FFC" wp14:editId="666F5A5E">
            <wp:simplePos x="0" y="0"/>
            <wp:positionH relativeFrom="column">
              <wp:posOffset>-4445</wp:posOffset>
            </wp:positionH>
            <wp:positionV relativeFrom="paragraph">
              <wp:posOffset>-635</wp:posOffset>
            </wp:positionV>
            <wp:extent cx="5760720" cy="2861945"/>
            <wp:effectExtent l="0" t="0" r="0" b="0"/>
            <wp:wrapTopAndBottom/>
            <wp:docPr id="1810856612" name="Grafik 1" descr="Ein Bild, das Text, Diagramm,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56612" name="Grafik 1" descr="Ein Bild, das Text, Diagramm, Plan, technische Zeichnung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5760720" cy="2861945"/>
                    </a:xfrm>
                    <a:prstGeom prst="rect">
                      <a:avLst/>
                    </a:prstGeom>
                  </pic:spPr>
                </pic:pic>
              </a:graphicData>
            </a:graphic>
          </wp:anchor>
        </w:drawing>
      </w:r>
    </w:p>
    <w:p w14:paraId="4BC2B9DF" w14:textId="74047033" w:rsidR="00D95B25" w:rsidRDefault="00D95B25" w:rsidP="00D95B25">
      <w:pPr>
        <w:ind w:left="567" w:hanging="567"/>
      </w:pPr>
      <w:r w:rsidRPr="00D95B25">
        <w:rPr>
          <w:u w:val="single"/>
        </w:rPr>
        <w:t>Cloud AWS</w:t>
      </w:r>
      <w:r>
        <w:t>:</w:t>
      </w:r>
      <w:r>
        <w:tab/>
        <w:t>Dies kann auch ein anderes Cloud-System sein, wie z.B. MS Azure oder Google Clous Service.</w:t>
      </w:r>
    </w:p>
    <w:p w14:paraId="0BFED142" w14:textId="74C5666B" w:rsidR="00D95B25" w:rsidRDefault="00D95B25" w:rsidP="00D95B25">
      <w:pPr>
        <w:ind w:left="567" w:hanging="567"/>
      </w:pPr>
      <w:r>
        <w:rPr>
          <w:u w:val="single"/>
        </w:rPr>
        <w:t>Stage (extern)</w:t>
      </w:r>
      <w:r w:rsidRPr="00D95B25">
        <w:t>:</w:t>
      </w:r>
      <w:r>
        <w:tab/>
        <w:t>Die Daten aus der Cloud werden nicht physisch abgelegt, sondern es handelt sich nur um Verweise, die das Kopieren aus der Cloud ermöglichen. Hier fallenkeine Kosten für Datenspeicher an.</w:t>
      </w:r>
    </w:p>
    <w:p w14:paraId="3254D859" w14:textId="5113991B" w:rsidR="00D95B25" w:rsidRDefault="00D95B25" w:rsidP="00D95B25">
      <w:pPr>
        <w:ind w:left="567" w:hanging="567"/>
      </w:pPr>
      <w:r>
        <w:rPr>
          <w:u w:val="single"/>
        </w:rPr>
        <w:t>Stage (intern)</w:t>
      </w:r>
      <w:r w:rsidRPr="00D95B25">
        <w:t>:</w:t>
      </w:r>
      <w:r>
        <w:tab/>
        <w:t>Daten, die nicht in einem Clous-System abgelegt sind, müssen zuerst physisch in das Snowflake-System übertragen werden (Upload</w:t>
      </w:r>
      <w:proofErr w:type="gramStart"/>
      <w:r>
        <w:t>) ,</w:t>
      </w:r>
      <w:proofErr w:type="gramEnd"/>
      <w:r>
        <w:t xml:space="preserve"> damit sie dort verarbeitbar sind. Nach der Übertragung in die Datenbasis (Elementary Data) können die Daten aber wieder entfernt werden, um Kosten für Speicherplatz zu vermeiden.</w:t>
      </w:r>
    </w:p>
    <w:p w14:paraId="3831F467" w14:textId="31DC14E9" w:rsidR="00D95B25" w:rsidRDefault="00D95B25" w:rsidP="00D95B25">
      <w:pPr>
        <w:ind w:left="567" w:hanging="567"/>
      </w:pPr>
      <w:proofErr w:type="spellStart"/>
      <w:r>
        <w:rPr>
          <w:u w:val="single"/>
        </w:rPr>
        <w:t>Conversion</w:t>
      </w:r>
      <w:proofErr w:type="spellEnd"/>
      <w:r>
        <w:rPr>
          <w:u w:val="single"/>
        </w:rPr>
        <w:t xml:space="preserve"> &amp; Load</w:t>
      </w:r>
      <w:r w:rsidRPr="00D95B25">
        <w:t>:</w:t>
      </w:r>
      <w:r>
        <w:tab/>
        <w:t xml:space="preserve">Üblicherweise werden die binären Stata-Daten für allgemeine </w:t>
      </w:r>
      <w:r w:rsidR="00456D70">
        <w:t>System</w:t>
      </w:r>
      <w:r>
        <w:t xml:space="preserve"> (nicht-Stata) verfügbar gemacht, indem sie in CSV</w:t>
      </w:r>
      <w:r w:rsidR="00456D70">
        <w:t>-Files konvertiert werden. In Snowflake kann diese Konvertierung aber ohne explizite physische Ablage erfolgen, d.h. die Daten werden transient konvertiert und danach sofort, ohne dauerhaft gespeichert zu werden, in die Datenbanktabellen geschrieben.</w:t>
      </w:r>
    </w:p>
    <w:p w14:paraId="43764805" w14:textId="532CEC13" w:rsidR="00456D70" w:rsidRDefault="00456D70" w:rsidP="00D95B25">
      <w:pPr>
        <w:ind w:left="567" w:hanging="567"/>
      </w:pPr>
      <w:r>
        <w:rPr>
          <w:u w:val="single"/>
        </w:rPr>
        <w:lastRenderedPageBreak/>
        <w:t>Datamart</w:t>
      </w:r>
      <w:r w:rsidRPr="00456D70">
        <w:t>:</w:t>
      </w:r>
      <w:r>
        <w:tab/>
        <w:t xml:space="preserve">Der Datamart stellt eine einheitliche Schnittstelle für unterschiedliche Visualisierungstools dar. Damit können diese ohne besondere Funktionalitäten für eigene Transformationen auskommen. Als </w:t>
      </w:r>
      <w:proofErr w:type="spellStart"/>
      <w:r>
        <w:t>Visulaisierungstools</w:t>
      </w:r>
      <w:proofErr w:type="spellEnd"/>
      <w:r>
        <w:t xml:space="preserve"> sind angedacht:</w:t>
      </w:r>
    </w:p>
    <w:p w14:paraId="54735689" w14:textId="74E38FCB" w:rsidR="00456D70" w:rsidRDefault="00456D70" w:rsidP="00456D70">
      <w:pPr>
        <w:pStyle w:val="Listenabsatz"/>
        <w:numPr>
          <w:ilvl w:val="0"/>
          <w:numId w:val="16"/>
        </w:numPr>
      </w:pPr>
      <w:r>
        <w:t xml:space="preserve">Streamlit (Snowflake-eigens Dialog und </w:t>
      </w:r>
      <w:proofErr w:type="spellStart"/>
      <w:r>
        <w:t>datrstelungstool</w:t>
      </w:r>
      <w:proofErr w:type="spellEnd"/>
      <w:r>
        <w:t>)</w:t>
      </w:r>
    </w:p>
    <w:p w14:paraId="63EF23D5" w14:textId="26E99F01" w:rsidR="00456D70" w:rsidRDefault="00456D70" w:rsidP="00456D70">
      <w:pPr>
        <w:pStyle w:val="Listenabsatz"/>
        <w:numPr>
          <w:ilvl w:val="0"/>
          <w:numId w:val="16"/>
        </w:numPr>
      </w:pPr>
      <w:r>
        <w:t>Tableau</w:t>
      </w:r>
    </w:p>
    <w:p w14:paraId="02D593A4" w14:textId="0B4EDF6E" w:rsidR="00456D70" w:rsidRDefault="00456D70" w:rsidP="00456D70">
      <w:pPr>
        <w:pStyle w:val="Listenabsatz"/>
        <w:numPr>
          <w:ilvl w:val="0"/>
          <w:numId w:val="16"/>
        </w:numPr>
      </w:pPr>
      <w:r>
        <w:t>dbt</w:t>
      </w:r>
    </w:p>
    <w:p w14:paraId="05487015" w14:textId="1542FDC9" w:rsidR="00607ECE" w:rsidRDefault="00607ECE" w:rsidP="00247F93">
      <w:pPr>
        <w:pStyle w:val="berschrift2"/>
      </w:pPr>
      <w:r>
        <w:lastRenderedPageBreak/>
        <w:t>Fachliche Systembeschreibung</w:t>
      </w:r>
    </w:p>
    <w:p w14:paraId="666A58D2" w14:textId="42AC491F" w:rsidR="00607ECE" w:rsidRDefault="00607ECE" w:rsidP="00247F93">
      <w:r w:rsidRPr="00607ECE">
        <w:rPr>
          <w:noProof/>
        </w:rPr>
        <w:drawing>
          <wp:inline distT="0" distB="0" distL="0" distR="0" wp14:anchorId="667DF33D" wp14:editId="0CD6EB13">
            <wp:extent cx="5760720" cy="7511415"/>
            <wp:effectExtent l="0" t="0" r="0" b="0"/>
            <wp:docPr id="950468702" name="Grafik 1" descr="Ein Bild, das Text, Diagramm, Pla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68702" name="Grafik 1" descr="Ein Bild, das Text, Diagramm, Plan, Screenshot enthält.&#10;&#10;Automatisch generierte Beschreibung"/>
                    <pic:cNvPicPr/>
                  </pic:nvPicPr>
                  <pic:blipFill>
                    <a:blip r:embed="rId7"/>
                    <a:stretch>
                      <a:fillRect/>
                    </a:stretch>
                  </pic:blipFill>
                  <pic:spPr>
                    <a:xfrm>
                      <a:off x="0" y="0"/>
                      <a:ext cx="5760720" cy="7511415"/>
                    </a:xfrm>
                    <a:prstGeom prst="rect">
                      <a:avLst/>
                    </a:prstGeom>
                  </pic:spPr>
                </pic:pic>
              </a:graphicData>
            </a:graphic>
          </wp:inline>
        </w:drawing>
      </w:r>
    </w:p>
    <w:p w14:paraId="412A070E" w14:textId="77777777" w:rsidR="00607ECE" w:rsidRDefault="00607ECE" w:rsidP="00247F93"/>
    <w:p w14:paraId="116CE201" w14:textId="50300D5C" w:rsidR="00607ECE" w:rsidRDefault="00607ECE" w:rsidP="00247F93">
      <w:pPr>
        <w:pStyle w:val="berschrift2"/>
      </w:pPr>
      <w:r>
        <w:lastRenderedPageBreak/>
        <w:t>Architektur</w:t>
      </w:r>
      <w:r w:rsidR="00E220B2">
        <w:t xml:space="preserve"> des Showcase</w:t>
      </w:r>
    </w:p>
    <w:p w14:paraId="41658068" w14:textId="3FF7ED83" w:rsidR="00607ECE" w:rsidRDefault="009C725B" w:rsidP="00247F93">
      <w:r>
        <w:rPr>
          <w:noProof/>
        </w:rPr>
        <w:drawing>
          <wp:inline distT="0" distB="0" distL="0" distR="0" wp14:anchorId="255F8CF0" wp14:editId="5ABC2A02">
            <wp:extent cx="5760720" cy="6336030"/>
            <wp:effectExtent l="0" t="0" r="0" b="7620"/>
            <wp:docPr id="1100708344" name="Grafik 2" descr="Ein Bild, das Diagramm, Text, Entwurf,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08344" name="Grafik 2" descr="Ein Bild, das Diagramm, Text, Entwurf, Zeichnung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760720" cy="6336030"/>
                    </a:xfrm>
                    <a:prstGeom prst="rect">
                      <a:avLst/>
                    </a:prstGeom>
                  </pic:spPr>
                </pic:pic>
              </a:graphicData>
            </a:graphic>
          </wp:inline>
        </w:drawing>
      </w:r>
    </w:p>
    <w:p w14:paraId="163D88B0" w14:textId="67DD1B7D" w:rsidR="00924984" w:rsidRDefault="00924984" w:rsidP="00247F93"/>
    <w:p w14:paraId="220BF558" w14:textId="77777777" w:rsidR="00924984" w:rsidRDefault="00924984" w:rsidP="008405AE"/>
    <w:p w14:paraId="46D8024D" w14:textId="77777777" w:rsidR="000B4920" w:rsidRDefault="000B4920" w:rsidP="008405AE"/>
    <w:sectPr w:rsidR="000B49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70AC6"/>
    <w:multiLevelType w:val="hybridMultilevel"/>
    <w:tmpl w:val="DE8E77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A719C5"/>
    <w:multiLevelType w:val="multilevel"/>
    <w:tmpl w:val="40CC5C5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09302BF6"/>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365391D"/>
    <w:multiLevelType w:val="hybridMultilevel"/>
    <w:tmpl w:val="BE9270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5B7E0B"/>
    <w:multiLevelType w:val="multilevel"/>
    <w:tmpl w:val="3B0EF2BE"/>
    <w:styleLink w:val="Anhang"/>
    <w:lvl w:ilvl="0">
      <w:start w:val="1"/>
      <w:numFmt w:val="decimal"/>
      <w:lvlText w:val="Anha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2BE15F8"/>
    <w:multiLevelType w:val="hybridMultilevel"/>
    <w:tmpl w:val="09D824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99718D8"/>
    <w:multiLevelType w:val="hybridMultilevel"/>
    <w:tmpl w:val="BB9269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ED6E53"/>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1D46632"/>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4174EF4"/>
    <w:multiLevelType w:val="multilevel"/>
    <w:tmpl w:val="566A99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ABC3179"/>
    <w:multiLevelType w:val="hybridMultilevel"/>
    <w:tmpl w:val="E0AA9EB2"/>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7196863"/>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D1F1500"/>
    <w:multiLevelType w:val="hybridMultilevel"/>
    <w:tmpl w:val="90DA68BC"/>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3" w15:restartNumberingAfterBreak="0">
    <w:nsid w:val="71EB15E1"/>
    <w:multiLevelType w:val="hybridMultilevel"/>
    <w:tmpl w:val="23C46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4553575"/>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7B47445"/>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319960711">
    <w:abstractNumId w:val="4"/>
  </w:num>
  <w:num w:numId="2" w16cid:durableId="1729960077">
    <w:abstractNumId w:val="0"/>
  </w:num>
  <w:num w:numId="3" w16cid:durableId="214434586">
    <w:abstractNumId w:val="5"/>
  </w:num>
  <w:num w:numId="4" w16cid:durableId="572666472">
    <w:abstractNumId w:val="15"/>
  </w:num>
  <w:num w:numId="5" w16cid:durableId="508566211">
    <w:abstractNumId w:val="11"/>
  </w:num>
  <w:num w:numId="6" w16cid:durableId="630749080">
    <w:abstractNumId w:val="7"/>
  </w:num>
  <w:num w:numId="7" w16cid:durableId="1638342591">
    <w:abstractNumId w:val="2"/>
  </w:num>
  <w:num w:numId="8" w16cid:durableId="337195737">
    <w:abstractNumId w:val="14"/>
  </w:num>
  <w:num w:numId="9" w16cid:durableId="1076170577">
    <w:abstractNumId w:val="8"/>
  </w:num>
  <w:num w:numId="10" w16cid:durableId="1221868147">
    <w:abstractNumId w:val="1"/>
  </w:num>
  <w:num w:numId="11" w16cid:durableId="1191409440">
    <w:abstractNumId w:val="9"/>
  </w:num>
  <w:num w:numId="12" w16cid:durableId="2054232354">
    <w:abstractNumId w:val="13"/>
  </w:num>
  <w:num w:numId="13" w16cid:durableId="761609939">
    <w:abstractNumId w:val="10"/>
  </w:num>
  <w:num w:numId="14" w16cid:durableId="1334839260">
    <w:abstractNumId w:val="6"/>
  </w:num>
  <w:num w:numId="15" w16cid:durableId="1445230546">
    <w:abstractNumId w:val="3"/>
  </w:num>
  <w:num w:numId="16" w16cid:durableId="20507636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508"/>
    <w:rsid w:val="0000352C"/>
    <w:rsid w:val="000B4920"/>
    <w:rsid w:val="000B6E4F"/>
    <w:rsid w:val="001941C1"/>
    <w:rsid w:val="00247F93"/>
    <w:rsid w:val="00266879"/>
    <w:rsid w:val="00337F68"/>
    <w:rsid w:val="003A4D38"/>
    <w:rsid w:val="003C610C"/>
    <w:rsid w:val="003E14FD"/>
    <w:rsid w:val="00456D70"/>
    <w:rsid w:val="004A2A1D"/>
    <w:rsid w:val="00607D74"/>
    <w:rsid w:val="00607ECE"/>
    <w:rsid w:val="006549AA"/>
    <w:rsid w:val="006C2D76"/>
    <w:rsid w:val="008405AE"/>
    <w:rsid w:val="00840895"/>
    <w:rsid w:val="00890D9A"/>
    <w:rsid w:val="008B73BA"/>
    <w:rsid w:val="008E6E91"/>
    <w:rsid w:val="00924984"/>
    <w:rsid w:val="00964508"/>
    <w:rsid w:val="009A710D"/>
    <w:rsid w:val="009C725B"/>
    <w:rsid w:val="00A20A39"/>
    <w:rsid w:val="00A520F0"/>
    <w:rsid w:val="00A967FA"/>
    <w:rsid w:val="00B83154"/>
    <w:rsid w:val="00C9141D"/>
    <w:rsid w:val="00CB59D7"/>
    <w:rsid w:val="00D95B25"/>
    <w:rsid w:val="00DD7686"/>
    <w:rsid w:val="00E220B2"/>
    <w:rsid w:val="00FE2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E5AE"/>
  <w15:chartTrackingRefBased/>
  <w15:docId w15:val="{1BC208F9-CAE5-46D0-8B4E-550EFCA3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4508"/>
    <w:pPr>
      <w:keepNext/>
      <w:keepLines/>
      <w:numPr>
        <w:numId w:val="10"/>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64508"/>
    <w:pPr>
      <w:keepNext/>
      <w:keepLines/>
      <w:numPr>
        <w:ilvl w:val="1"/>
        <w:numId w:val="10"/>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64508"/>
    <w:pPr>
      <w:keepNext/>
      <w:keepLines/>
      <w:numPr>
        <w:ilvl w:val="2"/>
        <w:numId w:val="10"/>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64508"/>
    <w:pPr>
      <w:keepNext/>
      <w:keepLines/>
      <w:numPr>
        <w:ilvl w:val="3"/>
        <w:numId w:val="10"/>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64508"/>
    <w:pPr>
      <w:keepNext/>
      <w:keepLines/>
      <w:numPr>
        <w:ilvl w:val="4"/>
        <w:numId w:val="10"/>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64508"/>
    <w:pPr>
      <w:keepNext/>
      <w:keepLines/>
      <w:numPr>
        <w:ilvl w:val="5"/>
        <w:numId w:val="10"/>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4508"/>
    <w:pPr>
      <w:keepNext/>
      <w:keepLines/>
      <w:numPr>
        <w:ilvl w:val="6"/>
        <w:numId w:val="10"/>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64508"/>
    <w:pPr>
      <w:keepNext/>
      <w:keepLines/>
      <w:numPr>
        <w:ilvl w:val="7"/>
        <w:numId w:val="10"/>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4508"/>
    <w:pPr>
      <w:keepNext/>
      <w:keepLines/>
      <w:numPr>
        <w:ilvl w:val="8"/>
        <w:numId w:val="10"/>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Anhang">
    <w:name w:val="Anhang"/>
    <w:uiPriority w:val="99"/>
    <w:rsid w:val="00A520F0"/>
    <w:pPr>
      <w:numPr>
        <w:numId w:val="1"/>
      </w:numPr>
    </w:pPr>
  </w:style>
  <w:style w:type="character" w:customStyle="1" w:styleId="berschrift1Zchn">
    <w:name w:val="Überschrift 1 Zchn"/>
    <w:basedOn w:val="Absatz-Standardschriftart"/>
    <w:link w:val="berschrift1"/>
    <w:uiPriority w:val="9"/>
    <w:rsid w:val="0096450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6450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6450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6450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6450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6450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6450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6450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64508"/>
    <w:rPr>
      <w:rFonts w:eastAsiaTheme="majorEastAsia" w:cstheme="majorBidi"/>
      <w:color w:val="272727" w:themeColor="text1" w:themeTint="D8"/>
    </w:rPr>
  </w:style>
  <w:style w:type="paragraph" w:styleId="Titel">
    <w:name w:val="Title"/>
    <w:basedOn w:val="Standard"/>
    <w:next w:val="Standard"/>
    <w:link w:val="TitelZchn"/>
    <w:uiPriority w:val="10"/>
    <w:qFormat/>
    <w:rsid w:val="009645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450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6450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450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6450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64508"/>
    <w:rPr>
      <w:i/>
      <w:iCs/>
      <w:color w:val="404040" w:themeColor="text1" w:themeTint="BF"/>
    </w:rPr>
  </w:style>
  <w:style w:type="paragraph" w:styleId="Listenabsatz">
    <w:name w:val="List Paragraph"/>
    <w:basedOn w:val="Standard"/>
    <w:uiPriority w:val="34"/>
    <w:qFormat/>
    <w:rsid w:val="00964508"/>
    <w:pPr>
      <w:ind w:left="720"/>
      <w:contextualSpacing/>
    </w:pPr>
  </w:style>
  <w:style w:type="character" w:styleId="IntensiveHervorhebung">
    <w:name w:val="Intense Emphasis"/>
    <w:basedOn w:val="Absatz-Standardschriftart"/>
    <w:uiPriority w:val="21"/>
    <w:qFormat/>
    <w:rsid w:val="00964508"/>
    <w:rPr>
      <w:i/>
      <w:iCs/>
      <w:color w:val="0F4761" w:themeColor="accent1" w:themeShade="BF"/>
    </w:rPr>
  </w:style>
  <w:style w:type="paragraph" w:styleId="IntensivesZitat">
    <w:name w:val="Intense Quote"/>
    <w:basedOn w:val="Standard"/>
    <w:next w:val="Standard"/>
    <w:link w:val="IntensivesZitatZchn"/>
    <w:uiPriority w:val="30"/>
    <w:qFormat/>
    <w:rsid w:val="009645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64508"/>
    <w:rPr>
      <w:i/>
      <w:iCs/>
      <w:color w:val="0F4761" w:themeColor="accent1" w:themeShade="BF"/>
    </w:rPr>
  </w:style>
  <w:style w:type="character" w:styleId="IntensiverVerweis">
    <w:name w:val="Intense Reference"/>
    <w:basedOn w:val="Absatz-Standardschriftart"/>
    <w:uiPriority w:val="32"/>
    <w:qFormat/>
    <w:rsid w:val="00964508"/>
    <w:rPr>
      <w:b/>
      <w:bCs/>
      <w:smallCaps/>
      <w:color w:val="0F4761" w:themeColor="accent1" w:themeShade="BF"/>
      <w:spacing w:val="5"/>
    </w:rPr>
  </w:style>
  <w:style w:type="character" w:styleId="Hyperlink">
    <w:name w:val="Hyperlink"/>
    <w:basedOn w:val="Absatz-Standardschriftart"/>
    <w:uiPriority w:val="99"/>
    <w:unhideWhenUsed/>
    <w:rsid w:val="0000352C"/>
    <w:rPr>
      <w:color w:val="467886" w:themeColor="hyperlink"/>
      <w:u w:val="single"/>
    </w:rPr>
  </w:style>
  <w:style w:type="character" w:styleId="NichtaufgelsteErwhnung">
    <w:name w:val="Unresolved Mention"/>
    <w:basedOn w:val="Absatz-Standardschriftart"/>
    <w:uiPriority w:val="99"/>
    <w:semiHidden/>
    <w:unhideWhenUsed/>
    <w:rsid w:val="000035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98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verse.harvard.edu/dataverse/atla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442</Words>
  <Characters>2787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Balzer, Matthias</dc:creator>
  <cp:keywords/>
  <dc:description/>
  <cp:lastModifiedBy>Balzer, Matthias</cp:lastModifiedBy>
  <cp:revision>2</cp:revision>
  <dcterms:created xsi:type="dcterms:W3CDTF">2025-01-29T16:44:00Z</dcterms:created>
  <dcterms:modified xsi:type="dcterms:W3CDTF">2025-01-29T16:44:00Z</dcterms:modified>
</cp:coreProperties>
</file>