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FarmID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Unique identifier of the farm.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Schema: Text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Name of the crop corresponding to this observation.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Schema: Text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Name of the state in which the farm is located.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Schema: Text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District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Name of the district in which the farm is located.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Schema: Text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Sub-District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Name of the sub-district or mandal in which the farm is located.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Schema: Text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SDate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Sowing date of the crop, described in YYYY-MM-DD format, e.g., '2020-11-05'.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Schema: Text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HDate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Harvest date of the crop, described in YYYY-MM-DD format, e.g., '2020-11-05'.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Schema: Text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CropCoveredArea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Estimated percentage of the surface area covered with crop biomass.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Schema: Number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Text: Percent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CHeight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Height of the crop.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Schema: Number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Text: Feet (ft)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CNext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Name of the crop to be cultivated in the next season.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Schema: Text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Name of the crop cultivated in the previous season.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Schema: Text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CTransp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Condition or status of crop transpiration for the current observation.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Schema: Text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IrriType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Type of irrigation method used, such as drip, sprinkler, surface, etc.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Schema: Text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IrriSource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Source of irrigation, e.g., canal, borewell, rainfall, etc.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Schema: Text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IrriCount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Total number of times the farm has been irrigated.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Schema: Number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Text: Dimensionless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WaterCov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Estimated percentage of the area covered with water due to irrigation.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Schema: Number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Text: Percent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ExpYield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Expected yield from the cultivated farm.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Schema: Number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Text: Hundred weight (UK) per acre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Season in which the crop is cultivated.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Schema: Text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Physical coordinates or spatial geometry of the farm location.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Schema: MultiPolygon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