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pPr>
      <w:r>
        <w:rPr>
          <w:rFonts w:ascii="Calibri" w:cs="Calibri" w:eastAsia="Calibri" w:hAnsi="Calibri"/>
          <w:b/>
          <w:bCs/>
          <w:color w:val="5F6B66"/>
          <w:sz w:val="20"/>
          <w:szCs w:val="20"/>
        </w:rPr>
        <w:t xml:space="preserve">PLATEFORME NUMÉRIQUE DES PRODUCTEURS ET ORGANISATIONS DE PRODUCTEURS DE LA ZONE DES NIAYES</w:t>
      </w:r>
    </w:p>
    <w:p>
      <w:pPr>
        <w:spacing w:after="120"/>
      </w:pPr>
      <w:r>
        <w:rPr>
          <w:rFonts w:ascii="Calibri" w:cs="Calibri" w:eastAsia="Calibri" w:hAnsi="Calibri"/>
          <w:b/>
          <w:bCs/>
          <w:color w:val="1E5631"/>
          <w:sz w:val="72"/>
          <w:szCs w:val="72"/>
        </w:rPr>
        <w:t xml:space="preserve">Mbay Diaay</w:t>
      </w:r>
    </w:p>
    <w:p>
      <w:pPr>
        <w:pBdr>
          <w:bottom w:val="single" w:color="B8892B" w:sz="12" w:space="12"/>
        </w:pBdr>
        <w:spacing w:after="600"/>
      </w:pPr>
      <w:r>
        <w:rPr>
          <w:rFonts w:ascii="Calibri" w:cs="Calibri" w:eastAsia="Calibri" w:hAnsi="Calibri"/>
          <w:color w:val="B8892B"/>
          <w:sz w:val="40"/>
          <w:szCs w:val="40"/>
        </w:rPr>
        <w:t xml:space="preserve">Note de cadrage du projet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9D3CD" w:sz="4"/>
              <w:left w:val="single" w:color="C9D3CD" w:sz="4"/>
              <w:bottom w:val="single" w:color="C9D3CD" w:sz="4"/>
              <w:right w:val="single" w:color="C9D3CD" w:sz="4"/>
            </w:tcBorders>
            <w:shd w:fill="E8F1EA" w:color="auto" w:val="clear"/>
            <w:tcMar>
              <w:top w:type="dxa" w:w="60"/>
              <w:left w:type="dxa" w:w="100"/>
              <w:bottom w:type="dxa" w:w="60"/>
              <w:right w:type="dxa" w:w="100"/>
            </w:tcMar>
          </w:tcPr>
          <w:p>
            <w:r>
              <w:rPr>
                <w:rFonts w:ascii="Calibri" w:cs="Calibri" w:eastAsia="Calibri" w:hAnsi="Calibri"/>
                <w:b/>
                <w:bCs/>
                <w:color w:val="1E5631"/>
                <w:sz w:val="18"/>
                <w:szCs w:val="18"/>
              </w:rPr>
              <w:t xml:space="preserve">Maître d'ouvrage</w:t>
            </w:r>
          </w:p>
        </w:tc>
        <w:tc>
          <w:tcPr>
            <w:tcW w:type="dxa" w:w="68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30"/>
            </w:pPr>
            <w:r>
              <w:rPr>
                <w:rFonts w:ascii="Calibri" w:cs="Calibri" w:eastAsia="Calibri" w:hAnsi="Calibri"/>
                <w:sz w:val="18"/>
                <w:szCs w:val="18"/>
              </w:rPr>
              <w:t xml:space="preserve">CRADESC, Centre de Recherche et d'Action sur les Droits Économiques, Sociaux et Culturels</w:t>
            </w:r>
          </w:p>
        </w:tc>
      </w:tr>
      <w:tr>
        <w:tc>
          <w:tcPr>
            <w:tcW w:type="dxa" w:w="2800"/>
            <w:tcBorders>
              <w:top w:val="single" w:color="C9D3CD" w:sz="4"/>
              <w:left w:val="single" w:color="C9D3CD" w:sz="4"/>
              <w:bottom w:val="single" w:color="C9D3CD" w:sz="4"/>
              <w:right w:val="single" w:color="C9D3CD" w:sz="4"/>
            </w:tcBorders>
            <w:shd w:fill="E8F1EA" w:color="auto" w:val="clear"/>
            <w:tcMar>
              <w:top w:type="dxa" w:w="60"/>
              <w:left w:type="dxa" w:w="100"/>
              <w:bottom w:type="dxa" w:w="60"/>
              <w:right w:type="dxa" w:w="100"/>
            </w:tcMar>
          </w:tcPr>
          <w:p>
            <w:r>
              <w:rPr>
                <w:rFonts w:ascii="Calibri" w:cs="Calibri" w:eastAsia="Calibri" w:hAnsi="Calibri"/>
                <w:b/>
                <w:bCs/>
                <w:color w:val="1E5631"/>
                <w:sz w:val="18"/>
                <w:szCs w:val="18"/>
              </w:rPr>
              <w:t xml:space="preserve">Titulaire de la mission</w:t>
            </w:r>
          </w:p>
        </w:tc>
        <w:tc>
          <w:tcPr>
            <w:tcW w:type="dxa" w:w="68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30"/>
            </w:pPr>
            <w:r>
              <w:rPr>
                <w:rFonts w:ascii="Calibri" w:cs="Calibri" w:eastAsia="Calibri" w:hAnsi="Calibri"/>
                <w:sz w:val="18"/>
                <w:szCs w:val="18"/>
              </w:rPr>
              <w:t xml:space="preserve">Cabinet Ndiaye Agro Service (CANAS), Dakar</w:t>
            </w:r>
          </w:p>
        </w:tc>
      </w:tr>
      <w:tr>
        <w:tc>
          <w:tcPr>
            <w:tcW w:type="dxa" w:w="2800"/>
            <w:tcBorders>
              <w:top w:val="single" w:color="C9D3CD" w:sz="4"/>
              <w:left w:val="single" w:color="C9D3CD" w:sz="4"/>
              <w:bottom w:val="single" w:color="C9D3CD" w:sz="4"/>
              <w:right w:val="single" w:color="C9D3CD" w:sz="4"/>
            </w:tcBorders>
            <w:shd w:fill="E8F1EA" w:color="auto" w:val="clear"/>
            <w:tcMar>
              <w:top w:type="dxa" w:w="60"/>
              <w:left w:type="dxa" w:w="100"/>
              <w:bottom w:type="dxa" w:w="60"/>
              <w:right w:type="dxa" w:w="100"/>
            </w:tcMar>
          </w:tcPr>
          <w:p>
            <w:r>
              <w:rPr>
                <w:rFonts w:ascii="Calibri" w:cs="Calibri" w:eastAsia="Calibri" w:hAnsi="Calibri"/>
                <w:b/>
                <w:bCs/>
                <w:color w:val="1E5631"/>
                <w:sz w:val="18"/>
                <w:szCs w:val="18"/>
              </w:rPr>
              <w:t xml:space="preserve">Document préparé par</w:t>
            </w:r>
          </w:p>
        </w:tc>
        <w:tc>
          <w:tcPr>
            <w:tcW w:type="dxa" w:w="68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30"/>
            </w:pPr>
            <w:r>
              <w:rPr>
                <w:rFonts w:ascii="Calibri" w:cs="Calibri" w:eastAsia="Calibri" w:hAnsi="Calibri"/>
                <w:sz w:val="18"/>
                <w:szCs w:val="18"/>
              </w:rPr>
              <w:t xml:space="preserve">Direction technique du projet (Lead technique)</w:t>
            </w:r>
          </w:p>
        </w:tc>
      </w:tr>
      <w:tr>
        <w:tc>
          <w:tcPr>
            <w:tcW w:type="dxa" w:w="2800"/>
            <w:tcBorders>
              <w:top w:val="single" w:color="C9D3CD" w:sz="4"/>
              <w:left w:val="single" w:color="C9D3CD" w:sz="4"/>
              <w:bottom w:val="single" w:color="C9D3CD" w:sz="4"/>
              <w:right w:val="single" w:color="C9D3CD" w:sz="4"/>
            </w:tcBorders>
            <w:shd w:fill="E8F1EA" w:color="auto" w:val="clear"/>
            <w:tcMar>
              <w:top w:type="dxa" w:w="60"/>
              <w:left w:type="dxa" w:w="100"/>
              <w:bottom w:type="dxa" w:w="60"/>
              <w:right w:type="dxa" w:w="100"/>
            </w:tcMar>
          </w:tcPr>
          <w:p>
            <w:r>
              <w:rPr>
                <w:rFonts w:ascii="Calibri" w:cs="Calibri" w:eastAsia="Calibri" w:hAnsi="Calibri"/>
                <w:b/>
                <w:bCs/>
                <w:color w:val="1E5631"/>
                <w:sz w:val="18"/>
                <w:szCs w:val="18"/>
              </w:rPr>
              <w:t xml:space="preserve">Version</w:t>
            </w:r>
          </w:p>
        </w:tc>
        <w:tc>
          <w:tcPr>
            <w:tcW w:type="dxa" w:w="68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30"/>
            </w:pPr>
            <w:r>
              <w:rPr>
                <w:rFonts w:ascii="Calibri" w:cs="Calibri" w:eastAsia="Calibri" w:hAnsi="Calibri"/>
                <w:sz w:val="18"/>
                <w:szCs w:val="18"/>
              </w:rPr>
              <w:t xml:space="preserve">1.0, version soumise à validation</w:t>
            </w:r>
          </w:p>
        </w:tc>
      </w:tr>
      <w:tr>
        <w:tc>
          <w:tcPr>
            <w:tcW w:type="dxa" w:w="2800"/>
            <w:tcBorders>
              <w:top w:val="single" w:color="C9D3CD" w:sz="4"/>
              <w:left w:val="single" w:color="C9D3CD" w:sz="4"/>
              <w:bottom w:val="single" w:color="C9D3CD" w:sz="4"/>
              <w:right w:val="single" w:color="C9D3CD" w:sz="4"/>
            </w:tcBorders>
            <w:shd w:fill="E8F1EA" w:color="auto" w:val="clear"/>
            <w:tcMar>
              <w:top w:type="dxa" w:w="60"/>
              <w:left w:type="dxa" w:w="100"/>
              <w:bottom w:type="dxa" w:w="60"/>
              <w:right w:type="dxa" w:w="100"/>
            </w:tcMar>
          </w:tcPr>
          <w:p>
            <w:r>
              <w:rPr>
                <w:rFonts w:ascii="Calibri" w:cs="Calibri" w:eastAsia="Calibri" w:hAnsi="Calibri"/>
                <w:b/>
                <w:bCs/>
                <w:color w:val="1E5631"/>
                <w:sz w:val="18"/>
                <w:szCs w:val="18"/>
              </w:rPr>
              <w:t xml:space="preserve">Date</w:t>
            </w:r>
          </w:p>
        </w:tc>
        <w:tc>
          <w:tcPr>
            <w:tcW w:type="dxa" w:w="68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30"/>
            </w:pPr>
            <w:r>
              <w:rPr>
                <w:rFonts w:ascii="Calibri" w:cs="Calibri" w:eastAsia="Calibri" w:hAnsi="Calibri"/>
                <w:sz w:val="18"/>
                <w:szCs w:val="18"/>
              </w:rPr>
              <w:t xml:space="preserve">24 septembre 2026</w:t>
            </w:r>
          </w:p>
        </w:tc>
      </w:tr>
      <w:tr>
        <w:tc>
          <w:tcPr>
            <w:tcW w:type="dxa" w:w="2800"/>
            <w:tcBorders>
              <w:top w:val="single" w:color="C9D3CD" w:sz="4"/>
              <w:left w:val="single" w:color="C9D3CD" w:sz="4"/>
              <w:bottom w:val="single" w:color="C9D3CD" w:sz="4"/>
              <w:right w:val="single" w:color="C9D3CD" w:sz="4"/>
            </w:tcBorders>
            <w:shd w:fill="E8F1EA" w:color="auto" w:val="clear"/>
            <w:tcMar>
              <w:top w:type="dxa" w:w="60"/>
              <w:left w:type="dxa" w:w="100"/>
              <w:bottom w:type="dxa" w:w="60"/>
              <w:right w:type="dxa" w:w="100"/>
            </w:tcMar>
          </w:tcPr>
          <w:p>
            <w:r>
              <w:rPr>
                <w:rFonts w:ascii="Calibri" w:cs="Calibri" w:eastAsia="Calibri" w:hAnsi="Calibri"/>
                <w:b/>
                <w:bCs/>
                <w:color w:val="1E5631"/>
                <w:sz w:val="18"/>
                <w:szCs w:val="18"/>
              </w:rPr>
              <w:t xml:space="preserve">Diffusion</w:t>
            </w:r>
          </w:p>
        </w:tc>
        <w:tc>
          <w:tcPr>
            <w:tcW w:type="dxa" w:w="68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30"/>
            </w:pPr>
            <w:r>
              <w:rPr>
                <w:rFonts w:ascii="Calibri" w:cs="Calibri" w:eastAsia="Calibri" w:hAnsi="Calibri"/>
                <w:sz w:val="18"/>
                <w:szCs w:val="18"/>
              </w:rPr>
              <w:t xml:space="preserve">CRADESC, CANAS, équipe projet. Document confidentiel.</w:t>
            </w:r>
          </w:p>
        </w:tc>
      </w:tr>
    </w:tbl>
    <w:p>
      <w:pPr>
        <w:spacing w:after="160"/>
      </w:pPr>
    </w:p>
    <w:p>
      <w:pPr>
        <w:sectPr>
          <w:pgSz w:w="11906" w:h="16838" w:orient="portrait"/>
          <w:pgMar w:top="1134" w:right="1134" w:bottom="1134" w:left="1134" w:header="708" w:footer="708" w:gutter="0"/>
          <w:pgNumType/>
          <w:docGrid w:linePitch="360"/>
        </w:sectPr>
      </w:pPr>
    </w:p>
    <w:p>
      <w:pPr>
        <w:pStyle w:val="Heading1"/>
      </w:pPr>
      <w:r>
        <w:t xml:space="preserve">Fiche de suivi du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9D3CD" w:sz="4"/>
              <w:left w:val="single" w:color="C9D3CD" w:sz="4"/>
              <w:bottom w:val="single" w:color="C9D3CD" w:sz="4"/>
              <w:right w:val="single" w:color="C9D3CD" w:sz="4"/>
            </w:tcBorders>
            <w:shd w:fill="E8F1EA" w:color="auto" w:val="clear"/>
            <w:tcMar>
              <w:top w:type="dxa" w:w="60"/>
              <w:left w:type="dxa" w:w="100"/>
              <w:bottom w:type="dxa" w:w="60"/>
              <w:right w:type="dxa" w:w="100"/>
            </w:tcMar>
          </w:tcPr>
          <w:p>
            <w:r>
              <w:rPr>
                <w:rFonts w:ascii="Calibri" w:cs="Calibri" w:eastAsia="Calibri" w:hAnsi="Calibri"/>
                <w:b/>
                <w:bCs/>
                <w:color w:val="1E5631"/>
                <w:sz w:val="18"/>
                <w:szCs w:val="18"/>
              </w:rPr>
              <w:t xml:space="preserve">Objet</w:t>
            </w:r>
          </w:p>
        </w:tc>
        <w:tc>
          <w:tcPr>
            <w:tcW w:type="dxa" w:w="68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30"/>
            </w:pPr>
            <w:r>
              <w:rPr>
                <w:rFonts w:ascii="Calibri" w:cs="Calibri" w:eastAsia="Calibri" w:hAnsi="Calibri"/>
                <w:sz w:val="18"/>
                <w:szCs w:val="18"/>
              </w:rPr>
              <w:t xml:space="preserve">Cadrage du projet Mbay Diaay : objectifs, périmètre, solution proposée, organisation, planning, livrables et prérequis au démarrage du développement.</w:t>
            </w:r>
          </w:p>
        </w:tc>
      </w:tr>
      <w:tr>
        <w:tc>
          <w:tcPr>
            <w:tcW w:type="dxa" w:w="2800"/>
            <w:tcBorders>
              <w:top w:val="single" w:color="C9D3CD" w:sz="4"/>
              <w:left w:val="single" w:color="C9D3CD" w:sz="4"/>
              <w:bottom w:val="single" w:color="C9D3CD" w:sz="4"/>
              <w:right w:val="single" w:color="C9D3CD" w:sz="4"/>
            </w:tcBorders>
            <w:shd w:fill="E8F1EA" w:color="auto" w:val="clear"/>
            <w:tcMar>
              <w:top w:type="dxa" w:w="60"/>
              <w:left w:type="dxa" w:w="100"/>
              <w:bottom w:type="dxa" w:w="60"/>
              <w:right w:type="dxa" w:w="100"/>
            </w:tcMar>
          </w:tcPr>
          <w:p>
            <w:r>
              <w:rPr>
                <w:rFonts w:ascii="Calibri" w:cs="Calibri" w:eastAsia="Calibri" w:hAnsi="Calibri"/>
                <w:b/>
                <w:bCs/>
                <w:color w:val="1E5631"/>
                <w:sz w:val="18"/>
                <w:szCs w:val="18"/>
              </w:rPr>
              <w:t xml:space="preserve">Documents de référence</w:t>
            </w:r>
          </w:p>
        </w:tc>
        <w:tc>
          <w:tcPr>
            <w:tcW w:type="dxa" w:w="68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30"/>
            </w:pPr>
            <w:r>
              <w:rPr>
                <w:rFonts w:ascii="Calibri" w:cs="Calibri" w:eastAsia="Calibri" w:hAnsi="Calibri"/>
                <w:sz w:val="18"/>
                <w:szCs w:val="18"/>
              </w:rPr>
              <w:t xml:space="preserve">[OT] Offre technique CANAS, « Conception et mise en place d'une plateforme numérique des producteurs et organisations de producteurs de la Zone des Niayes », 18 juin 2026.</w:t>
            </w:r>
          </w:p>
          <w:p>
            <w:pPr>
              <w:spacing w:after="30"/>
            </w:pPr>
            <w:r>
              <w:rPr>
                <w:rFonts w:ascii="Calibri" w:cs="Calibri" w:eastAsia="Calibri" w:hAnsi="Calibri"/>
                <w:sz w:val="18"/>
                <w:szCs w:val="18"/>
              </w:rPr>
              <w:t xml:space="preserve">[PR] Présentation condensée de l'offre technique et financière au CRADESC.</w:t>
            </w:r>
          </w:p>
          <w:p>
            <w:pPr>
              <w:spacing w:after="30"/>
            </w:pPr>
            <w:r>
              <w:rPr>
                <w:rFonts w:ascii="Calibri" w:cs="Calibri" w:eastAsia="Calibri" w:hAnsi="Calibri"/>
                <w:sz w:val="18"/>
                <w:szCs w:val="18"/>
              </w:rPr>
              <w:t xml:space="preserve">[CP] Document de cadrage préliminaire (première lecture technique du projet).</w:t>
            </w:r>
          </w:p>
          <w:p>
            <w:pPr>
              <w:spacing w:after="30"/>
            </w:pPr>
            <w:r>
              <w:rPr>
                <w:rFonts w:ascii="Calibri" w:cs="Calibri" w:eastAsia="Calibri" w:hAnsi="Calibri"/>
                <w:sz w:val="18"/>
                <w:szCs w:val="18"/>
              </w:rPr>
              <w:t xml:space="preserve">[ÉC] Échanges avec le client postérieurs à l'offre.</w:t>
            </w:r>
          </w:p>
        </w:tc>
      </w:tr>
      <w:tr>
        <w:tc>
          <w:tcPr>
            <w:tcW w:type="dxa" w:w="2800"/>
            <w:tcBorders>
              <w:top w:val="single" w:color="C9D3CD" w:sz="4"/>
              <w:left w:val="single" w:color="C9D3CD" w:sz="4"/>
              <w:bottom w:val="single" w:color="C9D3CD" w:sz="4"/>
              <w:right w:val="single" w:color="C9D3CD" w:sz="4"/>
            </w:tcBorders>
            <w:shd w:fill="E8F1EA" w:color="auto" w:val="clear"/>
            <w:tcMar>
              <w:top w:type="dxa" w:w="60"/>
              <w:left w:type="dxa" w:w="100"/>
              <w:bottom w:type="dxa" w:w="60"/>
              <w:right w:type="dxa" w:w="100"/>
            </w:tcMar>
          </w:tcPr>
          <w:p>
            <w:r>
              <w:rPr>
                <w:rFonts w:ascii="Calibri" w:cs="Calibri" w:eastAsia="Calibri" w:hAnsi="Calibri"/>
                <w:b/>
                <w:bCs/>
                <w:color w:val="1E5631"/>
                <w:sz w:val="18"/>
                <w:szCs w:val="18"/>
              </w:rPr>
              <w:t xml:space="preserve">Statut</w:t>
            </w:r>
          </w:p>
        </w:tc>
        <w:tc>
          <w:tcPr>
            <w:tcW w:type="dxa" w:w="6838"/>
            <w:tcBorders>
              <w:top w:val="single" w:color="C9D3CD" w:sz="4"/>
              <w:left w:val="single" w:color="C9D3CD" w:sz="4"/>
              <w:bottom w:val="single" w:color="C9D3CD" w:sz="4"/>
              <w:right w:val="single" w:color="C9D3CD" w:sz="4"/>
            </w:tcBorders>
            <w:tcMar>
              <w:top w:type="dxa" w:w="60"/>
              <w:left w:type="dxa" w:w="100"/>
              <w:bottom w:type="dxa" w:w="60"/>
              <w:right w:type="dxa" w:w="100"/>
            </w:tcMar>
          </w:tcPr>
          <w:p>
            <w:pPr>
              <w:spacing w:after="30"/>
            </w:pPr>
            <w:r>
              <w:rPr>
                <w:rFonts w:ascii="Calibri" w:cs="Calibri" w:eastAsia="Calibri" w:hAnsi="Calibri"/>
                <w:sz w:val="18"/>
                <w:szCs w:val="18"/>
              </w:rPr>
              <w:t xml:space="preserve">Pour validation par le CRADESC et le CANAS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400"/>
        <w:gridCol w:w="4538"/>
      </w:tblGrid>
      <w:tr>
        <w:trPr>
          <w:tblHeader/>
        </w:trPr>
        <w:tc>
          <w:tcPr>
            <w:tcW w:type="dxa" w:w="12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Version</w:t>
            </w:r>
          </w:p>
        </w:tc>
        <w:tc>
          <w:tcPr>
            <w:tcW w:type="dxa" w:w="15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Date</w:t>
            </w:r>
          </w:p>
        </w:tc>
        <w:tc>
          <w:tcPr>
            <w:tcW w:type="dxa" w:w="2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Auteur</w:t>
            </w:r>
          </w:p>
        </w:tc>
        <w:tc>
          <w:tcPr>
            <w:tcW w:type="dxa" w:w="45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Nature des modifications</w:t>
            </w:r>
          </w:p>
        </w:tc>
      </w:tr>
      <w:tr>
        <w:trPr>
          <w:cantSplit/>
        </w:trPr>
        <w:tc>
          <w:tcPr>
            <w:tcW w:type="dxa" w:w="1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0.1</w:t>
            </w:r>
          </w:p>
        </w:tc>
        <w:tc>
          <w:tcPr>
            <w:tcW w:type="dxa" w:w="1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24/09/2026</w:t>
            </w:r>
          </w:p>
        </w:tc>
        <w:tc>
          <w:tcPr>
            <w:tcW w:type="dxa" w:w="2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Direction technique</w:t>
            </w:r>
          </w:p>
        </w:tc>
        <w:tc>
          <w:tcPr>
            <w:tcW w:type="dxa" w:w="45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Brief de cadrage interne consolidé</w:t>
            </w:r>
          </w:p>
        </w:tc>
      </w:tr>
      <w:tr>
        <w:trPr>
          <w:cantSplit/>
        </w:trPr>
        <w:tc>
          <w:tcPr>
            <w:tcW w:type="dxa" w:w="1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1.0</w:t>
            </w:r>
          </w:p>
        </w:tc>
        <w:tc>
          <w:tcPr>
            <w:tcW w:type="dxa" w:w="1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24/09/2026</w:t>
            </w:r>
          </w:p>
        </w:tc>
        <w:tc>
          <w:tcPr>
            <w:tcW w:type="dxa" w:w="2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Direction technique</w:t>
            </w:r>
          </w:p>
        </w:tc>
        <w:tc>
          <w:tcPr>
            <w:tcW w:type="dxa" w:w="45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Note de cadrage soumise à validation</w:t>
            </w:r>
          </w:p>
        </w:tc>
      </w:tr>
    </w:tbl>
    <w:p>
      <w:pPr>
        <w:spacing w:after="140"/>
      </w:pPr>
    </w:p>
    <w:p>
      <w:pPr>
        <w:pStyle w:val="Heading2"/>
      </w:pPr>
      <w:r>
        <w:t xml:space="preserve">Convention de lecture</w:t>
      </w:r>
    </w:p>
    <w:p>
      <w:pPr>
        <w:spacing w:after="120" w:line="276"/>
        <w:jc w:val="both"/>
      </w:pPr>
      <w:r>
        <w:rPr>
          <w:rFonts w:ascii="Calibri" w:cs="Calibri" w:eastAsia="Calibri" w:hAnsi="Calibri"/>
        </w:rPr>
        <w:t xml:space="preserve">Afin de ne considérer comme acquis que ce qui a effectivement été établi, chaque élément structurant de la présente note est qualifié par l'un des trois statuts suivants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Statut</w:t>
            </w:r>
          </w:p>
        </w:tc>
        <w:tc>
          <w:tcPr>
            <w:tcW w:type="dxa" w:w="80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Signification</w:t>
            </w:r>
          </w:p>
        </w:tc>
      </w:tr>
      <w:tr>
        <w:trPr>
          <w:cantSplit/>
        </w:trPr>
        <w:tc>
          <w:tcPr>
            <w:tcW w:type="dxa" w:w="16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c>
          <w:tcPr>
            <w:tcW w:type="dxa" w:w="80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Élément établi dans les documents de référence ou communiqué par le client. La source est indiquée entre crochets ([OT], [PR], [CP], [ÉC]).</w:t>
            </w:r>
          </w:p>
        </w:tc>
      </w:tr>
      <w:tr>
        <w:trPr>
          <w:cantSplit/>
        </w:trPr>
        <w:tc>
          <w:tcPr>
            <w:tcW w:type="dxa" w:w="16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c>
          <w:tcPr>
            <w:tcW w:type="dxa" w:w="80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Solution, méthode ou organisation recommandée par l'équipe projet. Elle n'engage pas le client tant qu'elle n'a pas été validée.</w:t>
            </w:r>
          </w:p>
        </w:tc>
      </w:tr>
      <w:tr>
        <w:trPr>
          <w:cantSplit/>
        </w:trPr>
        <w:tc>
          <w:tcPr>
            <w:tcW w:type="dxa" w:w="1600"/>
            <w:tcBorders>
              <w:top w:val="single" w:color="C9D3CD" w:sz="4"/>
              <w:left w:val="single" w:color="C9D3CD" w:sz="4"/>
              <w:bottom w:val="single" w:color="C9D3CD" w:sz="4"/>
              <w:right w:val="single" w:color="C9D3CD" w:sz="4"/>
            </w:tcBorders>
            <w:shd w:fill="FBE8D3" w:color="auto" w:val="clear"/>
            <w:tcMar>
              <w:top w:type="dxa" w:w="60"/>
              <w:left w:type="dxa" w:w="100"/>
              <w:bottom w:type="dxa" w:w="60"/>
              <w:right w:type="dxa" w:w="100"/>
            </w:tcMar>
            <w:vAlign w:val="center"/>
          </w:tcPr>
          <w:p>
            <w:pPr>
              <w:jc w:val="center"/>
            </w:pPr>
            <w:r>
              <w:rPr>
                <w:rFonts w:ascii="Calibri" w:cs="Calibri" w:eastAsia="Calibri" w:hAnsi="Calibri"/>
                <w:b/>
                <w:bCs/>
                <w:color w:val="9A5300"/>
                <w:sz w:val="17"/>
                <w:szCs w:val="17"/>
              </w:rPr>
              <w:t xml:space="preserve">À valider</w:t>
            </w:r>
          </w:p>
        </w:tc>
        <w:tc>
          <w:tcPr>
            <w:tcW w:type="dxa" w:w="80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Information manquante, point à préciser ou décision à prendre avec le CRADESC et/ou le CANAS. Chaque point est repris dans le registre du chapitre 17 ou dans la liste des informations attendues du chapitre 16.</w:t>
            </w:r>
          </w:p>
        </w:tc>
      </w:tr>
    </w:tbl>
    <w:p>
      <w:pPr>
        <w:spacing w:after="140"/>
      </w:pPr>
    </w:p>
    <w:p>
      <w:pPr>
        <w:pBdr>
          <w:left w:val="single" w:color="9A5300" w:sz="24" w:space="8"/>
        </w:pBdr>
        <w:shd w:fill="FBE8D3" w:color="auto" w:val="clear"/>
        <w:spacing w:after="160" w:before="120" w:line="264"/>
        <w:ind w:left="170" w:right="113"/>
      </w:pPr>
      <w:r>
        <w:rPr>
          <w:rFonts w:ascii="Calibri" w:cs="Calibri" w:eastAsia="Calibri" w:hAnsi="Calibri"/>
          <w:b/>
          <w:bCs/>
          <w:color w:val="9A5300"/>
        </w:rPr>
        <w:t xml:space="preserve">Précision. </w:t>
      </w:r>
      <w:r>
        <w:rPr>
          <w:rFonts w:ascii="Calibri" w:cs="Calibri" w:eastAsia="Calibri" w:hAnsi="Calibri"/>
        </w:rPr>
        <w:t xml:space="preserve">Un élément « confirmé » l'est au sens où il figure dans un document de référence. Les termes de référence du CRADESC et le contrat signé n'ayant pas encore été communiqués à l'équipe projet, certains engagements de l'offre restent à rapprocher de ces documents (voir INF 01 et INF 02).</w:t>
      </w:r>
    </w:p>
    <w:p>
      <w:r>
        <w:br w:type="page"/>
      </w:r>
    </w:p>
    <w:p>
      <w:pPr>
        <w:spacing w:after="200"/>
      </w:pPr>
      <w:r>
        <w:rPr>
          <w:rFonts w:ascii="Calibri" w:cs="Calibri" w:eastAsia="Calibri" w:hAnsi="Calibri"/>
          <w:b/>
          <w:bCs/>
          <w:color w:val="1E5631"/>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Synthèse</w:t>
      </w:r>
    </w:p>
    <w:p>
      <w:pPr>
        <w:spacing w:after="120" w:line="276"/>
        <w:jc w:val="both"/>
      </w:pPr>
      <w:r>
        <w:rPr>
          <w:rFonts w:ascii="Calibri" w:cs="Calibri" w:eastAsia="Calibri" w:hAnsi="Calibri"/>
          <w:b/>
          <w:bCs/>
        </w:rPr>
        <w:t xml:space="preserve">Mbay Diaay</w:t>
      </w:r>
      <w:r>
        <w:rPr>
          <w:rFonts w:ascii="Calibri" w:cs="Calibri" w:eastAsia="Calibri" w:hAnsi="Calibri"/>
        </w:rPr>
        <w:t xml:space="preserve"> est une plateforme numérique intégrée destinée aux producteurs maraîchers de la Zone des Niayes, aux dix sociétés coopératives créées dans le cadre du projet de redynamisation des organisations de producteurs porté par le CRADESC, et à leur faîtière. Elle vise à réunir dans un même système la connaissance des membres, le suivi des parcelles et des campagnes agricoles, les données économiques et commerciales, ainsi que la cartographie des zones de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6538"/>
        <w:gridCol w:w="1400"/>
      </w:tblGrid>
      <w:tr>
        <w:trPr>
          <w:tblHeader/>
        </w:trPr>
        <w:tc>
          <w:tcPr>
            <w:tcW w:type="dxa" w:w="17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Question</w:t>
            </w:r>
          </w:p>
        </w:tc>
        <w:tc>
          <w:tcPr>
            <w:tcW w:type="dxa" w:w="65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Réponse synthétique</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Statut</w:t>
            </w:r>
          </w:p>
        </w:tc>
      </w:tr>
      <w:tr>
        <w:trPr>
          <w:cantSplit/>
        </w:trPr>
        <w:tc>
          <w:tcPr>
            <w:tcW w:type="dxa" w:w="1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Pour qui ?</w:t>
            </w:r>
          </w:p>
        </w:tc>
        <w:tc>
          <w:tcPr>
            <w:tcW w:type="dxa" w:w="65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Producteurs, techniciens de coopérative, gestionnaires de coopérative, faîtière et administrateurs du CRADESC.</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1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Pour quoi ?</w:t>
            </w:r>
          </w:p>
        </w:tc>
        <w:tc>
          <w:tcPr>
            <w:tcW w:type="dxa" w:w="65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Disposer d'une vision unifiée, fiable et exploitable de l'activité agricole, de la parcelle géoréférencée jusqu'à la transaction commerciale [OT §2.3].</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1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Quoi ?</w:t>
            </w:r>
          </w:p>
        </w:tc>
        <w:tc>
          <w:tcPr>
            <w:tcW w:type="dxa" w:w="65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Une application mobile de terrain fonctionnant hors connexion, une application web d'administration et de pilotage, un serveur central et une base de données géographique. Cinq modules : administratif, commercial, compte d'exploitation, agronomique, SIG.</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1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Comment ?</w:t>
            </w:r>
          </w:p>
        </w:tc>
        <w:tc>
          <w:tcPr>
            <w:tcW w:type="dxa" w:w="65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Flutter (mobile), Angular (web), NestJS en monolithe modulaire (serveur), PostgreSQL et PostGIS (données), synchronisation différée. La conception détaillée de la synchronisation est précisée au chapitre 8.</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1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En combien de temps ?</w:t>
            </w:r>
          </w:p>
        </w:tc>
        <w:tc>
          <w:tcPr>
            <w:tcW w:type="dxa" w:w="65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12 semaines en quatre phases, suivies de 4 semaines d'accompagnement à distance [OT §3.3, §7.4].</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1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Quel élément nouveau ?</w:t>
            </w:r>
          </w:p>
        </w:tc>
        <w:tc>
          <w:tcPr>
            <w:tcW w:type="dxa" w:w="65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Une base existante d'environ 9 000 producteurs, dont le format et l'état sont inconnus [ÉC]. Un chantier dédié d'audit, de qualification, de nettoyage et de migration est proposé (chapitre 6).</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1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Quel prérequis ?</w:t>
            </w:r>
          </w:p>
        </w:tc>
        <w:tc>
          <w:tcPr>
            <w:tcW w:type="dxa" w:w="65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Réception des termes de référence, de la base existante, des accès techniques et des éléments d'identité visuelle (chapitre 16).</w:t>
            </w:r>
          </w:p>
        </w:tc>
        <w:tc>
          <w:tcPr>
            <w:tcW w:type="dxa" w:w="1400"/>
            <w:tcBorders>
              <w:top w:val="single" w:color="C9D3CD" w:sz="4"/>
              <w:left w:val="single" w:color="C9D3CD" w:sz="4"/>
              <w:bottom w:val="single" w:color="C9D3CD" w:sz="4"/>
              <w:right w:val="single" w:color="C9D3CD" w:sz="4"/>
            </w:tcBorders>
            <w:shd w:fill="FBE8D3" w:color="auto" w:val="clear"/>
            <w:tcMar>
              <w:top w:type="dxa" w:w="60"/>
              <w:left w:type="dxa" w:w="100"/>
              <w:bottom w:type="dxa" w:w="60"/>
              <w:right w:type="dxa" w:w="100"/>
            </w:tcMar>
            <w:vAlign w:val="center"/>
          </w:tcPr>
          <w:p>
            <w:pPr>
              <w:jc w:val="center"/>
            </w:pPr>
            <w:r>
              <w:rPr>
                <w:rFonts w:ascii="Calibri" w:cs="Calibri" w:eastAsia="Calibri" w:hAnsi="Calibri"/>
                <w:b/>
                <w:bCs/>
                <w:color w:val="9A5300"/>
                <w:sz w:val="17"/>
                <w:szCs w:val="17"/>
              </w:rPr>
              <w:t xml:space="preserve">À valider</w:t>
            </w:r>
          </w:p>
        </w:tc>
      </w:tr>
    </w:tbl>
    <w:p>
      <w:pPr>
        <w:spacing w:after="140"/>
      </w:pPr>
    </w:p>
    <w:p>
      <w:pPr>
        <w:pStyle w:val="Heading2"/>
      </w:pPr>
      <w:r>
        <w:t xml:space="preserve">Les points structurants à arbitrer avant le démarrage</w:t>
      </w:r>
    </w:p>
    <w:p>
      <w:pPr>
        <w:pStyle w:val="ListParagraph"/>
        <w:numPr>
          <w:ilvl w:val="0"/>
          <w:numId w:val="2"/>
        </w:numPr>
        <w:spacing w:after="60" w:line="264"/>
        <w:jc w:val="left"/>
      </w:pPr>
      <w:r>
        <w:rPr>
          <w:rFonts w:ascii="Calibri" w:cs="Calibri" w:eastAsia="Calibri" w:hAnsi="Calibri"/>
          <w:b/>
          <w:bCs/>
        </w:rPr>
        <w:t xml:space="preserve">Base des 9 000 producteurs</w:t>
      </w:r>
      <w:r>
        <w:rPr>
          <w:rFonts w:ascii="Calibri" w:cs="Calibri" w:eastAsia="Calibri" w:hAnsi="Calibri"/>
        </w:rPr>
        <w:t xml:space="preserve"> : transmission d'un export ou d'un extrait représentatif, avec la description de son format et de son origine.</w:t>
      </w:r>
    </w:p>
    <w:p>
      <w:pPr>
        <w:pStyle w:val="ListParagraph"/>
        <w:numPr>
          <w:ilvl w:val="0"/>
          <w:numId w:val="2"/>
        </w:numPr>
        <w:spacing w:after="60" w:line="264"/>
        <w:jc w:val="left"/>
      </w:pPr>
      <w:r>
        <w:rPr>
          <w:rFonts w:ascii="Calibri" w:cs="Calibri" w:eastAsia="Calibri" w:hAnsi="Calibri"/>
          <w:b/>
          <w:bCs/>
        </w:rPr>
        <w:t xml:space="preserve">Cadre contractuel</w:t>
      </w:r>
      <w:r>
        <w:rPr>
          <w:rFonts w:ascii="Calibri" w:cs="Calibri" w:eastAsia="Calibri" w:hAnsi="Calibri"/>
        </w:rPr>
        <w:t xml:space="preserve"> : communication des termes de référence et du contrat, confirmation de la date de démarrage et du circuit de validation des livrables.</w:t>
      </w:r>
    </w:p>
    <w:p>
      <w:pPr>
        <w:pStyle w:val="ListParagraph"/>
        <w:numPr>
          <w:ilvl w:val="0"/>
          <w:numId w:val="2"/>
        </w:numPr>
        <w:spacing w:after="60" w:line="264"/>
        <w:jc w:val="left"/>
      </w:pPr>
      <w:r>
        <w:rPr>
          <w:rFonts w:ascii="Calibri" w:cs="Calibri" w:eastAsia="Calibri" w:hAnsi="Calibri"/>
          <w:b/>
          <w:bCs/>
        </w:rPr>
        <w:t xml:space="preserve">Utilisation de l'application mobile</w:t>
      </w:r>
      <w:r>
        <w:rPr>
          <w:rFonts w:ascii="Calibri" w:cs="Calibri" w:eastAsia="Calibri" w:hAnsi="Calibri"/>
        </w:rPr>
        <w:t xml:space="preserve"> : usage autonome par les producteurs, saisie assistée par les techniciens, ou mode mixte.</w:t>
      </w:r>
    </w:p>
    <w:p>
      <w:pPr>
        <w:pStyle w:val="ListParagraph"/>
        <w:numPr>
          <w:ilvl w:val="0"/>
          <w:numId w:val="2"/>
        </w:numPr>
        <w:spacing w:after="60" w:line="264"/>
        <w:jc w:val="left"/>
      </w:pPr>
      <w:r>
        <w:rPr>
          <w:rFonts w:ascii="Calibri" w:cs="Calibri" w:eastAsia="Calibri" w:hAnsi="Calibri"/>
          <w:b/>
          <w:bCs/>
        </w:rPr>
        <w:t xml:space="preserve">Rôle de la faîtière</w:t>
      </w:r>
      <w:r>
        <w:rPr>
          <w:rFonts w:ascii="Calibri" w:cs="Calibri" w:eastAsia="Calibri" w:hAnsi="Calibri"/>
        </w:rPr>
        <w:t xml:space="preserve"> dans la plateforme, non prévu parmi les quatre rôles initiaux.</w:t>
      </w:r>
    </w:p>
    <w:p>
      <w:pPr>
        <w:pStyle w:val="ListParagraph"/>
        <w:numPr>
          <w:ilvl w:val="0"/>
          <w:numId w:val="2"/>
        </w:numPr>
        <w:spacing w:after="60" w:line="264"/>
        <w:jc w:val="left"/>
      </w:pPr>
      <w:r>
        <w:rPr>
          <w:rFonts w:ascii="Calibri" w:cs="Calibri" w:eastAsia="Calibri" w:hAnsi="Calibri"/>
          <w:b/>
          <w:bCs/>
        </w:rPr>
        <w:t xml:space="preserve">Hébergement</w:t>
      </w:r>
      <w:r>
        <w:rPr>
          <w:rFonts w:ascii="Calibri" w:cs="Calibri" w:eastAsia="Calibri" w:hAnsi="Calibri"/>
        </w:rPr>
        <w:t xml:space="preserve"> : infrastructure existante du CRADESC, exigence de localisation des données, comptes à ouvrir au nom du CRADESC.</w:t>
      </w:r>
    </w:p>
    <w:p>
      <w:pPr>
        <w:pStyle w:val="ListParagraph"/>
        <w:numPr>
          <w:ilvl w:val="0"/>
          <w:numId w:val="2"/>
        </w:numPr>
        <w:spacing w:after="60" w:line="264"/>
        <w:jc w:val="left"/>
      </w:pPr>
      <w:r>
        <w:rPr>
          <w:rFonts w:ascii="Calibri" w:cs="Calibri" w:eastAsia="Calibri" w:hAnsi="Calibri"/>
          <w:b/>
          <w:bCs/>
        </w:rPr>
        <w:t xml:space="preserve">Protection des données personnelles</w:t>
      </w:r>
      <w:r>
        <w:rPr>
          <w:rFonts w:ascii="Calibri" w:cs="Calibri" w:eastAsia="Calibri" w:hAnsi="Calibri"/>
        </w:rPr>
        <w:t xml:space="preserve"> : responsable du traitement, formalités auprès de la CDP, consentement des producteurs.</w:t>
      </w:r>
    </w:p>
    <w:p>
      <w:pPr>
        <w:pStyle w:val="ListParagraph"/>
        <w:numPr>
          <w:ilvl w:val="0"/>
          <w:numId w:val="2"/>
        </w:numPr>
        <w:spacing w:after="60" w:line="264"/>
        <w:jc w:val="left"/>
      </w:pPr>
      <w:r>
        <w:rPr>
          <w:rFonts w:ascii="Calibri" w:cs="Calibri" w:eastAsia="Calibri" w:hAnsi="Calibri"/>
          <w:b/>
          <w:bCs/>
        </w:rPr>
        <w:t xml:space="preserve">Capitalisation sur DIGICOOP</w:t>
      </w:r>
      <w:r>
        <w:rPr>
          <w:rFonts w:ascii="Calibri" w:cs="Calibri" w:eastAsia="Calibri" w:hAnsi="Calibri"/>
        </w:rPr>
        <w:t xml:space="preserve"> : périmètre de réutilisation éventuelle et régime de propriété du code remis au CRADESC.</w:t>
      </w:r>
    </w:p>
    <w:p>
      <w:pPr>
        <w:pStyle w:val="ListParagraph"/>
        <w:numPr>
          <w:ilvl w:val="0"/>
          <w:numId w:val="2"/>
        </w:numPr>
        <w:spacing w:after="60" w:line="264"/>
        <w:jc w:val="left"/>
      </w:pPr>
      <w:r>
        <w:rPr>
          <w:rFonts w:ascii="Calibri" w:cs="Calibri" w:eastAsia="Calibri" w:hAnsi="Calibri"/>
          <w:b/>
          <w:bCs/>
        </w:rPr>
        <w:t xml:space="preserve">Identité visuelle</w:t>
      </w:r>
      <w:r>
        <w:rPr>
          <w:rFonts w:ascii="Calibri" w:cs="Calibri" w:eastAsia="Calibri" w:hAnsi="Calibri"/>
        </w:rPr>
        <w:t xml:space="preserve"> : logo, charte graphique, mentions obligatoires des partenaires, langue de l'interface.</w:t>
      </w:r>
    </w:p>
    <w:p>
      <w:pPr>
        <w:pStyle w:val="Heading1"/>
      </w:pPr>
      <w:r>
        <w:t xml:space="preserve">2. Contexte et enjeux</w:t>
      </w:r>
    </w:p>
    <w:p>
      <w:pPr>
        <w:pStyle w:val="Heading2"/>
      </w:pPr>
      <w:r>
        <w:t xml:space="preserve">2.1 Le contexte du projet</w:t>
      </w:r>
    </w:p>
    <w:p>
      <w:pPr>
        <w:spacing w:after="120" w:line="276"/>
        <w:jc w:val="both"/>
      </w:pPr>
      <w:r>
        <w:rPr>
          <w:rFonts w:ascii="Calibri" w:cs="Calibri" w:eastAsia="Calibri" w:hAnsi="Calibri"/>
        </w:rPr>
        <w:t xml:space="preserve">La Zone des Niayes constitue le principal bassin maraîcher approvisionnant Dakar et les grandes villes du Sénégal, avec des filières majeures comme l'oignon, la pomme de terre, la tomate et le chou [OT §1.1]. Le CRADESC y met en œuvre un projet de redynamisation des organisations de producteurs (OP), orienté vers l'inclusion des femmes, des jeunes et des personnes vivant avec un handicap dans l'économie sociale et solidaire [OT §2.1].</w:t>
      </w:r>
    </w:p>
    <w:p>
      <w:pPr>
        <w:spacing w:after="120" w:line="276"/>
        <w:jc w:val="both"/>
      </w:pPr>
      <w:r>
        <w:rPr>
          <w:rFonts w:ascii="Calibri" w:cs="Calibri" w:eastAsia="Calibri" w:hAnsi="Calibri"/>
        </w:rPr>
        <w:t xml:space="preserve">Dans ce cadre, dix sociétés coopératives ont été créées et regroupées autour d'une faîtière qui assure l'interface avec les organes dirigeants et les partenaires au développement. La gestion de ces structures repose aujourd'hui principalement sur des registres papier et des fichiers Excel dispersés, sans vision consolidée [OT §2.2].</w:t>
      </w:r>
    </w:p>
    <w:p>
      <w:pPr>
        <w:spacing w:after="120" w:line="276"/>
        <w:jc w:val="both"/>
      </w:pPr>
      <w:r>
        <w:rPr>
          <w:rFonts w:ascii="Calibri" w:cs="Calibri" w:eastAsia="Calibri" w:hAnsi="Calibri"/>
        </w:rPr>
        <w:t xml:space="preserve">Depuis la remise de l'offre, les échanges avec le client ont mis en évidence l'existence d'une </w:t>
      </w:r>
      <w:r>
        <w:rPr>
          <w:rFonts w:ascii="Calibri" w:cs="Calibri" w:eastAsia="Calibri" w:hAnsi="Calibri"/>
          <w:b/>
          <w:bCs/>
        </w:rPr>
        <w:t xml:space="preserve">base d'environ 9 000 producteurs</w:t>
      </w:r>
      <w:r>
        <w:rPr>
          <w:rFonts w:ascii="Calibri" w:cs="Calibri" w:eastAsia="Calibri" w:hAnsi="Calibri"/>
        </w:rPr>
        <w:t xml:space="preserve"> [ÉC]. Son origine, son format, son degré de complétude et son rattachement aux dix coopératives restent à établir.</w:t>
      </w:r>
    </w:p>
    <w:p>
      <w:pPr>
        <w:pStyle w:val="Heading2"/>
      </w:pPr>
      <w:r>
        <w:t xml:space="preserve">2.2 Les cinq défis identifiés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338"/>
      </w:tblGrid>
      <w:tr>
        <w:trPr>
          <w:tblHeader/>
        </w:trPr>
        <w:tc>
          <w:tcPr>
            <w:tcW w:type="dxa" w:w="25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Défi</w:t>
            </w:r>
          </w:p>
        </w:tc>
        <w:tc>
          <w:tcPr>
            <w:tcW w:type="dxa" w:w="38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Situation constatée</w:t>
            </w:r>
          </w:p>
        </w:tc>
        <w:tc>
          <w:tcPr>
            <w:tcW w:type="dxa" w:w="33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Conséquence</w:t>
            </w:r>
          </w:p>
        </w:tc>
      </w:tr>
      <w:tr>
        <w:trPr>
          <w:cantSplit/>
        </w:trPr>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1. Gestion administrative des membres</w:t>
            </w:r>
          </w:p>
        </w:tc>
        <w:tc>
          <w:tcPr>
            <w:tcW w:type="dxa" w:w="38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Registres papier et fichiers Excel non partagés, doublons d'adhésion entre coopératives.</w:t>
            </w:r>
          </w:p>
        </w:tc>
        <w:tc>
          <w:tcPr>
            <w:tcW w:type="dxa" w:w="33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Statistiques consolidées (genre, âge, handicap) difficiles à produire pour les partenaires et bailleurs.</w:t>
            </w:r>
          </w:p>
        </w:tc>
      </w:tr>
      <w:tr>
        <w:trPr>
          <w:cantSplit/>
        </w:trPr>
        <w:tc>
          <w:tcPr>
            <w:tcW w:type="dxa" w:w="2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2. Suivi agricole et économique</w:t>
            </w:r>
          </w:p>
        </w:tc>
        <w:tc>
          <w:tcPr>
            <w:tcW w:type="dxa" w:w="38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Absence de suivi des itinéraires culturaux et des comptes d'exploitation.</w:t>
            </w:r>
          </w:p>
        </w:tc>
        <w:tc>
          <w:tcPr>
            <w:tcW w:type="dxa" w:w="33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Rentabilité par culture et par campagne inconnue, décisions empiriques.</w:t>
            </w:r>
          </w:p>
        </w:tc>
      </w:tr>
      <w:tr>
        <w:trPr>
          <w:cantSplit/>
        </w:trPr>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3. Stocks, intrants et commercialisation</w:t>
            </w:r>
          </w:p>
        </w:tc>
        <w:tc>
          <w:tcPr>
            <w:tcW w:type="dxa" w:w="38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Stocks, crédits et ventes non tracés ; pertes post-récolte estimées entre 15 et 25 %.</w:t>
            </w:r>
          </w:p>
        </w:tc>
        <w:tc>
          <w:tcPr>
            <w:tcW w:type="dxa" w:w="33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Trésorerie non pilotable, remboursements difficiles à suivre.</w:t>
            </w:r>
          </w:p>
        </w:tc>
      </w:tr>
      <w:tr>
        <w:trPr>
          <w:cantSplit/>
        </w:trPr>
        <w:tc>
          <w:tcPr>
            <w:tcW w:type="dxa" w:w="2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4. Traçabilité et planification</w:t>
            </w:r>
          </w:p>
        </w:tc>
        <w:tc>
          <w:tcPr>
            <w:tcW w:type="dxa" w:w="38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Pas de planification formalisée des campagnes.</w:t>
            </w:r>
          </w:p>
        </w:tc>
        <w:tc>
          <w:tcPr>
            <w:tcW w:type="dxa" w:w="33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Impossible de s'engager sur des volumes et calendriers auprès d'acheteurs institutionnels.</w:t>
            </w:r>
          </w:p>
        </w:tc>
      </w:tr>
      <w:tr>
        <w:trPr>
          <w:cantSplit/>
        </w:trPr>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5. Information géographique</w:t>
            </w:r>
          </w:p>
        </w:tc>
        <w:tc>
          <w:tcPr>
            <w:tcW w:type="dxa" w:w="38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Aucune cartographie fiable des parcelles ; superficies déclarées approximatives.</w:t>
            </w:r>
          </w:p>
        </w:tc>
        <w:tc>
          <w:tcPr>
            <w:tcW w:type="dxa" w:w="33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Capacités de production non démontrables, litiges fonciers non documentés.</w:t>
            </w:r>
          </w:p>
        </w:tc>
      </w:tr>
    </w:tbl>
    <w:p>
      <w:pPr>
        <w:spacing w:after="140"/>
      </w:pPr>
    </w:p>
    <w:p>
      <w:pPr>
        <w:spacing w:after="120" w:line="276"/>
        <w:jc w:val="both"/>
      </w:pPr>
      <w:r>
        <w:rPr>
          <w:rFonts w:ascii="Calibri" w:cs="Calibri" w:eastAsia="Calibri" w:hAnsi="Calibri"/>
        </w:rPr>
        <w:t xml:space="preserve">Source : [OT §2.2], [PR 4]. Ces cinq défis procèdent d'un même besoin : disposer d'une vision unifiée de l'activité, de la parcelle jusqu'à la vente.</w:t>
      </w:r>
    </w:p>
    <w:p>
      <w:pPr>
        <w:pStyle w:val="Heading2"/>
      </w:pPr>
      <w:r>
        <w:t xml:space="preserve">2.3 Parties prenantes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tblHeader/>
        </w:trPr>
        <w:tc>
          <w:tcPr>
            <w:tcW w:type="dxa" w:w="23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Acteur</w:t>
            </w:r>
          </w:p>
        </w:tc>
        <w:tc>
          <w:tcPr>
            <w:tcW w:type="dxa" w:w="59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Rôle dans le projet</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Statut</w:t>
            </w:r>
          </w:p>
        </w:tc>
      </w:tr>
      <w:tr>
        <w:trPr>
          <w:cantSplit/>
        </w:trPr>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CRADESC</w:t>
            </w:r>
          </w:p>
        </w:tc>
        <w:tc>
          <w:tcPr>
            <w:tcW w:type="dxa" w:w="5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Maître d'ouvrage et client final. Destinataire du code source et de la documentation en fin de mission [OT §VI].</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2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CANAS</w:t>
            </w:r>
          </w:p>
        </w:tc>
        <w:tc>
          <w:tcPr>
            <w:tcW w:type="dxa" w:w="5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Titulaire de la mission. Chef de mission : M. Mbaye NDIAYE, ingénieur agroéconomiste.</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Faîtière des coopératives</w:t>
            </w:r>
          </w:p>
        </w:tc>
        <w:tc>
          <w:tcPr>
            <w:tcW w:type="dxa" w:w="5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Structure faîtière et interface avec les partenaires ; utilisatrice des vues consolidées.</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2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Dix coopératives</w:t>
            </w:r>
          </w:p>
        </w:tc>
        <w:tc>
          <w:tcPr>
            <w:tcW w:type="dxa" w:w="5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Utilisatrices de la plateforme (gestionnaires et techniciens). Liste nominative à transmettre.</w:t>
            </w:r>
          </w:p>
        </w:tc>
        <w:tc>
          <w:tcPr>
            <w:tcW w:type="dxa" w:w="1400"/>
            <w:tcBorders>
              <w:top w:val="single" w:color="C9D3CD" w:sz="4"/>
              <w:left w:val="single" w:color="C9D3CD" w:sz="4"/>
              <w:bottom w:val="single" w:color="C9D3CD" w:sz="4"/>
              <w:right w:val="single" w:color="C9D3CD" w:sz="4"/>
            </w:tcBorders>
            <w:shd w:fill="FBE8D3" w:color="auto" w:val="clear"/>
            <w:tcMar>
              <w:top w:type="dxa" w:w="60"/>
              <w:left w:type="dxa" w:w="100"/>
              <w:bottom w:type="dxa" w:w="60"/>
              <w:right w:type="dxa" w:w="100"/>
            </w:tcMar>
            <w:vAlign w:val="center"/>
          </w:tcPr>
          <w:p>
            <w:pPr>
              <w:jc w:val="center"/>
            </w:pPr>
            <w:r>
              <w:rPr>
                <w:rFonts w:ascii="Calibri" w:cs="Calibri" w:eastAsia="Calibri" w:hAnsi="Calibri"/>
                <w:b/>
                <w:bCs/>
                <w:color w:val="9A5300"/>
                <w:sz w:val="17"/>
                <w:szCs w:val="17"/>
              </w:rPr>
              <w:t xml:space="preserve">À valider</w:t>
            </w:r>
          </w:p>
        </w:tc>
      </w:tr>
      <w:tr>
        <w:trPr>
          <w:cantSplit/>
        </w:trPr>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Producteurs et membres</w:t>
            </w:r>
          </w:p>
        </w:tc>
        <w:tc>
          <w:tcPr>
            <w:tcW w:type="dxa" w:w="5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Utilisateurs finaux et personnes concernées par les données.</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2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AUMN / projet JAFOWA</w:t>
            </w:r>
          </w:p>
        </w:tc>
        <w:tc>
          <w:tcPr>
            <w:tcW w:type="dxa" w:w="5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Source des référentiels technico-économiques (neuf comptes d'exploitation, études de marché) que le CANAS prévoit d'intégrer [OT §1.4].</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Direction technique du projet</w:t>
            </w:r>
          </w:p>
        </w:tc>
        <w:tc>
          <w:tcPr>
            <w:tcW w:type="dxa" w:w="5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Conception et réalisation technique de bout en bout, pilotage de l'équipe de développement (chapitre 11).</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bl>
    <w:p>
      <w:pPr>
        <w:spacing w:after="140"/>
      </w:pPr>
    </w:p>
    <w:p>
      <w:pPr>
        <w:pStyle w:val="Heading2"/>
      </w:pPr>
      <w:r>
        <w:t xml:space="preserve">2.4 Capitalisation sur DIGICOOP</w:t>
      </w:r>
    </w:p>
    <w:p>
      <w:pPr>
        <w:spacing w:after="120" w:line="276"/>
        <w:jc w:val="both"/>
      </w:pPr>
      <w:r>
        <w:rPr>
          <w:rFonts w:ascii="Calibri" w:cs="Calibri" w:eastAsia="Calibri" w:hAnsi="Calibri"/>
        </w:rPr>
        <w:t xml:space="preserve">Le CANAS a conçu et déployé DIGICOOP (app.digicoops.com), plateforme dédiée aux coopératives sénégalaises couvrant la gestion des membres, un espace de vente et des outils d'accès au financement [OT §1.3]. L'offre présente cette expérience comme un accélérateur pour Mbay Diaay.</w:t>
      </w:r>
    </w:p>
    <w:p>
      <w:pPr>
        <w:pBdr>
          <w:left w:val="single" w:color="9A5300" w:sz="24" w:space="8"/>
        </w:pBdr>
        <w:shd w:fill="FBE8D3" w:color="auto" w:val="clear"/>
        <w:spacing w:after="160" w:before="120" w:line="264"/>
        <w:ind w:left="170" w:right="113"/>
      </w:pPr>
      <w:r>
        <w:rPr>
          <w:rFonts w:ascii="Calibri" w:cs="Calibri" w:eastAsia="Calibri" w:hAnsi="Calibri"/>
          <w:b/>
          <w:bCs/>
          <w:color w:val="9A5300"/>
        </w:rPr>
        <w:t xml:space="preserve">À valider. </w:t>
      </w:r>
      <w:r>
        <w:rPr>
          <w:rFonts w:ascii="Calibri" w:cs="Calibri" w:eastAsia="Calibri" w:hAnsi="Calibri"/>
        </w:rPr>
        <w:t xml:space="preserve">Le périmètre exact de capitalisation (retour d'expérience, modèle de données, composants logiciels) et, en cas de réutilisation de code, sa compatibilité avec l'engagement de remise du code source intégral au CRADESC, doivent être précisés (INF 05 et INF 06).</w:t>
      </w:r>
    </w:p>
    <w:p>
      <w:pPr>
        <w:pStyle w:val="Heading1"/>
      </w:pPr>
      <w:r>
        <w:t xml:space="preserve">3. Objectifs et résultats attendus</w:t>
      </w:r>
    </w:p>
    <w:p>
      <w:pPr>
        <w:pStyle w:val="Heading2"/>
      </w:pPr>
      <w:r>
        <w:t xml:space="preserve">3.1 Objectifs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38"/>
        <w:gridCol w:w="1400"/>
      </w:tblGrid>
      <w:tr>
        <w:trPr>
          <w:tblHeader/>
        </w:trPr>
        <w:tc>
          <w:tcPr>
            <w:tcW w:type="dxa" w:w="82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Objectif</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Statut</w:t>
            </w:r>
          </w:p>
        </w:tc>
      </w:tr>
      <w:tr>
        <w:trPr>
          <w:cantSplit/>
        </w:trPr>
        <w:tc>
          <w:tcPr>
            <w:tcW w:type="dxa" w:w="8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Livrer en 12 semaines une plateforme opérationnelle (mobile, web et serveur) couvrant les fonctionnalités prioritaires des cinq modules [OT §6.3].</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82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Constituer une base structurée des producteurs et des parcelles (livrable L6) [OT §VI].</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8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Garantir l'usage sur le terrain en l'absence de réseau, avec une synchronisation automatique [OT §2.4].</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82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Rendre le CRADESC et les OP autonomes : code source, documentation, formation en cascade [OT §3.1].</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8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Reprendre la base existante des producteurs dans un état qualifié, dédoublonné et documenté (chapitre 6).</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bl>
    <w:p>
      <w:pPr>
        <w:spacing w:after="140"/>
      </w:pPr>
    </w:p>
    <w:p>
      <w:pPr>
        <w:pStyle w:val="Heading2"/>
      </w:pPr>
      <w:r>
        <w:t xml:space="preserve">3.2 Indicateurs de réussite proposés</w:t>
      </w:r>
    </w:p>
    <w:p>
      <w:pPr>
        <w:spacing w:after="120" w:line="276"/>
        <w:jc w:val="both"/>
      </w:pPr>
      <w:r>
        <w:rPr>
          <w:rFonts w:ascii="Calibri" w:cs="Calibri" w:eastAsia="Calibri" w:hAnsi="Calibri"/>
        </w:rPr>
        <w:t xml:space="preserve">L'offre fixe des engagements de qualité technique : disponibilité de l'API, couverture de tests supérieure à 80 % sur les modules critiques, documentation de l'ensemble des points d'accès de l'API [OT §10.2]. Il est proposé de les compléter par des indicateurs d'adoption, dont les cibles seront fixées avec le CRADESC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5438"/>
        <w:gridCol w:w="1400"/>
      </w:tblGrid>
      <w:tr>
        <w:trPr>
          <w:tblHeader/>
        </w:trPr>
        <w:tc>
          <w:tcPr>
            <w:tcW w:type="dxa" w:w="28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Indicateur</w:t>
            </w:r>
          </w:p>
        </w:tc>
        <w:tc>
          <w:tcPr>
            <w:tcW w:type="dxa" w:w="54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Mesure</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Statut</w:t>
            </w:r>
          </w:p>
        </w:tc>
      </w:tr>
      <w:tr>
        <w:trPr>
          <w:cantSplit/>
        </w:trPr>
        <w:tc>
          <w:tcPr>
            <w:tcW w:type="dxa" w:w="28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Producteurs migrés et qualifiés</w:t>
            </w:r>
          </w:p>
        </w:tc>
        <w:tc>
          <w:tcPr>
            <w:tcW w:type="dxa" w:w="54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Part de la base existante importée, dédoublonnée et rattachée à une coopérative</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28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Parcelles géoréférencées</w:t>
            </w:r>
          </w:p>
        </w:tc>
        <w:tc>
          <w:tcPr>
            <w:tcW w:type="dxa" w:w="54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Nombre de parcelles relevées et validées par coopérative en fin de mission</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28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Techniciens actifs</w:t>
            </w:r>
          </w:p>
        </w:tc>
        <w:tc>
          <w:tcPr>
            <w:tcW w:type="dxa" w:w="54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Nombre de techniciens effectuant au moins une synchronisation par semaine pendant l'accompagnement</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28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Fiabilité de la synchronisation</w:t>
            </w:r>
          </w:p>
        </w:tc>
        <w:tc>
          <w:tcPr>
            <w:tcW w:type="dxa" w:w="54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Aucune perte de donnée saisie hors connexion</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28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Autonomie de reporting</w:t>
            </w:r>
          </w:p>
        </w:tc>
        <w:tc>
          <w:tcPr>
            <w:tcW w:type="dxa" w:w="54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Production des rapports consolidés (dont ventilation genre, âge, handicap) sans retraitement manuel</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bl>
    <w:p>
      <w:pPr>
        <w:spacing w:after="140"/>
      </w:pPr>
    </w:p>
    <w:p>
      <w:pPr>
        <w:pStyle w:val="Heading1"/>
      </w:pPr>
      <w:r>
        <w:t xml:space="preserve">4. Utilisateurs et besoins</w:t>
      </w:r>
    </w:p>
    <w:p>
      <w:pPr>
        <w:pStyle w:val="Heading2"/>
      </w:pPr>
      <w:r>
        <w:t xml:space="preserve">4.1 Profils utilisateurs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3738"/>
        <w:gridCol w:w="1400"/>
      </w:tblGrid>
      <w:tr>
        <w:trPr>
          <w:tblHeader/>
        </w:trPr>
        <w:tc>
          <w:tcPr>
            <w:tcW w:type="dxa" w:w="21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Profil</w:t>
            </w:r>
          </w:p>
        </w:tc>
        <w:tc>
          <w:tcPr>
            <w:tcW w:type="dxa" w:w="2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Périmètre de données</w:t>
            </w:r>
          </w:p>
        </w:tc>
        <w:tc>
          <w:tcPr>
            <w:tcW w:type="dxa" w:w="37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Besoin principal</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Statut</w:t>
            </w:r>
          </w:p>
        </w:tc>
      </w:tr>
      <w:tr>
        <w:trPr>
          <w:cantSplit/>
        </w:trPr>
        <w:tc>
          <w:tcPr>
            <w:tcW w:type="dxa" w:w="21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Producteur / membre</w:t>
            </w:r>
          </w:p>
        </w:tc>
        <w:tc>
          <w:tcPr>
            <w:tcW w:type="dxa" w:w="2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Ses parcelles, ses transactions, son profil</w:t>
            </w:r>
          </w:p>
        </w:tc>
        <w:tc>
          <w:tcPr>
            <w:tcW w:type="dxa" w:w="37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Consulter et renseigner les informations liées à son activité</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21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Technicien terrain</w:t>
            </w:r>
          </w:p>
        </w:tc>
        <w:tc>
          <w:tcPr>
            <w:tcW w:type="dxa" w:w="2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Membres de sa coopérative</w:t>
            </w:r>
          </w:p>
        </w:tc>
        <w:tc>
          <w:tcPr>
            <w:tcW w:type="dxa" w:w="37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Collecter les données sur le terrain, accompagner les producteurs, valider les géoréférencements</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21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Gestionnaire de coopérative</w:t>
            </w:r>
          </w:p>
        </w:tc>
        <w:tc>
          <w:tcPr>
            <w:tcW w:type="dxa" w:w="2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Toute sa coopérative</w:t>
            </w:r>
          </w:p>
        </w:tc>
        <w:tc>
          <w:tcPr>
            <w:tcW w:type="dxa" w:w="37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Gérer membres, stocks, crédits et transactions ; produire les rapports</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21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Administrateur CRADESC</w:t>
            </w:r>
          </w:p>
        </w:tc>
        <w:tc>
          <w:tcPr>
            <w:tcW w:type="dxa" w:w="2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Toutes les coopératives et la faîtière</w:t>
            </w:r>
          </w:p>
        </w:tc>
        <w:tc>
          <w:tcPr>
            <w:tcW w:type="dxa" w:w="37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Superviser, configurer, gérer les utilisateurs, consolider</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21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Faîtière</w:t>
            </w:r>
          </w:p>
        </w:tc>
        <w:tc>
          <w:tcPr>
            <w:tcW w:type="dxa" w:w="2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Toutes les coopératives, en lecture</w:t>
            </w:r>
          </w:p>
        </w:tc>
        <w:tc>
          <w:tcPr>
            <w:tcW w:type="dxa" w:w="37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Disposer d'une vue consolidée sans droits d'administration</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bl>
    <w:p>
      <w:pPr>
        <w:spacing w:after="140"/>
      </w:pPr>
    </w:p>
    <w:p>
      <w:pPr>
        <w:spacing w:after="120" w:line="276"/>
        <w:jc w:val="both"/>
      </w:pPr>
      <w:r>
        <w:rPr>
          <w:rFonts w:ascii="Calibri" w:cs="Calibri" w:eastAsia="Calibri" w:hAnsi="Calibri"/>
        </w:rPr>
        <w:t xml:space="preserve">Sources : [OT §4.3], [CP §3]. La présentation [PR 9] désigne le gestionnaire comme « responsable d'OP » et lui attribue la validation des données : le libellé et les droits définitifs de ce rôle sont à confirmer (DEC 05).</w:t>
      </w:r>
    </w:p>
    <w:p>
      <w:pPr>
        <w:pStyle w:val="Heading2"/>
      </w:pPr>
      <w:r>
        <w:t xml:space="preserve">4.2 Parcours prioritaires</w:t>
      </w:r>
    </w:p>
    <w:p>
      <w:pPr>
        <w:spacing w:after="120" w:line="276"/>
        <w:jc w:val="both"/>
      </w:pPr>
      <w:r>
        <w:rPr>
          <w:rFonts w:ascii="Calibri" w:cs="Calibri" w:eastAsia="Calibri" w:hAnsi="Calibri"/>
        </w:rPr>
        <w:t xml:space="preserve">Les parcours suivants constituent une base de travail qui sera confirmée lors des ateliers des semaines 1 et 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6438"/>
        <w:gridCol w:w="1400"/>
      </w:tblGrid>
      <w:tr>
        <w:trPr>
          <w:tblHeader/>
        </w:trPr>
        <w:tc>
          <w:tcPr>
            <w:tcW w:type="dxa" w:w="18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Profil</w:t>
            </w:r>
          </w:p>
        </w:tc>
        <w:tc>
          <w:tcPr>
            <w:tcW w:type="dxa" w:w="64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Parcours prioritaires</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Statut</w:t>
            </w:r>
          </w:p>
        </w:tc>
      </w:tr>
      <w:tr>
        <w:trPr>
          <w:cantSplit/>
        </w:trPr>
        <w:tc>
          <w:tcPr>
            <w:tcW w:type="dxa" w:w="18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Technicien</w:t>
            </w:r>
          </w:p>
        </w:tc>
        <w:tc>
          <w:tcPr>
            <w:tcW w:type="dxa" w:w="64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Connexion hors ligne par code PIN ; recherche ou création d'un producteur ; relevé d'une parcelle ; déclaration d'une campagne et d'une culture ; saisie d'une opération, d'une charge ou d'une vente ; synchronisation.</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18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Producteur</w:t>
            </w:r>
          </w:p>
        </w:tc>
        <w:tc>
          <w:tcPr>
            <w:tcW w:type="dxa" w:w="64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Consulter son profil ; enregistrer une vente ou une charge ; visualiser sa parcelle ; consulter le calendrier cultural de sa culture principale [OT §7.2].</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18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Gestionnaire</w:t>
            </w:r>
          </w:p>
        </w:tc>
        <w:tc>
          <w:tcPr>
            <w:tcW w:type="dxa" w:w="64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Adhésions et cotisations ; mouvements de stock ; octroi et suivi des crédits ; réunions et procès-verbaux ; rapports de la coopérative.</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18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Administrateur</w:t>
            </w:r>
          </w:p>
        </w:tc>
        <w:tc>
          <w:tcPr>
            <w:tcW w:type="dxa" w:w="64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Utilisateurs et référentiels ; tableau de bord multi-coopératives ; carte globale ; exports destinés aux partenaires.</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bl>
    <w:p>
      <w:pPr>
        <w:spacing w:after="140"/>
      </w:pPr>
    </w:p>
    <w:p>
      <w:pPr>
        <w:pStyle w:val="Heading2"/>
      </w:pPr>
      <w:r>
        <w:t xml:space="preserve">4.3 Contraintes d'usage</w:t>
      </w:r>
    </w:p>
    <w:p>
      <w:pPr>
        <w:pStyle w:val="ListParagraph"/>
        <w:numPr>
          <w:ilvl w:val="0"/>
          <w:numId w:val="2"/>
        </w:numPr>
        <w:spacing w:after="60" w:line="264"/>
        <w:jc w:val="left"/>
      </w:pPr>
      <w:r>
        <w:rPr>
          <w:rFonts w:ascii="Calibri" w:cs="Calibri" w:eastAsia="Calibri" w:hAnsi="Calibri"/>
          <w:b/>
          <w:bCs/>
        </w:rPr>
        <w:t xml:space="preserve">Connectivité irrégulière</w:t>
      </w:r>
      <w:r>
        <w:rPr>
          <w:rFonts w:ascii="Calibri" w:cs="Calibri" w:eastAsia="Calibri" w:hAnsi="Calibri"/>
        </w:rPr>
        <w:t xml:space="preserve"> : le fonctionnement hors connexion est posé comme non négociable [OT §2.4].</w:t>
      </w:r>
    </w:p>
    <w:p>
      <w:pPr>
        <w:pStyle w:val="ListParagraph"/>
        <w:numPr>
          <w:ilvl w:val="0"/>
          <w:numId w:val="2"/>
        </w:numPr>
        <w:spacing w:after="60" w:line="264"/>
        <w:jc w:val="left"/>
      </w:pPr>
      <w:r>
        <w:rPr>
          <w:rFonts w:ascii="Calibri" w:cs="Calibri" w:eastAsia="Calibri" w:hAnsi="Calibri"/>
          <w:b/>
          <w:bCs/>
        </w:rPr>
        <w:t xml:space="preserve">Maîtrise inégale du numérique</w:t>
      </w:r>
      <w:r>
        <w:rPr>
          <w:rFonts w:ascii="Calibri" w:cs="Calibri" w:eastAsia="Calibri" w:hAnsi="Calibri"/>
        </w:rPr>
        <w:t xml:space="preserve"> : parcours courts, trois actions au plus pour les opérations fréquentes, authentification sans mot de passe [OT §8.1].</w:t>
      </w:r>
    </w:p>
    <w:p>
      <w:pPr>
        <w:pStyle w:val="ListParagraph"/>
        <w:numPr>
          <w:ilvl w:val="0"/>
          <w:numId w:val="2"/>
        </w:numPr>
        <w:spacing w:after="60" w:line="264"/>
        <w:jc w:val="left"/>
      </w:pPr>
      <w:r>
        <w:rPr>
          <w:rFonts w:ascii="Calibri" w:cs="Calibri" w:eastAsia="Calibri" w:hAnsi="Calibri"/>
          <w:b/>
          <w:bCs/>
        </w:rPr>
        <w:t xml:space="preserve">Langues</w:t>
      </w:r>
      <w:r>
        <w:rPr>
          <w:rFonts w:ascii="Calibri" w:cs="Calibri" w:eastAsia="Calibri" w:hAnsi="Calibri"/>
        </w:rPr>
        <w:t xml:space="preserve"> : formation orale en wolof, et en pulaar si nécessaire ; manuels en français [OT §7.1]. La langue de l'interface reste à arrêter (INF 64).</w:t>
      </w:r>
    </w:p>
    <w:p>
      <w:pPr>
        <w:pStyle w:val="ListParagraph"/>
        <w:numPr>
          <w:ilvl w:val="0"/>
          <w:numId w:val="2"/>
        </w:numPr>
        <w:spacing w:after="60" w:line="264"/>
        <w:jc w:val="left"/>
      </w:pPr>
      <w:r>
        <w:rPr>
          <w:rFonts w:ascii="Calibri" w:cs="Calibri" w:eastAsia="Calibri" w:hAnsi="Calibri"/>
          <w:b/>
          <w:bCs/>
        </w:rPr>
        <w:t xml:space="preserve">Terminaux</w:t>
      </w:r>
      <w:r>
        <w:rPr>
          <w:rFonts w:ascii="Calibri" w:cs="Calibri" w:eastAsia="Calibri" w:hAnsi="Calibri"/>
        </w:rPr>
        <w:t xml:space="preserve"> : Android prioritaire, iOS supporté [OT §4.1]. Le parc réel des techniciens et le taux d'équipement des producteurs sont à documenter (INF 40 et INF 41).</w:t>
      </w:r>
    </w:p>
    <w:p>
      <w:pPr>
        <w:pStyle w:val="ListParagraph"/>
        <w:numPr>
          <w:ilvl w:val="0"/>
          <w:numId w:val="2"/>
        </w:numPr>
        <w:spacing w:after="60" w:line="264"/>
        <w:jc w:val="left"/>
      </w:pPr>
      <w:r>
        <w:rPr>
          <w:rFonts w:ascii="Calibri" w:cs="Calibri" w:eastAsia="Calibri" w:hAnsi="Calibri"/>
          <w:b/>
          <w:bCs/>
        </w:rPr>
        <w:t xml:space="preserve">Inclusion</w:t>
      </w:r>
      <w:r>
        <w:rPr>
          <w:rFonts w:ascii="Calibri" w:cs="Calibri" w:eastAsia="Calibri" w:hAnsi="Calibri"/>
        </w:rPr>
        <w:t xml:space="preserve"> : le projet intègre les personnes vivant avec un handicap ; d'éventuelles exigences d'accessibilité sont à préciser (INF 42).</w:t>
      </w:r>
    </w:p>
    <w:p>
      <w:pPr>
        <w:pStyle w:val="Heading1"/>
      </w:pPr>
      <w:r>
        <w:t xml:space="preserve">5. Périmètre fonctionnel</w:t>
      </w:r>
    </w:p>
    <w:p>
      <w:pPr>
        <w:pStyle w:val="Heading2"/>
      </w:pPr>
      <w:r>
        <w:t xml:space="preserve">5.1 Principe d'intégration des données</w:t>
      </w:r>
    </w:p>
    <w:p>
      <w:pPr>
        <w:spacing w:after="120" w:line="276"/>
        <w:jc w:val="both"/>
      </w:pPr>
      <w:r>
        <w:rPr>
          <w:rFonts w:ascii="Calibri" w:cs="Calibri" w:eastAsia="Calibri" w:hAnsi="Calibri"/>
        </w:rPr>
        <w:t xml:space="preserve">La plateforme repose sur une chaîne de données unique : une information saisie une fois est réutilisée par l'ensemble des modules, jusque dans la cartographie et les rapports [PR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738"/>
      </w:tblGrid>
      <w:tr>
        <w:trPr>
          <w:tblHeader/>
        </w:trPr>
        <w:tc>
          <w:tcPr>
            <w:tcW w:type="dxa" w:w="20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Niveau</w:t>
            </w:r>
          </w:p>
        </w:tc>
        <w:tc>
          <w:tcPr>
            <w:tcW w:type="dxa" w:w="3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Entités</w:t>
            </w:r>
          </w:p>
        </w:tc>
        <w:tc>
          <w:tcPr>
            <w:tcW w:type="dxa" w:w="37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Alimente</w:t>
            </w:r>
          </w:p>
        </w:tc>
      </w:tr>
      <w:tr>
        <w:trPr>
          <w:cantSplit/>
        </w:trPr>
        <w:tc>
          <w:tcPr>
            <w:tcW w:type="dxa" w:w="20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Organisation</w:t>
            </w:r>
          </w:p>
        </w:tc>
        <w:tc>
          <w:tcPr>
            <w:tcW w:type="dxa" w:w="3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Faîtière, coopératives, localités</w:t>
            </w:r>
          </w:p>
        </w:tc>
        <w:tc>
          <w:tcPr>
            <w:tcW w:type="dxa" w:w="37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Rattachement de tous les membres et des données</w:t>
            </w:r>
          </w:p>
        </w:tc>
      </w:tr>
      <w:tr>
        <w:trPr>
          <w:cantSplit/>
        </w:trPr>
        <w:tc>
          <w:tcPr>
            <w:tcW w:type="dxa" w:w="20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Membre</w:t>
            </w:r>
          </w:p>
        </w:tc>
        <w:tc>
          <w:tcPr>
            <w:tcW w:type="dxa" w:w="3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Producteur, adhésion, cotisations, crédits</w:t>
            </w:r>
          </w:p>
        </w:tc>
        <w:tc>
          <w:tcPr>
            <w:tcW w:type="dxa" w:w="37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Statistiques des membres, suivi financier</w:t>
            </w:r>
          </w:p>
        </w:tc>
      </w:tr>
      <w:tr>
        <w:trPr>
          <w:cantSplit/>
        </w:trPr>
        <w:tc>
          <w:tcPr>
            <w:tcW w:type="dxa" w:w="20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Parcelle</w:t>
            </w:r>
          </w:p>
        </w:tc>
        <w:tc>
          <w:tcPr>
            <w:tcW w:type="dxa" w:w="3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Polygone géoréférencé, superficie mesurée et déclarée</w:t>
            </w:r>
          </w:p>
        </w:tc>
        <w:tc>
          <w:tcPr>
            <w:tcW w:type="dxa" w:w="37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Cartographie, rendements, revenu à l'hectare</w:t>
            </w:r>
          </w:p>
        </w:tc>
      </w:tr>
      <w:tr>
        <w:trPr>
          <w:cantSplit/>
        </w:trPr>
        <w:tc>
          <w:tcPr>
            <w:tcW w:type="dxa" w:w="20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Campagne et culture</w:t>
            </w:r>
          </w:p>
        </w:tc>
        <w:tc>
          <w:tcPr>
            <w:tcW w:type="dxa" w:w="3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Culture conduite sur une parcelle au cours d'une campagne</w:t>
            </w:r>
          </w:p>
        </w:tc>
        <w:tc>
          <w:tcPr>
            <w:tcW w:type="dxa" w:w="37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Itinéraire technique, prévisions de production</w:t>
            </w:r>
          </w:p>
        </w:tc>
      </w:tr>
      <w:tr>
        <w:trPr>
          <w:cantSplit/>
        </w:trPr>
        <w:tc>
          <w:tcPr>
            <w:tcW w:type="dxa" w:w="20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Flux économiques</w:t>
            </w:r>
          </w:p>
        </w:tc>
        <w:tc>
          <w:tcPr>
            <w:tcW w:type="dxa" w:w="3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Charges, production, ventes</w:t>
            </w:r>
          </w:p>
        </w:tc>
        <w:tc>
          <w:tcPr>
            <w:tcW w:type="dxa" w:w="37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Compte d'exploitation et rentabilité</w:t>
            </w:r>
          </w:p>
        </w:tc>
      </w:tr>
    </w:tbl>
    <w:p>
      <w:pPr>
        <w:spacing w:after="140"/>
      </w:pPr>
    </w:p>
    <w:p>
      <w:pPr>
        <w:pBdr>
          <w:left w:val="single" w:color="1F4E79" w:sz="24" w:space="8"/>
        </w:pBdr>
        <w:shd w:fill="DFEAF6" w:color="auto" w:val="clear"/>
        <w:spacing w:after="160" w:before="120" w:line="264"/>
        <w:ind w:left="170" w:right="113"/>
      </w:pPr>
      <w:r>
        <w:rPr>
          <w:rFonts w:ascii="Calibri" w:cs="Calibri" w:eastAsia="Calibri" w:hAnsi="Calibri"/>
          <w:b/>
          <w:bCs/>
          <w:color w:val="1F4E79"/>
        </w:rPr>
        <w:t xml:space="preserve">Proposé. </w:t>
      </w:r>
      <w:r>
        <w:rPr>
          <w:rFonts w:ascii="Calibri" w:cs="Calibri" w:eastAsia="Calibri" w:hAnsi="Calibri"/>
        </w:rPr>
        <w:t xml:space="preserve">La « culture conduite sur une parcelle au cours d'une campagne » constitue l'entité pivot du modèle : les charges, opérations, productions et ventes s'y rattachent, et le compte d'exploitation en est déduit par calcul, sans double saisie.</w:t>
      </w:r>
    </w:p>
    <w:p>
      <w:pPr>
        <w:pStyle w:val="Heading2"/>
      </w:pPr>
      <w:r>
        <w:t xml:space="preserve">5.2 Module M1 : gestion administrative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38"/>
        <w:gridCol w:w="1300"/>
        <w:gridCol w:w="1600"/>
        <w:gridCol w:w="1400"/>
      </w:tblGrid>
      <w:tr>
        <w:trPr>
          <w:tblHeader/>
        </w:trPr>
        <w:tc>
          <w:tcPr>
            <w:tcW w:type="dxa" w:w="53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Fonctionnalité</w:t>
            </w:r>
          </w:p>
        </w:tc>
        <w:tc>
          <w:tcPr>
            <w:tcW w:type="dxa" w:w="13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Priorité</w:t>
            </w:r>
          </w:p>
        </w:tc>
        <w:tc>
          <w:tcPr>
            <w:tcW w:type="dxa" w:w="16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Hors ligne</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Statut</w:t>
            </w:r>
          </w:p>
        </w:tc>
      </w:tr>
      <w:tr>
        <w:trPr>
          <w:cantSplit/>
        </w:trPr>
        <w:tc>
          <w:tcPr>
            <w:tcW w:type="dxa" w:w="53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Base des adhérents : identité, contact, genre, âge, handicap, localisation, pièces ; recherche ; export CSV et PDF</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Must</w:t>
            </w:r>
          </w:p>
        </w:tc>
        <w:tc>
          <w:tcPr>
            <w:tcW w:type="dxa" w:w="16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Oui</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53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Hiérarchie organisation, coopérative, membre ; statuts d'adhésion ; cotisations et historique des paiements</w:t>
            </w:r>
          </w:p>
        </w:tc>
        <w:tc>
          <w:tcPr>
            <w:tcW w:type="dxa" w:w="1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Must</w:t>
            </w:r>
          </w:p>
        </w:tc>
        <w:tc>
          <w:tcPr>
            <w:tcW w:type="dxa" w:w="16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Oui</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53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Réunions et assemblées : planification, présences, procès-verbaux, suivi des décisions</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Must</w:t>
            </w:r>
          </w:p>
        </w:tc>
        <w:tc>
          <w:tcPr>
            <w:tcW w:type="dxa" w:w="16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Oui</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53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Gestion documentaire : statuts, agréments, procès-verbaux, attestations</w:t>
            </w:r>
          </w:p>
        </w:tc>
        <w:tc>
          <w:tcPr>
            <w:tcW w:type="dxa" w:w="1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Must (base)</w:t>
            </w:r>
          </w:p>
        </w:tc>
        <w:tc>
          <w:tcPr>
            <w:tcW w:type="dxa" w:w="16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Métadonnées</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53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Tableau de bord administratif (effectifs, répartition genre, âge, handicap, cotisations)</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Must</w:t>
            </w:r>
          </w:p>
        </w:tc>
        <w:tc>
          <w:tcPr>
            <w:tcW w:type="dxa" w:w="16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Partiel</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53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Notifications et rappels (réunions, assemblées, échéances)</w:t>
            </w:r>
          </w:p>
        </w:tc>
        <w:tc>
          <w:tcPr>
            <w:tcW w:type="dxa" w:w="1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Should</w:t>
            </w:r>
          </w:p>
        </w:tc>
        <w:tc>
          <w:tcPr>
            <w:tcW w:type="dxa" w:w="16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Oui</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bl>
    <w:p>
      <w:pPr>
        <w:spacing w:after="140"/>
      </w:pPr>
    </w:p>
    <w:p>
      <w:pPr>
        <w:spacing w:after="120" w:line="276"/>
        <w:jc w:val="both"/>
      </w:pPr>
      <w:r>
        <w:rPr>
          <w:rFonts w:ascii="Calibri" w:cs="Calibri" w:eastAsia="Calibri" w:hAnsi="Calibri"/>
        </w:rPr>
        <w:t xml:space="preserve">Points à préciser : liste des champs obligatoires alignée sur la base existante ; règles de cotisation ; portée juridique attendue de la « signature numérique des procès-verbaux ». Il est proposé de retenir une </w:t>
      </w:r>
      <w:r>
        <w:rPr>
          <w:rFonts w:ascii="Calibri" w:cs="Calibri" w:eastAsia="Calibri" w:hAnsi="Calibri"/>
          <w:b/>
          <w:bCs/>
        </w:rPr>
        <w:t xml:space="preserve">validation électronique horodatée</w:t>
      </w:r>
      <w:r>
        <w:rPr>
          <w:rFonts w:ascii="Calibri" w:cs="Calibri" w:eastAsia="Calibri" w:hAnsi="Calibri"/>
        </w:rPr>
        <w:t xml:space="preserve"> par les membres du bureau, une signature électronique à valeur probante nécessitant un prestataire de confiance.</w:t>
      </w:r>
    </w:p>
    <w:p>
      <w:pPr>
        <w:pStyle w:val="Heading2"/>
      </w:pPr>
      <w:r>
        <w:t xml:space="preserve">5.3 Module M2 : gestion commerciale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38"/>
        <w:gridCol w:w="1300"/>
        <w:gridCol w:w="1600"/>
        <w:gridCol w:w="1400"/>
      </w:tblGrid>
      <w:tr>
        <w:trPr>
          <w:tblHeader/>
        </w:trPr>
        <w:tc>
          <w:tcPr>
            <w:tcW w:type="dxa" w:w="53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Fonctionnalité</w:t>
            </w:r>
          </w:p>
        </w:tc>
        <w:tc>
          <w:tcPr>
            <w:tcW w:type="dxa" w:w="13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Priorité</w:t>
            </w:r>
          </w:p>
        </w:tc>
        <w:tc>
          <w:tcPr>
            <w:tcW w:type="dxa" w:w="16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Hors ligne</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Statut</w:t>
            </w:r>
          </w:p>
        </w:tc>
      </w:tr>
      <w:tr>
        <w:trPr>
          <w:cantSplit/>
        </w:trPr>
        <w:tc>
          <w:tcPr>
            <w:tcW w:type="dxa" w:w="53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Stocks d'intrants : entrées, sorties, stock disponible, traçabilité par lot</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Must</w:t>
            </w:r>
          </w:p>
        </w:tc>
        <w:tc>
          <w:tcPr>
            <w:tcW w:type="dxa" w:w="16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Oui</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53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Alertes de seuil de stock</w:t>
            </w:r>
          </w:p>
        </w:tc>
        <w:tc>
          <w:tcPr>
            <w:tcW w:type="dxa" w:w="1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À arbitrer</w:t>
            </w:r>
          </w:p>
        </w:tc>
        <w:tc>
          <w:tcPr>
            <w:tcW w:type="dxa" w:w="16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Oui</w:t>
            </w:r>
          </w:p>
        </w:tc>
        <w:tc>
          <w:tcPr>
            <w:tcW w:type="dxa" w:w="1400"/>
            <w:tcBorders>
              <w:top w:val="single" w:color="C9D3CD" w:sz="4"/>
              <w:left w:val="single" w:color="C9D3CD" w:sz="4"/>
              <w:bottom w:val="single" w:color="C9D3CD" w:sz="4"/>
              <w:right w:val="single" w:color="C9D3CD" w:sz="4"/>
            </w:tcBorders>
            <w:shd w:fill="FBE8D3" w:color="auto" w:val="clear"/>
            <w:tcMar>
              <w:top w:type="dxa" w:w="60"/>
              <w:left w:type="dxa" w:w="100"/>
              <w:bottom w:type="dxa" w:w="60"/>
              <w:right w:type="dxa" w:w="100"/>
            </w:tcMar>
            <w:vAlign w:val="center"/>
          </w:tcPr>
          <w:p>
            <w:pPr>
              <w:jc w:val="center"/>
            </w:pPr>
            <w:r>
              <w:rPr>
                <w:rFonts w:ascii="Calibri" w:cs="Calibri" w:eastAsia="Calibri" w:hAnsi="Calibri"/>
                <w:b/>
                <w:bCs/>
                <w:color w:val="9A5300"/>
                <w:sz w:val="17"/>
                <w:szCs w:val="17"/>
              </w:rPr>
              <w:t xml:space="preserve">À valider</w:t>
            </w:r>
          </w:p>
        </w:tc>
      </w:tr>
      <w:tr>
        <w:trPr>
          <w:cantSplit/>
        </w:trPr>
        <w:tc>
          <w:tcPr>
            <w:tcW w:type="dxa" w:w="53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Crédits accordés par la coopérative : échéanciers, remboursements, alertes</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Must</w:t>
            </w:r>
          </w:p>
        </w:tc>
        <w:tc>
          <w:tcPr>
            <w:tcW w:type="dxa" w:w="16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Oui</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53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Ventes : quantité, prix, acheteur, canal, date ; récapitulatifs</w:t>
            </w:r>
          </w:p>
        </w:tc>
        <w:tc>
          <w:tcPr>
            <w:tcW w:type="dxa" w:w="1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Must</w:t>
            </w:r>
          </w:p>
        </w:tc>
        <w:tc>
          <w:tcPr>
            <w:tcW w:type="dxa" w:w="16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Oui</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53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Veille des prix de marché et historique</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Should</w:t>
            </w:r>
          </w:p>
        </w:tc>
        <w:tc>
          <w:tcPr>
            <w:tcW w:type="dxa" w:w="16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Dernier prix</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53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Circuits de commercialisation et rapports commerciaux</w:t>
            </w:r>
          </w:p>
        </w:tc>
        <w:tc>
          <w:tcPr>
            <w:tcW w:type="dxa" w:w="1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Non précisé</w:t>
            </w:r>
          </w:p>
        </w:tc>
        <w:tc>
          <w:tcPr>
            <w:tcW w:type="dxa" w:w="16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Partiel</w:t>
            </w:r>
          </w:p>
        </w:tc>
        <w:tc>
          <w:tcPr>
            <w:tcW w:type="dxa" w:w="1400"/>
            <w:tcBorders>
              <w:top w:val="single" w:color="C9D3CD" w:sz="4"/>
              <w:left w:val="single" w:color="C9D3CD" w:sz="4"/>
              <w:bottom w:val="single" w:color="C9D3CD" w:sz="4"/>
              <w:right w:val="single" w:color="C9D3CD" w:sz="4"/>
            </w:tcBorders>
            <w:shd w:fill="FBE8D3" w:color="auto" w:val="clear"/>
            <w:tcMar>
              <w:top w:type="dxa" w:w="60"/>
              <w:left w:type="dxa" w:w="100"/>
              <w:bottom w:type="dxa" w:w="60"/>
              <w:right w:type="dxa" w:w="100"/>
            </w:tcMar>
            <w:vAlign w:val="center"/>
          </w:tcPr>
          <w:p>
            <w:pPr>
              <w:jc w:val="center"/>
            </w:pPr>
            <w:r>
              <w:rPr>
                <w:rFonts w:ascii="Calibri" w:cs="Calibri" w:eastAsia="Calibri" w:hAnsi="Calibri"/>
                <w:b/>
                <w:bCs/>
                <w:color w:val="9A5300"/>
                <w:sz w:val="17"/>
                <w:szCs w:val="17"/>
              </w:rPr>
              <w:t xml:space="preserve">À valider</w:t>
            </w:r>
          </w:p>
        </w:tc>
      </w:tr>
    </w:tbl>
    <w:p>
      <w:pPr>
        <w:spacing w:after="140"/>
      </w:pPr>
    </w:p>
    <w:p>
      <w:pPr>
        <w:spacing w:after="120" w:line="276"/>
        <w:jc w:val="both"/>
      </w:pPr>
      <w:r>
        <w:rPr>
          <w:rFonts w:ascii="Calibri" w:cs="Calibri" w:eastAsia="Calibri" w:hAnsi="Calibri"/>
        </w:rPr>
        <w:t xml:space="preserve">Les alertes de stock figurent à la fois dans la liste Must et dans la liste Should de l'offre ; leur priorité est à arbitrer. Les écritures financières (ventes, remboursements, mouvements de stock) seront </w:t>
      </w:r>
      <w:r>
        <w:rPr>
          <w:rFonts w:ascii="Calibri" w:cs="Calibri" w:eastAsia="Calibri" w:hAnsi="Calibri"/>
          <w:b/>
          <w:bCs/>
        </w:rPr>
        <w:t xml:space="preserve">non modifiables et rectifiables par contre-écriture</w:t>
      </w:r>
      <w:r>
        <w:rPr>
          <w:rFonts w:ascii="Calibri" w:cs="Calibri" w:eastAsia="Calibri" w:hAnsi="Calibri"/>
        </w:rPr>
        <w:t xml:space="preserve">, ce qui garantit l'auditabilité et la cohérence en mode hors connexion.</w:t>
      </w:r>
    </w:p>
    <w:p>
      <w:pPr>
        <w:pStyle w:val="Heading2"/>
      </w:pPr>
      <w:r>
        <w:t xml:space="preserve">5.4 Module M3 : compte d'exploitation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38"/>
        <w:gridCol w:w="1300"/>
        <w:gridCol w:w="1600"/>
        <w:gridCol w:w="1400"/>
      </w:tblGrid>
      <w:tr>
        <w:trPr>
          <w:tblHeader/>
        </w:trPr>
        <w:tc>
          <w:tcPr>
            <w:tcW w:type="dxa" w:w="53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Fonctionnalité</w:t>
            </w:r>
          </w:p>
        </w:tc>
        <w:tc>
          <w:tcPr>
            <w:tcW w:type="dxa" w:w="13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Priorité</w:t>
            </w:r>
          </w:p>
        </w:tc>
        <w:tc>
          <w:tcPr>
            <w:tcW w:type="dxa" w:w="16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Hors ligne</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Statut</w:t>
            </w:r>
          </w:p>
        </w:tc>
      </w:tr>
      <w:tr>
        <w:trPr>
          <w:cantSplit/>
        </w:trPr>
        <w:tc>
          <w:tcPr>
            <w:tcW w:type="dxa" w:w="53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Saisie guidée des charges : intrants, main-d'œuvre, transport, irrigation, location de matériel</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Must</w:t>
            </w:r>
          </w:p>
        </w:tc>
        <w:tc>
          <w:tcPr>
            <w:tcW w:type="dxa" w:w="16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Oui</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53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Revenus par vente, culture et campagne, alimentés par le module commercial</w:t>
            </w:r>
          </w:p>
        </w:tc>
        <w:tc>
          <w:tcPr>
            <w:tcW w:type="dxa" w:w="1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Must</w:t>
            </w:r>
          </w:p>
        </w:tc>
        <w:tc>
          <w:tcPr>
            <w:tcW w:type="dxa" w:w="16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Oui</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53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Calculs : marge brute, ratio charges sur revenus, revenu net, revenu à l'hectare</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Must</w:t>
            </w:r>
          </w:p>
        </w:tc>
        <w:tc>
          <w:tcPr>
            <w:tcW w:type="dxa" w:w="16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Oui</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53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Comparaison aux références de la zone (comptes d'exploitation AUMN)</w:t>
            </w:r>
          </w:p>
        </w:tc>
        <w:tc>
          <w:tcPr>
            <w:tcW w:type="dxa" w:w="1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Non précisé</w:t>
            </w:r>
          </w:p>
        </w:tc>
        <w:tc>
          <w:tcPr>
            <w:tcW w:type="dxa" w:w="16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Oui</w:t>
            </w:r>
          </w:p>
        </w:tc>
        <w:tc>
          <w:tcPr>
            <w:tcW w:type="dxa" w:w="1400"/>
            <w:tcBorders>
              <w:top w:val="single" w:color="C9D3CD" w:sz="4"/>
              <w:left w:val="single" w:color="C9D3CD" w:sz="4"/>
              <w:bottom w:val="single" w:color="C9D3CD" w:sz="4"/>
              <w:right w:val="single" w:color="C9D3CD" w:sz="4"/>
            </w:tcBorders>
            <w:shd w:fill="FBE8D3" w:color="auto" w:val="clear"/>
            <w:tcMar>
              <w:top w:type="dxa" w:w="60"/>
              <w:left w:type="dxa" w:w="100"/>
              <w:bottom w:type="dxa" w:w="60"/>
              <w:right w:type="dxa" w:w="100"/>
            </w:tcMar>
            <w:vAlign w:val="center"/>
          </w:tcPr>
          <w:p>
            <w:pPr>
              <w:jc w:val="center"/>
            </w:pPr>
            <w:r>
              <w:rPr>
                <w:rFonts w:ascii="Calibri" w:cs="Calibri" w:eastAsia="Calibri" w:hAnsi="Calibri"/>
                <w:b/>
                <w:bCs/>
                <w:color w:val="9A5300"/>
                <w:sz w:val="17"/>
                <w:szCs w:val="17"/>
              </w:rPr>
              <w:t xml:space="preserve">À valider</w:t>
            </w:r>
          </w:p>
        </w:tc>
      </w:tr>
      <w:tr>
        <w:trPr>
          <w:cantSplit/>
        </w:trPr>
        <w:tc>
          <w:tcPr>
            <w:tcW w:type="dxa" w:w="53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Rapports individuels et consolidés au format PDF</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Must (base)</w:t>
            </w:r>
          </w:p>
        </w:tc>
        <w:tc>
          <w:tcPr>
            <w:tcW w:type="dxa" w:w="16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Partiel</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bl>
    <w:p>
      <w:pPr>
        <w:spacing w:after="140"/>
      </w:pPr>
    </w:p>
    <w:p>
      <w:pPr>
        <w:spacing w:after="120" w:line="276"/>
        <w:jc w:val="both"/>
      </w:pPr>
      <w:r>
        <w:rPr>
          <w:rFonts w:ascii="Calibri" w:cs="Calibri" w:eastAsia="Calibri" w:hAnsi="Calibri"/>
        </w:rPr>
        <w:t xml:space="preserve">Les formules de calcul (valorisation de la main-d'œuvre familiale, autoconsommation) et la définition d'une « exploitation en difficulté » seront validées par l'expert agroéconomiste. Les référentiels AUMN devront être transmis dans un format exploitable, avec l'accord de réutilisation correspondant.</w:t>
      </w:r>
    </w:p>
    <w:p>
      <w:pPr>
        <w:pStyle w:val="Heading2"/>
      </w:pPr>
      <w:r>
        <w:t xml:space="preserve">5.5 Module M4 : gestion agronomique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38"/>
        <w:gridCol w:w="1300"/>
        <w:gridCol w:w="1600"/>
        <w:gridCol w:w="1400"/>
      </w:tblGrid>
      <w:tr>
        <w:trPr>
          <w:tblHeader/>
        </w:trPr>
        <w:tc>
          <w:tcPr>
            <w:tcW w:type="dxa" w:w="53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Fonctionnalité</w:t>
            </w:r>
          </w:p>
        </w:tc>
        <w:tc>
          <w:tcPr>
            <w:tcW w:type="dxa" w:w="13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Priorité</w:t>
            </w:r>
          </w:p>
        </w:tc>
        <w:tc>
          <w:tcPr>
            <w:tcW w:type="dxa" w:w="16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Hors ligne</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Statut</w:t>
            </w:r>
          </w:p>
        </w:tc>
      </w:tr>
      <w:tr>
        <w:trPr>
          <w:cantSplit/>
        </w:trPr>
        <w:tc>
          <w:tcPr>
            <w:tcW w:type="dxa" w:w="53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Planification des campagnes : cultures, superficies, parcelles, objectifs, intrants, duplication</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Must</w:t>
            </w:r>
          </w:p>
        </w:tc>
        <w:tc>
          <w:tcPr>
            <w:tcW w:type="dxa" w:w="16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Oui</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53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Calendriers culturaux par culture, co-construits avec les techniciens</w:t>
            </w:r>
          </w:p>
        </w:tc>
        <w:tc>
          <w:tcPr>
            <w:tcW w:type="dxa" w:w="1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Must</w:t>
            </w:r>
          </w:p>
        </w:tc>
        <w:tc>
          <w:tcPr>
            <w:tcW w:type="dxa" w:w="16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Oui</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53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Suivi de l'itinéraire technique, observations et photos</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Must</w:t>
            </w:r>
          </w:p>
        </w:tc>
        <w:tc>
          <w:tcPr>
            <w:tcW w:type="dxa" w:w="16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Oui</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53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Prévision et réalisation de la production, analyse des écarts</w:t>
            </w:r>
          </w:p>
        </w:tc>
        <w:tc>
          <w:tcPr>
            <w:tcW w:type="dxa" w:w="1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Non précisé</w:t>
            </w:r>
          </w:p>
        </w:tc>
        <w:tc>
          <w:tcPr>
            <w:tcW w:type="dxa" w:w="16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Oui</w:t>
            </w:r>
          </w:p>
        </w:tc>
        <w:tc>
          <w:tcPr>
            <w:tcW w:type="dxa" w:w="1400"/>
            <w:tcBorders>
              <w:top w:val="single" w:color="C9D3CD" w:sz="4"/>
              <w:left w:val="single" w:color="C9D3CD" w:sz="4"/>
              <w:bottom w:val="single" w:color="C9D3CD" w:sz="4"/>
              <w:right w:val="single" w:color="C9D3CD" w:sz="4"/>
            </w:tcBorders>
            <w:shd w:fill="FBE8D3" w:color="auto" w:val="clear"/>
            <w:tcMar>
              <w:top w:type="dxa" w:w="60"/>
              <w:left w:type="dxa" w:w="100"/>
              <w:bottom w:type="dxa" w:w="60"/>
              <w:right w:type="dxa" w:w="100"/>
            </w:tcMar>
            <w:vAlign w:val="center"/>
          </w:tcPr>
          <w:p>
            <w:pPr>
              <w:jc w:val="center"/>
            </w:pPr>
            <w:r>
              <w:rPr>
                <w:rFonts w:ascii="Calibri" w:cs="Calibri" w:eastAsia="Calibri" w:hAnsi="Calibri"/>
                <w:b/>
                <w:bCs/>
                <w:color w:val="9A5300"/>
                <w:sz w:val="17"/>
                <w:szCs w:val="17"/>
              </w:rPr>
              <w:t xml:space="preserve">À valider</w:t>
            </w:r>
          </w:p>
        </w:tc>
      </w:tr>
      <w:tr>
        <w:trPr>
          <w:cantSplit/>
        </w:trPr>
        <w:tc>
          <w:tcPr>
            <w:tcW w:type="dxa" w:w="53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Alertes et recommandations techniques par stade</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Should</w:t>
            </w:r>
          </w:p>
        </w:tc>
        <w:tc>
          <w:tcPr>
            <w:tcW w:type="dxa" w:w="16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Oui</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53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Historique des campagnes par producteur et par parcelle</w:t>
            </w:r>
          </w:p>
        </w:tc>
        <w:tc>
          <w:tcPr>
            <w:tcW w:type="dxa" w:w="1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Non précisé</w:t>
            </w:r>
          </w:p>
        </w:tc>
        <w:tc>
          <w:tcPr>
            <w:tcW w:type="dxa" w:w="16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Oui</w:t>
            </w:r>
          </w:p>
        </w:tc>
        <w:tc>
          <w:tcPr>
            <w:tcW w:type="dxa" w:w="1400"/>
            <w:tcBorders>
              <w:top w:val="single" w:color="C9D3CD" w:sz="4"/>
              <w:left w:val="single" w:color="C9D3CD" w:sz="4"/>
              <w:bottom w:val="single" w:color="C9D3CD" w:sz="4"/>
              <w:right w:val="single" w:color="C9D3CD" w:sz="4"/>
            </w:tcBorders>
            <w:shd w:fill="FBE8D3" w:color="auto" w:val="clear"/>
            <w:tcMar>
              <w:top w:type="dxa" w:w="60"/>
              <w:left w:type="dxa" w:w="100"/>
              <w:bottom w:type="dxa" w:w="60"/>
              <w:right w:type="dxa" w:w="100"/>
            </w:tcMar>
            <w:vAlign w:val="center"/>
          </w:tcPr>
          <w:p>
            <w:pPr>
              <w:jc w:val="center"/>
            </w:pPr>
            <w:r>
              <w:rPr>
                <w:rFonts w:ascii="Calibri" w:cs="Calibri" w:eastAsia="Calibri" w:hAnsi="Calibri"/>
                <w:b/>
                <w:bCs/>
                <w:color w:val="9A5300"/>
                <w:sz w:val="17"/>
                <w:szCs w:val="17"/>
              </w:rPr>
              <w:t xml:space="preserve">À valider</w:t>
            </w:r>
          </w:p>
        </w:tc>
      </w:tr>
    </w:tbl>
    <w:p>
      <w:pPr>
        <w:spacing w:after="140"/>
      </w:pPr>
    </w:p>
    <w:p>
      <w:pPr>
        <w:spacing w:after="120" w:line="276"/>
        <w:jc w:val="both"/>
      </w:pPr>
      <w:r>
        <w:rPr>
          <w:rFonts w:ascii="Calibri" w:cs="Calibri" w:eastAsia="Calibri" w:hAnsi="Calibri"/>
        </w:rPr>
        <w:t xml:space="preserve">La définition d'une campagne (saison d'hivernage, contre-saison froide, contre-saison chaude, ou cycle de culture) ainsi que l'identification des contributeurs chargés de rédiger les calendriers et recommandations restent à préciser.</w:t>
      </w:r>
    </w:p>
    <w:p>
      <w:pPr>
        <w:pStyle w:val="Heading2"/>
      </w:pPr>
      <w:r>
        <w:t xml:space="preserve">5.6 Module M5 : système d'information géographique</w:t>
      </w:r>
    </w:p>
    <w:p>
      <w:pPr>
        <w:spacing w:after="120" w:line="276"/>
        <w:jc w:val="both"/>
      </w:pPr>
      <w:r>
        <w:rPr>
          <w:rFonts w:ascii="Calibri" w:cs="Calibri" w:eastAsia="Calibri" w:hAnsi="Calibri"/>
        </w:rPr>
        <w:t xml:space="preserve">Le module SIG est détaillé au chapitre 9.</w:t>
      </w:r>
    </w:p>
    <w:p>
      <w:pPr>
        <w:pStyle w:val="Heading2"/>
      </w:pPr>
      <w:r>
        <w:t xml:space="preserve">5.7 Priorisation du périmètre</w:t>
      </w:r>
    </w:p>
    <w:p>
      <w:pPr>
        <w:spacing w:after="120" w:line="276"/>
        <w:jc w:val="both"/>
      </w:pPr>
      <w:r>
        <w:rPr>
          <w:rFonts w:ascii="Calibri" w:cs="Calibri" w:eastAsia="Calibri" w:hAnsi="Calibri"/>
        </w:rPr>
        <w:t xml:space="preserve">L'offre retient une priorisation MoSCoW qui fixe le périmètre garanti ; elle doit être validée en atelier avec le CRADESC en semaine 1 [OT §6.3].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6238"/>
        <w:gridCol w:w="1400"/>
      </w:tblGrid>
      <w:tr>
        <w:trPr>
          <w:tblHeader/>
        </w:trPr>
        <w:tc>
          <w:tcPr>
            <w:tcW w:type="dxa" w:w="20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Niveau</w:t>
            </w:r>
          </w:p>
        </w:tc>
        <w:tc>
          <w:tcPr>
            <w:tcW w:type="dxa" w:w="62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Contenu</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Statut</w:t>
            </w:r>
          </w:p>
        </w:tc>
      </w:tr>
      <w:tr>
        <w:trPr>
          <w:cantSplit/>
        </w:trPr>
        <w:tc>
          <w:tcPr>
            <w:tcW w:type="dxa" w:w="20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Must have (garanti)</w:t>
            </w:r>
          </w:p>
        </w:tc>
        <w:tc>
          <w:tcPr>
            <w:tcW w:type="dxa" w:w="6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M1 : membres, OP et coopératives, réunions, gestion documentaire de base.</w:t>
            </w:r>
          </w:p>
          <w:p>
            <w:pPr>
              <w:spacing w:after="40" w:line="252"/>
            </w:pPr>
            <w:r>
              <w:rPr>
                <w:rFonts w:ascii="Calibri" w:cs="Calibri" w:eastAsia="Calibri" w:hAnsi="Calibri"/>
                <w:sz w:val="18"/>
                <w:szCs w:val="18"/>
              </w:rPr>
              <w:t xml:space="preserve">M2 : stocks d'intrants, ventes, crédits et remboursements.</w:t>
            </w:r>
          </w:p>
          <w:p>
            <w:pPr>
              <w:spacing w:after="40" w:line="252"/>
            </w:pPr>
            <w:r>
              <w:rPr>
                <w:rFonts w:ascii="Calibri" w:cs="Calibri" w:eastAsia="Calibri" w:hAnsi="Calibri"/>
                <w:sz w:val="18"/>
                <w:szCs w:val="18"/>
              </w:rPr>
              <w:t xml:space="preserve">M3 : charges et revenus, calcul des marges, rapports PDF de base.</w:t>
            </w:r>
          </w:p>
          <w:p>
            <w:pPr>
              <w:spacing w:after="40" w:line="252"/>
            </w:pPr>
            <w:r>
              <w:rPr>
                <w:rFonts w:ascii="Calibri" w:cs="Calibri" w:eastAsia="Calibri" w:hAnsi="Calibri"/>
                <w:sz w:val="18"/>
                <w:szCs w:val="18"/>
              </w:rPr>
              <w:t xml:space="preserve">M4 : campagnes, calendriers culturaux, itinéraire technique.</w:t>
            </w:r>
          </w:p>
          <w:p>
            <w:pPr>
              <w:spacing w:after="40" w:line="252"/>
            </w:pPr>
            <w:r>
              <w:rPr>
                <w:rFonts w:ascii="Calibri" w:cs="Calibri" w:eastAsia="Calibri" w:hAnsi="Calibri"/>
                <w:sz w:val="18"/>
                <w:szCs w:val="18"/>
              </w:rPr>
              <w:t xml:space="preserve">M5 : géoréférencement hors ligne, cartographie web, calcul des superficies.</w:t>
            </w:r>
          </w:p>
          <w:p>
            <w:pPr>
              <w:spacing w:after="40" w:line="252"/>
            </w:pPr>
            <w:r>
              <w:rPr>
                <w:rFonts w:ascii="Calibri" w:cs="Calibri" w:eastAsia="Calibri" w:hAnsi="Calibri"/>
                <w:sz w:val="18"/>
                <w:szCs w:val="18"/>
              </w:rPr>
              <w:t xml:space="preserve">Sécurité : authentification par code à usage unique, quatre rôles, chiffrement local, sauvegardes.</w:t>
            </w:r>
          </w:p>
          <w:p>
            <w:pPr>
              <w:spacing w:after="40" w:line="252"/>
            </w:pPr>
            <w:r>
              <w:rPr>
                <w:rFonts w:ascii="Calibri" w:cs="Calibri" w:eastAsia="Calibri" w:hAnsi="Calibri"/>
                <w:sz w:val="18"/>
                <w:szCs w:val="18"/>
              </w:rPr>
              <w:t xml:space="preserve">Fonctionnement hors connexion et synchronisation automatique.</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20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Should have</w:t>
            </w:r>
          </w:p>
        </w:tc>
        <w:tc>
          <w:tcPr>
            <w:tcW w:type="dxa" w:w="62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Alertes automatiques, exports Excel et CSV, recherche avancée, veille des prix avec historique, cartographie comparative entre campagnes.</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20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Could have</w:t>
            </w:r>
          </w:p>
        </w:tc>
        <w:tc>
          <w:tcPr>
            <w:tcW w:type="dxa" w:w="6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Paiement mobile, SMS et USSD, alertes météo, tableau de bord analytique avancé, messagerie communautaire.</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20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Ajout proposé</w:t>
            </w:r>
          </w:p>
        </w:tc>
        <w:tc>
          <w:tcPr>
            <w:tcW w:type="dxa" w:w="62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Reprise qualifiée de la base existante des producteurs (chapitre 6). Son dimensionnement définitif sera arrêté conjointement à l'issue de l'audit.</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bl>
    <w:p>
      <w:pPr>
        <w:spacing w:after="140"/>
      </w:pPr>
    </w:p>
    <w:p>
      <w:pPr>
        <w:pStyle w:val="Heading2"/>
      </w:pPr>
      <w:r>
        <w:t xml:space="preserve">5.8 Hors périmètre</w:t>
      </w:r>
    </w:p>
    <w:p>
      <w:pPr>
        <w:spacing w:after="120" w:line="276"/>
        <w:jc w:val="both"/>
      </w:pPr>
      <w:r>
        <w:rPr>
          <w:rFonts w:ascii="Calibri" w:cs="Calibri" w:eastAsia="Calibri" w:hAnsi="Calibri"/>
        </w:rPr>
        <w:t xml:space="preserve">Sauf décision contraire lors de l'atelier de priorisation, ne font pas partie du périmètre de la mission : la place de marché publique, le paiement en ligne, les canaux SMS et USSD pour les producteurs sans smartphone, l'intégration météo et la comptabilité générale des coopératives.</w:t>
      </w:r>
    </w:p>
    <w:p>
      <w:pPr>
        <w:pStyle w:val="Heading1"/>
      </w:pPr>
      <w:r>
        <w:t xml:space="preserve">6. Reprise de la base existante des producteurs</w:t>
      </w:r>
    </w:p>
    <w:p>
      <w:pPr>
        <w:pStyle w:val="Heading2"/>
      </w:pPr>
      <w:r>
        <w:t xml:space="preserve">6.1 Situation</w:t>
      </w:r>
    </w:p>
    <w:p>
      <w:pPr>
        <w:spacing w:after="120" w:line="276"/>
        <w:jc w:val="both"/>
      </w:pPr>
      <w:r>
        <w:rPr>
          <w:rFonts w:ascii="Calibri" w:cs="Calibri" w:eastAsia="Calibri" w:hAnsi="Calibri"/>
        </w:rPr>
        <w:t xml:space="preserve">Le client a indiqué disposer d'une base d'</w:t>
      </w:r>
      <w:r>
        <w:rPr>
          <w:rFonts w:ascii="Calibri" w:cs="Calibri" w:eastAsia="Calibri" w:hAnsi="Calibri"/>
          <w:b/>
          <w:bCs/>
        </w:rPr>
        <w:t xml:space="preserve">environ 9 000 producteurs</w:t>
      </w:r>
      <w:r>
        <w:rPr>
          <w:rFonts w:ascii="Calibri" w:cs="Calibri" w:eastAsia="Calibri" w:hAnsi="Calibri"/>
        </w:rPr>
        <w:t xml:space="preserve"> [ÉC]. L'offre anticipait une qualité hétérogène des données existantes et prévoyait un import des données initiales lors de la phase de déploiement [OT §3.3, §8.1]. À ce jour, ni le format, ni l'origine, ni la structure, ni la qualité de cette base ne sont connus. Ce volume justifie un chantier dédié, conduit en parallèle du développement.</w:t>
      </w:r>
    </w:p>
    <w:p>
      <w:pPr>
        <w:pStyle w:val="Heading2"/>
      </w:pPr>
      <w:r>
        <w:t xml:space="preserve">6.2 Hypothèses de travail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4638"/>
        <w:gridCol w:w="1400"/>
      </w:tblGrid>
      <w:tr>
        <w:trPr>
          <w:tblHeader/>
        </w:trPr>
        <w:tc>
          <w:tcPr>
            <w:tcW w:type="dxa" w:w="36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Hypothèse</w:t>
            </w:r>
          </w:p>
        </w:tc>
        <w:tc>
          <w:tcPr>
            <w:tcW w:type="dxa" w:w="46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Conséquence si elle est infirmée</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Statut</w:t>
            </w:r>
          </w:p>
        </w:tc>
      </w:tr>
      <w:tr>
        <w:trPr>
          <w:cantSplit/>
        </w:trPr>
        <w:tc>
          <w:tcPr>
            <w:tcW w:type="dxa" w:w="36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La base est tabulaire (un ou plusieurs fichiers Excel ou CSV)</w:t>
            </w:r>
          </w:p>
        </w:tc>
        <w:tc>
          <w:tcPr>
            <w:tcW w:type="dxa" w:w="46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Une base SQL, un outil de collecte (KoboToolbox, ODK) ou des registres papier modifient fortement l'effort d'extraction</w:t>
            </w:r>
          </w:p>
        </w:tc>
        <w:tc>
          <w:tcPr>
            <w:tcW w:type="dxa" w:w="1400"/>
            <w:tcBorders>
              <w:top w:val="single" w:color="C9D3CD" w:sz="4"/>
              <w:left w:val="single" w:color="C9D3CD" w:sz="4"/>
              <w:bottom w:val="single" w:color="C9D3CD" w:sz="4"/>
              <w:right w:val="single" w:color="C9D3CD" w:sz="4"/>
            </w:tcBorders>
            <w:shd w:fill="FBE8D3" w:color="auto" w:val="clear"/>
            <w:tcMar>
              <w:top w:type="dxa" w:w="60"/>
              <w:left w:type="dxa" w:w="100"/>
              <w:bottom w:type="dxa" w:w="60"/>
              <w:right w:type="dxa" w:w="100"/>
            </w:tcMar>
            <w:vAlign w:val="center"/>
          </w:tcPr>
          <w:p>
            <w:pPr>
              <w:jc w:val="center"/>
            </w:pPr>
            <w:r>
              <w:rPr>
                <w:rFonts w:ascii="Calibri" w:cs="Calibri" w:eastAsia="Calibri" w:hAnsi="Calibri"/>
                <w:b/>
                <w:bCs/>
                <w:color w:val="9A5300"/>
                <w:sz w:val="17"/>
                <w:szCs w:val="17"/>
              </w:rPr>
              <w:t xml:space="preserve">À valider</w:t>
            </w:r>
          </w:p>
        </w:tc>
      </w:tr>
      <w:tr>
        <w:trPr>
          <w:cantSplit/>
        </w:trPr>
        <w:tc>
          <w:tcPr>
            <w:tcW w:type="dxa" w:w="36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Chaque producteur est rattachable à l'une des dix coopératives</w:t>
            </w:r>
          </w:p>
        </w:tc>
        <w:tc>
          <w:tcPr>
            <w:tcW w:type="dxa" w:w="46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Il faudra décider du traitement des producteurs non rattachés</w:t>
            </w:r>
          </w:p>
        </w:tc>
        <w:tc>
          <w:tcPr>
            <w:tcW w:type="dxa" w:w="1400"/>
            <w:tcBorders>
              <w:top w:val="single" w:color="C9D3CD" w:sz="4"/>
              <w:left w:val="single" w:color="C9D3CD" w:sz="4"/>
              <w:bottom w:val="single" w:color="C9D3CD" w:sz="4"/>
              <w:right w:val="single" w:color="C9D3CD" w:sz="4"/>
            </w:tcBorders>
            <w:shd w:fill="FBE8D3" w:color="auto" w:val="clear"/>
            <w:tcMar>
              <w:top w:type="dxa" w:w="60"/>
              <w:left w:type="dxa" w:w="100"/>
              <w:bottom w:type="dxa" w:w="60"/>
              <w:right w:type="dxa" w:w="100"/>
            </w:tcMar>
            <w:vAlign w:val="center"/>
          </w:tcPr>
          <w:p>
            <w:pPr>
              <w:jc w:val="center"/>
            </w:pPr>
            <w:r>
              <w:rPr>
                <w:rFonts w:ascii="Calibri" w:cs="Calibri" w:eastAsia="Calibri" w:hAnsi="Calibri"/>
                <w:b/>
                <w:bCs/>
                <w:color w:val="9A5300"/>
                <w:sz w:val="17"/>
                <w:szCs w:val="17"/>
              </w:rPr>
              <w:t xml:space="preserve">À valider</w:t>
            </w:r>
          </w:p>
        </w:tc>
      </w:tr>
      <w:tr>
        <w:trPr>
          <w:cantSplit/>
        </w:trPr>
        <w:tc>
          <w:tcPr>
            <w:tcW w:type="dxa" w:w="36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Il n'existe pas d'identifiant unique fiable</w:t>
            </w:r>
          </w:p>
        </w:tc>
        <w:tc>
          <w:tcPr>
            <w:tcW w:type="dxa" w:w="46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Si un identifiant fiable existe, le dédoublonnage en sera simplifié</w:t>
            </w:r>
          </w:p>
        </w:tc>
        <w:tc>
          <w:tcPr>
            <w:tcW w:type="dxa" w:w="1400"/>
            <w:tcBorders>
              <w:top w:val="single" w:color="C9D3CD" w:sz="4"/>
              <w:left w:val="single" w:color="C9D3CD" w:sz="4"/>
              <w:bottom w:val="single" w:color="C9D3CD" w:sz="4"/>
              <w:right w:val="single" w:color="C9D3CD" w:sz="4"/>
            </w:tcBorders>
            <w:shd w:fill="FBE8D3" w:color="auto" w:val="clear"/>
            <w:tcMar>
              <w:top w:type="dxa" w:w="60"/>
              <w:left w:type="dxa" w:w="100"/>
              <w:bottom w:type="dxa" w:w="60"/>
              <w:right w:type="dxa" w:w="100"/>
            </w:tcMar>
            <w:vAlign w:val="center"/>
          </w:tcPr>
          <w:p>
            <w:pPr>
              <w:jc w:val="center"/>
            </w:pPr>
            <w:r>
              <w:rPr>
                <w:rFonts w:ascii="Calibri" w:cs="Calibri" w:eastAsia="Calibri" w:hAnsi="Calibri"/>
                <w:b/>
                <w:bCs/>
                <w:color w:val="9A5300"/>
                <w:sz w:val="17"/>
                <w:szCs w:val="17"/>
              </w:rPr>
              <w:t xml:space="preserve">À valider</w:t>
            </w:r>
          </w:p>
        </w:tc>
      </w:tr>
      <w:tr>
        <w:trPr>
          <w:cantSplit/>
        </w:trPr>
        <w:tc>
          <w:tcPr>
            <w:tcW w:type="dxa" w:w="36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La base contient peu ou pas de données parcellaires</w:t>
            </w:r>
          </w:p>
        </w:tc>
        <w:tc>
          <w:tcPr>
            <w:tcW w:type="dxa" w:w="46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Des coordonnées existantes seraient reprises dans la base géographique</w:t>
            </w:r>
          </w:p>
        </w:tc>
        <w:tc>
          <w:tcPr>
            <w:tcW w:type="dxa" w:w="1400"/>
            <w:tcBorders>
              <w:top w:val="single" w:color="C9D3CD" w:sz="4"/>
              <w:left w:val="single" w:color="C9D3CD" w:sz="4"/>
              <w:bottom w:val="single" w:color="C9D3CD" w:sz="4"/>
              <w:right w:val="single" w:color="C9D3CD" w:sz="4"/>
            </w:tcBorders>
            <w:shd w:fill="FBE8D3" w:color="auto" w:val="clear"/>
            <w:tcMar>
              <w:top w:type="dxa" w:w="60"/>
              <w:left w:type="dxa" w:w="100"/>
              <w:bottom w:type="dxa" w:w="60"/>
              <w:right w:type="dxa" w:w="100"/>
            </w:tcMar>
            <w:vAlign w:val="center"/>
          </w:tcPr>
          <w:p>
            <w:pPr>
              <w:jc w:val="center"/>
            </w:pPr>
            <w:r>
              <w:rPr>
                <w:rFonts w:ascii="Calibri" w:cs="Calibri" w:eastAsia="Calibri" w:hAnsi="Calibri"/>
                <w:b/>
                <w:bCs/>
                <w:color w:val="9A5300"/>
                <w:sz w:val="17"/>
                <w:szCs w:val="17"/>
              </w:rPr>
              <w:t xml:space="preserve">À valider</w:t>
            </w:r>
          </w:p>
        </w:tc>
      </w:tr>
    </w:tbl>
    <w:p>
      <w:pPr>
        <w:spacing w:after="140"/>
      </w:pPr>
    </w:p>
    <w:p>
      <w:pPr>
        <w:pStyle w:val="Heading2"/>
      </w:pPr>
      <w:r>
        <w:t xml:space="preserve">6.3 Démarche proposée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238"/>
        <w:gridCol w:w="1500"/>
        <w:gridCol w:w="2200"/>
      </w:tblGrid>
      <w:tr>
        <w:trPr>
          <w:tblHeader/>
        </w:trPr>
        <w:tc>
          <w:tcPr>
            <w:tcW w:type="dxa" w:w="17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Étape</w:t>
            </w:r>
          </w:p>
        </w:tc>
        <w:tc>
          <w:tcPr>
            <w:tcW w:type="dxa" w:w="42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Contenu</w:t>
            </w:r>
          </w:p>
        </w:tc>
        <w:tc>
          <w:tcPr>
            <w:tcW w:type="dxa" w:w="15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Période</w:t>
            </w:r>
          </w:p>
        </w:tc>
        <w:tc>
          <w:tcPr>
            <w:tcW w:type="dxa" w:w="22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Résultat</w:t>
            </w:r>
          </w:p>
        </w:tc>
      </w:tr>
      <w:tr>
        <w:trPr>
          <w:cantSplit/>
        </w:trPr>
        <w:tc>
          <w:tcPr>
            <w:tcW w:type="dxa" w:w="1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1. Inventaire</w:t>
            </w:r>
          </w:p>
        </w:tc>
        <w:tc>
          <w:tcPr>
            <w:tcW w:type="dxa" w:w="4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Recensement des sources, de leur origine, de leur date et de leur responsable</w:t>
            </w:r>
          </w:p>
        </w:tc>
        <w:tc>
          <w:tcPr>
            <w:tcW w:type="dxa" w:w="1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S1</w:t>
            </w:r>
          </w:p>
        </w:tc>
        <w:tc>
          <w:tcPr>
            <w:tcW w:type="dxa" w:w="2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Inventaire des sources</w:t>
            </w:r>
          </w:p>
        </w:tc>
      </w:tr>
      <w:tr>
        <w:trPr>
          <w:cantSplit/>
        </w:trPr>
        <w:tc>
          <w:tcPr>
            <w:tcW w:type="dxa" w:w="1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2. Profilage</w:t>
            </w:r>
          </w:p>
        </w:tc>
        <w:tc>
          <w:tcPr>
            <w:tcW w:type="dxa" w:w="42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Analyse automatisée : volumes, taux de remplissage, formats, valeurs aberrantes, doublons exacts et probables</w:t>
            </w:r>
          </w:p>
        </w:tc>
        <w:tc>
          <w:tcPr>
            <w:tcW w:type="dxa" w:w="1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S1 et S2</w:t>
            </w:r>
          </w:p>
        </w:tc>
        <w:tc>
          <w:tcPr>
            <w:tcW w:type="dxa" w:w="2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Rapport d'audit chiffré, annexé au rapport de démarrage</w:t>
            </w:r>
          </w:p>
        </w:tc>
      </w:tr>
      <w:tr>
        <w:trPr>
          <w:cantSplit/>
        </w:trPr>
        <w:tc>
          <w:tcPr>
            <w:tcW w:type="dxa" w:w="1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3. Qualification</w:t>
            </w:r>
          </w:p>
        </w:tc>
        <w:tc>
          <w:tcPr>
            <w:tcW w:type="dxa" w:w="4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Définition avec le CRADESC des champs obligatoires, des référentiels et d'une grille de qualité par fiche</w:t>
            </w:r>
          </w:p>
        </w:tc>
        <w:tc>
          <w:tcPr>
            <w:tcW w:type="dxa" w:w="1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S2 et S3</w:t>
            </w:r>
          </w:p>
        </w:tc>
        <w:tc>
          <w:tcPr>
            <w:tcW w:type="dxa" w:w="2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Règles de qualité et dictionnaire de données</w:t>
            </w:r>
          </w:p>
        </w:tc>
      </w:tr>
      <w:tr>
        <w:trPr>
          <w:cantSplit/>
        </w:trPr>
        <w:tc>
          <w:tcPr>
            <w:tcW w:type="dxa" w:w="1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4. Nettoyage</w:t>
            </w:r>
          </w:p>
        </w:tc>
        <w:tc>
          <w:tcPr>
            <w:tcW w:type="dxa" w:w="42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Normalisation automatique, détection des doublons, arbitrage des cas douteux par les coopératives</w:t>
            </w:r>
          </w:p>
        </w:tc>
        <w:tc>
          <w:tcPr>
            <w:tcW w:type="dxa" w:w="1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S3 à S8</w:t>
            </w:r>
          </w:p>
        </w:tc>
        <w:tc>
          <w:tcPr>
            <w:tcW w:type="dxa" w:w="2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Base nettoyée et journal des corrections</w:t>
            </w:r>
          </w:p>
        </w:tc>
      </w:tr>
      <w:tr>
        <w:trPr>
          <w:cantSplit/>
        </w:trPr>
        <w:tc>
          <w:tcPr>
            <w:tcW w:type="dxa" w:w="1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5. Migration</w:t>
            </w:r>
          </w:p>
        </w:tc>
        <w:tc>
          <w:tcPr>
            <w:tcW w:type="dxa" w:w="4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Scripts d'import rejouables, correspondance source et cible, deux imports à blanc, contrôles de réconciliation</w:t>
            </w:r>
          </w:p>
        </w:tc>
        <w:tc>
          <w:tcPr>
            <w:tcW w:type="dxa" w:w="1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S7, S9 et S11</w:t>
            </w:r>
          </w:p>
        </w:tc>
        <w:tc>
          <w:tcPr>
            <w:tcW w:type="dxa" w:w="2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Base de production chargée</w:t>
            </w:r>
          </w:p>
        </w:tc>
      </w:tr>
      <w:tr>
        <w:trPr>
          <w:cantSplit/>
        </w:trPr>
        <w:tc>
          <w:tcPr>
            <w:tcW w:type="dxa" w:w="1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6. Complétion</w:t>
            </w:r>
          </w:p>
        </w:tc>
        <w:tc>
          <w:tcPr>
            <w:tcW w:type="dxa" w:w="42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Fiches incomplètes signalées aux techniciens dans l'application</w:t>
            </w:r>
          </w:p>
        </w:tc>
        <w:tc>
          <w:tcPr>
            <w:tcW w:type="dxa" w:w="1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S11 et accompagnement</w:t>
            </w:r>
          </w:p>
        </w:tc>
        <w:tc>
          <w:tcPr>
            <w:tcW w:type="dxa" w:w="2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Taux de complétude suivi</w:t>
            </w:r>
          </w:p>
        </w:tc>
      </w:tr>
    </w:tbl>
    <w:p>
      <w:pPr>
        <w:spacing w:after="140"/>
      </w:pPr>
    </w:p>
    <w:p>
      <w:pPr>
        <w:pStyle w:val="Heading2"/>
      </w:pPr>
      <w:r>
        <w:t xml:space="preserve">6.4 Grille de qualification des fiches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838"/>
        <w:gridCol w:w="2800"/>
      </w:tblGrid>
      <w:tr>
        <w:trPr>
          <w:tblHeader/>
        </w:trPr>
        <w:tc>
          <w:tcPr>
            <w:tcW w:type="dxa" w:w="20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Niveau</w:t>
            </w:r>
          </w:p>
        </w:tc>
        <w:tc>
          <w:tcPr>
            <w:tcW w:type="dxa" w:w="48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Critère indicatif</w:t>
            </w:r>
          </w:p>
        </w:tc>
        <w:tc>
          <w:tcPr>
            <w:tcW w:type="dxa" w:w="28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Traitement</w:t>
            </w:r>
          </w:p>
        </w:tc>
      </w:tr>
      <w:tr>
        <w:trPr>
          <w:cantSplit/>
        </w:trPr>
        <w:tc>
          <w:tcPr>
            <w:tcW w:type="dxa" w:w="20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A. Exploitable</w:t>
            </w:r>
          </w:p>
        </w:tc>
        <w:tc>
          <w:tcPr>
            <w:tcW w:type="dxa" w:w="48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Identité complète, genre, coopérative, localité et téléphone valide ; aucun doublon probable</w:t>
            </w:r>
          </w:p>
        </w:tc>
        <w:tc>
          <w:tcPr>
            <w:tcW w:type="dxa" w:w="28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Import direct</w:t>
            </w:r>
          </w:p>
        </w:tc>
      </w:tr>
      <w:tr>
        <w:trPr>
          <w:cantSplit/>
        </w:trPr>
        <w:tc>
          <w:tcPr>
            <w:tcW w:type="dxa" w:w="20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B. Incomplet</w:t>
            </w:r>
          </w:p>
        </w:tc>
        <w:tc>
          <w:tcPr>
            <w:tcW w:type="dxa" w:w="48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Identité et coopérative renseignées ; informations secondaires manquantes</w:t>
            </w:r>
          </w:p>
        </w:tc>
        <w:tc>
          <w:tcPr>
            <w:tcW w:type="dxa" w:w="28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Import avec la mention « à compléter »</w:t>
            </w:r>
          </w:p>
        </w:tc>
      </w:tr>
      <w:tr>
        <w:trPr>
          <w:cantSplit/>
        </w:trPr>
        <w:tc>
          <w:tcPr>
            <w:tcW w:type="dxa" w:w="20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C. Douteux</w:t>
            </w:r>
          </w:p>
        </w:tc>
        <w:tc>
          <w:tcPr>
            <w:tcW w:type="dxa" w:w="48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Doublon probable, coopérative inconnue ou incohérences</w:t>
            </w:r>
          </w:p>
        </w:tc>
        <w:tc>
          <w:tcPr>
            <w:tcW w:type="dxa" w:w="28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Arbitrage par la coopérative avant import</w:t>
            </w:r>
          </w:p>
        </w:tc>
      </w:tr>
      <w:tr>
        <w:trPr>
          <w:cantSplit/>
        </w:trPr>
        <w:tc>
          <w:tcPr>
            <w:tcW w:type="dxa" w:w="20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D. Inexploitable</w:t>
            </w:r>
          </w:p>
        </w:tc>
        <w:tc>
          <w:tcPr>
            <w:tcW w:type="dxa" w:w="48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Identité absente ou illisible</w:t>
            </w:r>
          </w:p>
        </w:tc>
        <w:tc>
          <w:tcPr>
            <w:tcW w:type="dxa" w:w="28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Non importé, listé dans le rapport</w:t>
            </w:r>
          </w:p>
        </w:tc>
      </w:tr>
    </w:tbl>
    <w:p>
      <w:pPr>
        <w:spacing w:after="140"/>
      </w:pPr>
    </w:p>
    <w:p>
      <w:pPr>
        <w:pStyle w:val="Heading2"/>
      </w:pPr>
      <w:r>
        <w:t xml:space="preserve">6.5 Règles de dédoublonnage</w:t>
      </w:r>
    </w:p>
    <w:p>
      <w:pPr>
        <w:pStyle w:val="ListParagraph"/>
        <w:numPr>
          <w:ilvl w:val="0"/>
          <w:numId w:val="2"/>
        </w:numPr>
        <w:spacing w:after="60" w:line="264"/>
        <w:jc w:val="left"/>
      </w:pPr>
      <w:r>
        <w:rPr>
          <w:rFonts w:ascii="Calibri" w:cs="Calibri" w:eastAsia="Calibri" w:hAnsi="Calibri"/>
          <w:b/>
          <w:bCs/>
        </w:rPr>
        <w:t xml:space="preserve">Doublon certain</w:t>
      </w:r>
      <w:r>
        <w:rPr>
          <w:rFonts w:ascii="Calibri" w:cs="Calibri" w:eastAsia="Calibri" w:hAnsi="Calibri"/>
        </w:rPr>
        <w:t xml:space="preserve"> : même numéro de téléphone normalisé et nom très proche.</w:t>
      </w:r>
    </w:p>
    <w:p>
      <w:pPr>
        <w:pStyle w:val="ListParagraph"/>
        <w:numPr>
          <w:ilvl w:val="0"/>
          <w:numId w:val="2"/>
        </w:numPr>
        <w:spacing w:after="60" w:line="264"/>
        <w:jc w:val="left"/>
      </w:pPr>
      <w:r>
        <w:rPr>
          <w:rFonts w:ascii="Calibri" w:cs="Calibri" w:eastAsia="Calibri" w:hAnsi="Calibri"/>
          <w:b/>
          <w:bCs/>
        </w:rPr>
        <w:t xml:space="preserve">Doublon probable</w:t>
      </w:r>
      <w:r>
        <w:rPr>
          <w:rFonts w:ascii="Calibri" w:cs="Calibri" w:eastAsia="Calibri" w:hAnsi="Calibri"/>
        </w:rPr>
        <w:t xml:space="preserve"> : nom et prénom proches (variantes de transcription), même localité, âge compatible ; soumis à arbitrage.</w:t>
      </w:r>
    </w:p>
    <w:p>
      <w:pPr>
        <w:pStyle w:val="ListParagraph"/>
        <w:numPr>
          <w:ilvl w:val="0"/>
          <w:numId w:val="2"/>
        </w:numPr>
        <w:spacing w:after="60" w:line="264"/>
        <w:jc w:val="left"/>
      </w:pPr>
      <w:r>
        <w:rPr>
          <w:rFonts w:ascii="Calibri" w:cs="Calibri" w:eastAsia="Calibri" w:hAnsi="Calibri"/>
          <w:b/>
          <w:bCs/>
        </w:rPr>
        <w:t xml:space="preserve">Homonymes</w:t>
      </w:r>
      <w:r>
        <w:rPr>
          <w:rFonts w:ascii="Calibri" w:cs="Calibri" w:eastAsia="Calibri" w:hAnsi="Calibri"/>
        </w:rPr>
        <w:t xml:space="preserve"> : aucune fusion automatique sur la seule base du nom.</w:t>
      </w:r>
    </w:p>
    <w:p>
      <w:pPr>
        <w:pStyle w:val="ListParagraph"/>
        <w:numPr>
          <w:ilvl w:val="0"/>
          <w:numId w:val="2"/>
        </w:numPr>
        <w:spacing w:after="60" w:line="264"/>
        <w:jc w:val="left"/>
      </w:pPr>
      <w:r>
        <w:rPr>
          <w:rFonts w:ascii="Calibri" w:cs="Calibri" w:eastAsia="Calibri" w:hAnsi="Calibri"/>
          <w:b/>
          <w:bCs/>
        </w:rPr>
        <w:t xml:space="preserve">Traçabilité</w:t>
      </w:r>
      <w:r>
        <w:rPr>
          <w:rFonts w:ascii="Calibri" w:cs="Calibri" w:eastAsia="Calibri" w:hAnsi="Calibri"/>
        </w:rPr>
        <w:t xml:space="preserve"> : toute fusion est journalisée et réversible ; l'identifiant d'origine de chaque fiche est conservé.</w:t>
      </w:r>
    </w:p>
    <w:p>
      <w:pPr>
        <w:spacing w:after="120" w:line="276"/>
        <w:jc w:val="both"/>
      </w:pPr>
      <w:r>
        <w:rPr>
          <w:rFonts w:ascii="Calibri" w:cs="Calibri" w:eastAsia="Calibri" w:hAnsi="Calibri"/>
        </w:rPr>
        <w:t xml:space="preserve">Un même numéro de téléphone pouvant être partagé au sein d'une famille, et ce numéro servant aussi à l'authentification, sa règle de gestion sera arrêtée avec le CRADESC.</w:t>
      </w:r>
    </w:p>
    <w:p>
      <w:pPr>
        <w:pStyle w:val="Heading2"/>
      </w:pPr>
      <w:r>
        <w:t xml:space="preserve">6.6 Livrables du chantier</w:t>
      </w:r>
    </w:p>
    <w:p>
      <w:pPr>
        <w:pStyle w:val="ListParagraph"/>
        <w:numPr>
          <w:ilvl w:val="0"/>
          <w:numId w:val="2"/>
        </w:numPr>
        <w:spacing w:after="60" w:line="264"/>
        <w:jc w:val="left"/>
      </w:pPr>
      <w:r>
        <w:rPr>
          <w:rFonts w:ascii="Calibri" w:cs="Calibri" w:eastAsia="Calibri" w:hAnsi="Calibri"/>
        </w:rPr>
        <w:t xml:space="preserve">Rapport d'audit de la base existante (fin S2), déterminant pour fixer l'engagement réaliste sur le livrable L6.</w:t>
      </w:r>
    </w:p>
    <w:p>
      <w:pPr>
        <w:pStyle w:val="ListParagraph"/>
        <w:numPr>
          <w:ilvl w:val="0"/>
          <w:numId w:val="2"/>
        </w:numPr>
        <w:spacing w:after="60" w:line="264"/>
        <w:jc w:val="left"/>
      </w:pPr>
      <w:r>
        <w:rPr>
          <w:rFonts w:ascii="Calibri" w:cs="Calibri" w:eastAsia="Calibri" w:hAnsi="Calibri"/>
        </w:rPr>
        <w:t xml:space="preserve">Dictionnaire de données cible et table de correspondance (fin S3, annexés au livrable L2).</w:t>
      </w:r>
    </w:p>
    <w:p>
      <w:pPr>
        <w:pStyle w:val="ListParagraph"/>
        <w:numPr>
          <w:ilvl w:val="0"/>
          <w:numId w:val="2"/>
        </w:numPr>
        <w:spacing w:after="60" w:line="264"/>
        <w:jc w:val="left"/>
      </w:pPr>
      <w:r>
        <w:rPr>
          <w:rFonts w:ascii="Calibri" w:cs="Calibri" w:eastAsia="Calibri" w:hAnsi="Calibri"/>
        </w:rPr>
        <w:t xml:space="preserve">Scripts de migration versionnés et comptes rendus des imports à blanc (S7 et S9).</w:t>
      </w:r>
    </w:p>
    <w:p>
      <w:pPr>
        <w:pStyle w:val="ListParagraph"/>
        <w:numPr>
          <w:ilvl w:val="0"/>
          <w:numId w:val="2"/>
        </w:numPr>
        <w:spacing w:after="60" w:line="264"/>
        <w:jc w:val="left"/>
      </w:pPr>
      <w:r>
        <w:rPr>
          <w:rFonts w:ascii="Calibri" w:cs="Calibri" w:eastAsia="Calibri" w:hAnsi="Calibri"/>
        </w:rPr>
        <w:t xml:space="preserve">Rapport de migration final : volumes importés, rejets, fusions, fiches à compléter (annexé au livrable L6).</w:t>
      </w:r>
    </w:p>
    <w:p>
      <w:pPr>
        <w:pStyle w:val="Heading1"/>
      </w:pPr>
      <w:r>
        <w:t xml:space="preserve">7. Architecture et choix techniques</w:t>
      </w:r>
    </w:p>
    <w:p>
      <w:pPr>
        <w:pStyle w:val="Heading2"/>
      </w:pPr>
      <w:r>
        <w:t xml:space="preserve">7.1 Vue d'ensemble</w:t>
      </w:r>
    </w:p>
    <w:p>
      <w:pPr>
        <w:spacing w:after="120" w:line="276"/>
        <w:jc w:val="both"/>
      </w:pPr>
      <w:r>
        <w:rPr>
          <w:rFonts w:ascii="Calibri" w:cs="Calibri" w:eastAsia="Calibri" w:hAnsi="Calibri"/>
        </w:rPr>
        <w:t xml:space="preserve">L'architecture retenue dans l'offre repose sur trois couches communiquant par une API REST centrale sécurisée [OT §4.1]. Elle est confirmée par l'équipe technique, avec les précisions de conception apportées ci-dessous.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Couche</w:t>
            </w:r>
          </w:p>
        </w:tc>
        <w:tc>
          <w:tcPr>
            <w:tcW w:type="dxa" w:w="40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Rôle</w:t>
            </w:r>
          </w:p>
        </w:tc>
        <w:tc>
          <w:tcPr>
            <w:tcW w:type="dxa" w:w="3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Technologies</w:t>
            </w:r>
          </w:p>
        </w:tc>
      </w:tr>
      <w:tr>
        <w:trPr>
          <w:cantSplit/>
        </w:trPr>
        <w:tc>
          <w:tcPr>
            <w:tcW w:type="dxa" w:w="2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Application mobile</w:t>
            </w:r>
          </w:p>
        </w:tc>
        <w:tc>
          <w:tcPr>
            <w:tcW w:type="dxa" w:w="40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Interface de terrain des producteurs et techniciens ; fonctionnement hors connexion ; relevé GPS</w:t>
            </w:r>
          </w:p>
        </w:tc>
        <w:tc>
          <w:tcPr>
            <w:tcW w:type="dxa" w:w="3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Flutter (Dart), base locale SQLite via Drift chiffrée, carte flutter_map</w:t>
            </w:r>
          </w:p>
        </w:tc>
      </w:tr>
      <w:tr>
        <w:trPr>
          <w:cantSplit/>
        </w:trPr>
        <w:tc>
          <w:tcPr>
            <w:tcW w:type="dxa" w:w="2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Application web</w:t>
            </w:r>
          </w:p>
        </w:tc>
        <w:tc>
          <w:tcPr>
            <w:tcW w:type="dxa" w:w="40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Administration, tableaux de bord, cartographie, rapports et exports</w:t>
            </w:r>
          </w:p>
        </w:tc>
        <w:tc>
          <w:tcPr>
            <w:tcW w:type="dxa" w:w="3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Angular (TypeScript), Leaflet</w:t>
            </w:r>
          </w:p>
        </w:tc>
      </w:tr>
      <w:tr>
        <w:trPr>
          <w:cantSplit/>
        </w:trPr>
        <w:tc>
          <w:tcPr>
            <w:tcW w:type="dxa" w:w="2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Serveur et API</w:t>
            </w:r>
          </w:p>
        </w:tc>
        <w:tc>
          <w:tcPr>
            <w:tcW w:type="dxa" w:w="40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Règles métier, authentification, droits, synchronisation, journal d'audit</w:t>
            </w:r>
          </w:p>
        </w:tc>
        <w:tc>
          <w:tcPr>
            <w:tcW w:type="dxa" w:w="3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NestJS (Node.js, TypeScript), REST documentée (Swagger)</w:t>
            </w:r>
          </w:p>
        </w:tc>
      </w:tr>
      <w:tr>
        <w:trPr>
          <w:cantSplit/>
        </w:trPr>
        <w:tc>
          <w:tcPr>
            <w:tcW w:type="dxa" w:w="2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Données</w:t>
            </w:r>
          </w:p>
        </w:tc>
        <w:tc>
          <w:tcPr>
            <w:tcW w:type="dxa" w:w="40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Données de gestion et données géographiques</w:t>
            </w:r>
          </w:p>
        </w:tc>
        <w:tc>
          <w:tcPr>
            <w:tcW w:type="dxa" w:w="3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PostgreSQL 16 et PostGIS</w:t>
            </w:r>
          </w:p>
        </w:tc>
      </w:tr>
      <w:tr>
        <w:trPr>
          <w:cantSplit/>
        </w:trPr>
        <w:tc>
          <w:tcPr>
            <w:tcW w:type="dxa" w:w="2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Traitements différés et cache</w:t>
            </w:r>
          </w:p>
        </w:tc>
        <w:tc>
          <w:tcPr>
            <w:tcW w:type="dxa" w:w="40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Rapports, imports, notifications, post-traitement de la synchronisation</w:t>
            </w:r>
          </w:p>
        </w:tc>
        <w:tc>
          <w:tcPr>
            <w:tcW w:type="dxa" w:w="3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Redis et BullMQ</w:t>
            </w:r>
          </w:p>
        </w:tc>
      </w:tr>
      <w:tr>
        <w:trPr>
          <w:cantSplit/>
        </w:trPr>
        <w:tc>
          <w:tcPr>
            <w:tcW w:type="dxa" w:w="2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Fichiers</w:t>
            </w:r>
          </w:p>
        </w:tc>
        <w:tc>
          <w:tcPr>
            <w:tcW w:type="dxa" w:w="40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Documents administratifs, photos, pièces justificatives</w:t>
            </w:r>
          </w:p>
        </w:tc>
        <w:tc>
          <w:tcPr>
            <w:tcW w:type="dxa" w:w="3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MinIO (compatible S3)</w:t>
            </w:r>
          </w:p>
        </w:tc>
      </w:tr>
      <w:tr>
        <w:trPr>
          <w:cantSplit/>
        </w:trPr>
        <w:tc>
          <w:tcPr>
            <w:tcW w:type="dxa" w:w="2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Exploitation</w:t>
            </w:r>
          </w:p>
        </w:tc>
        <w:tc>
          <w:tcPr>
            <w:tcW w:type="dxa" w:w="40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Conteneurisation, intégration et déploiement continus, supervision</w:t>
            </w:r>
          </w:p>
        </w:tc>
        <w:tc>
          <w:tcPr>
            <w:tcW w:type="dxa" w:w="3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Docker, GitHub Actions, Sentry, Grafana et Loki</w:t>
            </w:r>
          </w:p>
        </w:tc>
      </w:tr>
    </w:tbl>
    <w:p>
      <w:pPr>
        <w:spacing w:after="140"/>
      </w:pPr>
    </w:p>
    <w:p>
      <w:pPr>
        <w:pStyle w:val="Heading2"/>
      </w:pPr>
      <w:r>
        <w:t xml:space="preserve">7.2 Serveur : monolithe modulaire</w:t>
      </w:r>
    </w:p>
    <w:p>
      <w:pPr>
        <w:spacing w:after="120" w:line="276"/>
        <w:jc w:val="both"/>
      </w:pPr>
      <w:r>
        <w:rPr>
          <w:rFonts w:ascii="Calibri" w:cs="Calibri" w:eastAsia="Calibri" w:hAnsi="Calibri"/>
        </w:rPr>
        <w:t xml:space="preserve">Le choix d'un monolithe modulaire NestJS est retenu [OT §3.2] : un seul déploiement et une seule base de données, avec des modules métier fortement isolés et extractibles à terme. Il est adapté au délai, au volume attendu et aux capacités de maintenance du CRADESC.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6038"/>
        <w:gridCol w:w="1400"/>
      </w:tblGrid>
      <w:tr>
        <w:trPr>
          <w:tblHeader/>
        </w:trPr>
        <w:tc>
          <w:tcPr>
            <w:tcW w:type="dxa" w:w="22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Type</w:t>
            </w:r>
          </w:p>
        </w:tc>
        <w:tc>
          <w:tcPr>
            <w:tcW w:type="dxa" w:w="60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Modules</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Statut</w:t>
            </w:r>
          </w:p>
        </w:tc>
      </w:tr>
      <w:tr>
        <w:trPr>
          <w:cantSplit/>
        </w:trPr>
        <w:tc>
          <w:tcPr>
            <w:tcW w:type="dxa" w:w="2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Modules métier</w:t>
            </w:r>
          </w:p>
        </w:tc>
        <w:tc>
          <w:tcPr>
            <w:tcW w:type="dxa" w:w="60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Administratif, Commercial, Agronomique, Exploitation, SIG</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2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Modules transverses</w:t>
            </w:r>
          </w:p>
        </w:tc>
        <w:tc>
          <w:tcPr>
            <w:tcW w:type="dxa" w:w="60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Authentification (code à usage unique, jetons, PIN hors ligne), Droits et périmètres, Synchronisation, Journal d'audit, Fichiers, Rapports et exports, Référentiels, Notifications, Import de données</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bl>
    <w:p>
      <w:pPr>
        <w:spacing w:after="140"/>
      </w:pPr>
    </w:p>
    <w:p>
      <w:pPr>
        <w:spacing w:after="120" w:line="276"/>
        <w:jc w:val="both"/>
      </w:pPr>
      <w:r>
        <w:rPr>
          <w:rFonts w:ascii="Calibri" w:cs="Calibri" w:eastAsia="Calibri" w:hAnsi="Calibri"/>
        </w:rPr>
        <w:t xml:space="preserve">Règle d'architecture proposée : un module n'accède jamais directement aux tables d'un autre module et passe par ses services exposés. Cette discipline conditionne la possibilité d'extraire un module ultérieurement sans réécriture.</w:t>
      </w:r>
    </w:p>
    <w:p>
      <w:pPr>
        <w:pStyle w:val="Heading2"/>
      </w:pPr>
      <w:r>
        <w:t xml:space="preserve">7.3 Base de données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Domaine</w:t>
            </w:r>
          </w:p>
        </w:tc>
        <w:tc>
          <w:tcPr>
            <w:tcW w:type="dxa" w:w="74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Principales entités</w:t>
            </w:r>
          </w:p>
        </w:tc>
      </w:tr>
      <w:tr>
        <w:trPr>
          <w:cantSplit/>
        </w:trPr>
        <w:tc>
          <w:tcPr>
            <w:tcW w:type="dxa" w:w="2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Organisation</w:t>
            </w:r>
          </w:p>
        </w:tc>
        <w:tc>
          <w:tcPr>
            <w:tcW w:type="dxa" w:w="74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Faîtière, coopérative, localité, adhésion</w:t>
            </w:r>
          </w:p>
        </w:tc>
      </w:tr>
      <w:tr>
        <w:trPr>
          <w:cantSplit/>
        </w:trPr>
        <w:tc>
          <w:tcPr>
            <w:tcW w:type="dxa" w:w="2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Personnes</w:t>
            </w:r>
          </w:p>
        </w:tc>
        <w:tc>
          <w:tcPr>
            <w:tcW w:type="dxa" w:w="74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Producteur (avec identifiant d'origine pour les fiches migrées), utilisateur, appareil</w:t>
            </w:r>
          </w:p>
        </w:tc>
      </w:tr>
      <w:tr>
        <w:trPr>
          <w:cantSplit/>
        </w:trPr>
        <w:tc>
          <w:tcPr>
            <w:tcW w:type="dxa" w:w="2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Administration</w:t>
            </w:r>
          </w:p>
        </w:tc>
        <w:tc>
          <w:tcPr>
            <w:tcW w:type="dxa" w:w="74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Cotisation, paiement, réunion, présence, procès-verbal, décision, document</w:t>
            </w:r>
          </w:p>
        </w:tc>
      </w:tr>
      <w:tr>
        <w:trPr>
          <w:cantSplit/>
        </w:trPr>
        <w:tc>
          <w:tcPr>
            <w:tcW w:type="dxa" w:w="2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Foncier et SIG</w:t>
            </w:r>
          </w:p>
        </w:tc>
        <w:tc>
          <w:tcPr>
            <w:tcW w:type="dxa" w:w="74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Parcelle (polygone, superficie mesurée, superficie déclarée, précision, statut de validation), historique des géométries</w:t>
            </w:r>
          </w:p>
        </w:tc>
      </w:tr>
      <w:tr>
        <w:trPr>
          <w:cantSplit/>
        </w:trPr>
        <w:tc>
          <w:tcPr>
            <w:tcW w:type="dxa" w:w="2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Agronomie</w:t>
            </w:r>
          </w:p>
        </w:tc>
        <w:tc>
          <w:tcPr>
            <w:tcW w:type="dxa" w:w="74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Campagne, culture sur parcelle, opération culturale, calendrier type, prévision, récolte</w:t>
            </w:r>
          </w:p>
        </w:tc>
      </w:tr>
      <w:tr>
        <w:trPr>
          <w:cantSplit/>
        </w:trPr>
        <w:tc>
          <w:tcPr>
            <w:tcW w:type="dxa" w:w="2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Économie et commerce</w:t>
            </w:r>
          </w:p>
        </w:tc>
        <w:tc>
          <w:tcPr>
            <w:tcW w:type="dxa" w:w="74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Charge, revenu, intrant, lot, mouvement de stock, crédit, échéance, remboursement, vente, acheteur, canal, prix de marché</w:t>
            </w:r>
          </w:p>
        </w:tc>
      </w:tr>
      <w:tr>
        <w:trPr>
          <w:cantSplit/>
        </w:trPr>
        <w:tc>
          <w:tcPr>
            <w:tcW w:type="dxa" w:w="2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Technique</w:t>
            </w:r>
          </w:p>
        </w:tc>
        <w:tc>
          <w:tcPr>
            <w:tcW w:type="dxa" w:w="74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Journal d'audit, journal des mutations synchronisées, lots d'import et rejets</w:t>
            </w:r>
          </w:p>
        </w:tc>
      </w:tr>
    </w:tbl>
    <w:p>
      <w:pPr>
        <w:spacing w:after="140"/>
      </w:pPr>
    </w:p>
    <w:p>
      <w:pPr>
        <w:spacing w:after="120" w:line="276"/>
        <w:jc w:val="both"/>
      </w:pPr>
      <w:r>
        <w:rPr>
          <w:rFonts w:ascii="Calibri" w:cs="Calibri" w:eastAsia="Calibri" w:hAnsi="Calibri"/>
        </w:rPr>
        <w:t xml:space="preserve">Conventions proposées : identifiants UUID générés par l'appareil, afin de permettre la création hors connexion ; horodatage, numéro de version et suppression logique sur toutes les données synchronisées ; montants en francs CFA entiers ; superficies stockées en mètres carrés et affichées en hectares.</w:t>
      </w:r>
    </w:p>
    <w:p>
      <w:pPr>
        <w:pStyle w:val="Heading2"/>
      </w:pPr>
      <w:r>
        <w:t xml:space="preserve">7.4 Application mobile</w:t>
      </w:r>
    </w:p>
    <w:p>
      <w:pPr>
        <w:pStyle w:val="ListParagraph"/>
        <w:numPr>
          <w:ilvl w:val="0"/>
          <w:numId w:val="2"/>
        </w:numPr>
        <w:spacing w:after="60" w:line="264"/>
        <w:jc w:val="left"/>
      </w:pPr>
      <w:r>
        <w:rPr>
          <w:rFonts w:ascii="Calibri" w:cs="Calibri" w:eastAsia="Calibri" w:hAnsi="Calibri"/>
        </w:rPr>
        <w:t xml:space="preserve">Démarrage et fonctionnement systématiques à partir de la base locale ; le réseau n'est jamais bloquant [OT §4.2].</w:t>
      </w:r>
    </w:p>
    <w:p>
      <w:pPr>
        <w:pStyle w:val="ListParagraph"/>
        <w:numPr>
          <w:ilvl w:val="0"/>
          <w:numId w:val="2"/>
        </w:numPr>
        <w:spacing w:after="60" w:line="264"/>
        <w:jc w:val="left"/>
      </w:pPr>
      <w:r>
        <w:rPr>
          <w:rFonts w:ascii="Calibri" w:cs="Calibri" w:eastAsia="Calibri" w:hAnsi="Calibri"/>
        </w:rPr>
        <w:t xml:space="preserve">Écrans prioritaires : recherche et fiche producteur, relevé de parcelle, saisies rapides, état de la synchronisation.</w:t>
      </w:r>
    </w:p>
    <w:p>
      <w:pPr>
        <w:pStyle w:val="ListParagraph"/>
        <w:numPr>
          <w:ilvl w:val="0"/>
          <w:numId w:val="2"/>
        </w:numPr>
        <w:spacing w:after="60" w:line="264"/>
        <w:jc w:val="left"/>
      </w:pPr>
      <w:r>
        <w:rPr>
          <w:rFonts w:ascii="Calibri" w:cs="Calibri" w:eastAsia="Calibri" w:hAnsi="Calibri"/>
        </w:rPr>
        <w:t xml:space="preserve">Photos compressées et transmises séparément des données, de préférence sur une connexion de bonne qualité.</w:t>
      </w:r>
    </w:p>
    <w:p>
      <w:pPr>
        <w:pStyle w:val="ListParagraph"/>
        <w:numPr>
          <w:ilvl w:val="0"/>
          <w:numId w:val="2"/>
        </w:numPr>
        <w:spacing w:after="60" w:line="264"/>
        <w:jc w:val="left"/>
      </w:pPr>
      <w:r>
        <w:rPr>
          <w:rFonts w:ascii="Calibri" w:cs="Calibri" w:eastAsia="Calibri" w:hAnsi="Calibri"/>
        </w:rPr>
        <w:t xml:space="preserve">Distribution via Google Play ; version iOS selon la décision du CRADESC (INF 43).</w:t>
      </w:r>
    </w:p>
    <w:p>
      <w:pPr>
        <w:pStyle w:val="Heading2"/>
      </w:pPr>
      <w:r>
        <w:t xml:space="preserve">7.5 Application web</w:t>
      </w:r>
    </w:p>
    <w:p>
      <w:pPr>
        <w:pStyle w:val="ListParagraph"/>
        <w:numPr>
          <w:ilvl w:val="0"/>
          <w:numId w:val="2"/>
        </w:numPr>
        <w:spacing w:after="60" w:line="264"/>
        <w:jc w:val="left"/>
      </w:pPr>
      <w:r>
        <w:rPr>
          <w:rFonts w:ascii="Calibri" w:cs="Calibri" w:eastAsia="Calibri" w:hAnsi="Calibri"/>
        </w:rPr>
        <w:t xml:space="preserve">Destinée aux gestionnaires, à la faîtière et au CRADESC : gestion complète, référentiels, tableaux de bord, carte interactive filtrable, exports.</w:t>
      </w:r>
    </w:p>
    <w:p>
      <w:pPr>
        <w:pStyle w:val="ListParagraph"/>
        <w:numPr>
          <w:ilvl w:val="0"/>
          <w:numId w:val="2"/>
        </w:numPr>
        <w:spacing w:after="60" w:line="264"/>
        <w:jc w:val="left"/>
      </w:pPr>
      <w:r>
        <w:rPr>
          <w:rFonts w:ascii="Calibri" w:cs="Calibri" w:eastAsia="Calibri" w:hAnsi="Calibri"/>
        </w:rPr>
        <w:t xml:space="preserve">Fonctionnement en ligne uniquement [OT §4.2].</w:t>
      </w:r>
    </w:p>
    <w:p>
      <w:pPr>
        <w:pStyle w:val="ListParagraph"/>
        <w:numPr>
          <w:ilvl w:val="0"/>
          <w:numId w:val="2"/>
        </w:numPr>
        <w:spacing w:after="60" w:line="264"/>
        <w:jc w:val="left"/>
      </w:pPr>
      <w:r>
        <w:rPr>
          <w:rFonts w:ascii="Calibri" w:cs="Calibri" w:eastAsia="Calibri" w:hAnsi="Calibri"/>
        </w:rPr>
        <w:t xml:space="preserve">Affichage adapté aux écrans mobiles si les gestionnaires ne disposent pas d'ordinateur (INF 44).</w:t>
      </w:r>
    </w:p>
    <w:p>
      <w:pPr>
        <w:pStyle w:val="Heading2"/>
      </w:pPr>
      <w:r>
        <w:t xml:space="preserve">7.6 Environnements, déploiement et exploitation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tblHeader/>
        </w:trPr>
        <w:tc>
          <w:tcPr>
            <w:tcW w:type="dxa" w:w="23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Élément</w:t>
            </w:r>
          </w:p>
        </w:tc>
        <w:tc>
          <w:tcPr>
            <w:tcW w:type="dxa" w:w="59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Disposition</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Statut</w:t>
            </w:r>
          </w:p>
        </w:tc>
      </w:tr>
      <w:tr>
        <w:trPr>
          <w:cantSplit/>
        </w:trPr>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Environnements</w:t>
            </w:r>
          </w:p>
        </w:tc>
        <w:tc>
          <w:tcPr>
            <w:tcW w:type="dxa" w:w="5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Développement, recette et démonstration, production</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2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Déploiement</w:t>
            </w:r>
          </w:p>
        </w:tc>
        <w:tc>
          <w:tcPr>
            <w:tcW w:type="dxa" w:w="5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Intégration continue (contrôles, tests, construction des images) ; mise en production sur validation</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Sauvegardes</w:t>
            </w:r>
          </w:p>
        </w:tc>
        <w:tc>
          <w:tcPr>
            <w:tcW w:type="dxa" w:w="5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Quotidiennes, chiffrées, conservées 30 jours, restauration testée chaque trimestre [OT §4.3]</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2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Sauvegarde externalisée</w:t>
            </w:r>
          </w:p>
        </w:tc>
        <w:tc>
          <w:tcPr>
            <w:tcW w:type="dxa" w:w="5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Copie hors du serveur principal, y compris les fichiers</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Supervision</w:t>
            </w:r>
          </w:p>
        </w:tc>
        <w:tc>
          <w:tcPr>
            <w:tcW w:type="dxa" w:w="5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Sentry (serveur et mobile), Grafana et Loki, tableau de disponibilité accessible au CRADESC [OT §4.1]</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2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Hébergement</w:t>
            </w:r>
          </w:p>
        </w:tc>
        <w:tc>
          <w:tcPr>
            <w:tcW w:type="dxa" w:w="5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Serveur privé virtuel hébergé en Afrique selon l'offre ; fournisseur, pays et titulaire des comptes à arrêter</w:t>
            </w:r>
          </w:p>
        </w:tc>
        <w:tc>
          <w:tcPr>
            <w:tcW w:type="dxa" w:w="1400"/>
            <w:tcBorders>
              <w:top w:val="single" w:color="C9D3CD" w:sz="4"/>
              <w:left w:val="single" w:color="C9D3CD" w:sz="4"/>
              <w:bottom w:val="single" w:color="C9D3CD" w:sz="4"/>
              <w:right w:val="single" w:color="C9D3CD" w:sz="4"/>
            </w:tcBorders>
            <w:shd w:fill="FBE8D3" w:color="auto" w:val="clear"/>
            <w:tcMar>
              <w:top w:type="dxa" w:w="60"/>
              <w:left w:type="dxa" w:w="100"/>
              <w:bottom w:type="dxa" w:w="60"/>
              <w:right w:type="dxa" w:w="100"/>
            </w:tcMar>
            <w:vAlign w:val="center"/>
          </w:tcPr>
          <w:p>
            <w:pPr>
              <w:jc w:val="center"/>
            </w:pPr>
            <w:r>
              <w:rPr>
                <w:rFonts w:ascii="Calibri" w:cs="Calibri" w:eastAsia="Calibri" w:hAnsi="Calibri"/>
                <w:b/>
                <w:bCs/>
                <w:color w:val="9A5300"/>
                <w:sz w:val="17"/>
                <w:szCs w:val="17"/>
              </w:rPr>
              <w:t xml:space="preserve">À valider</w:t>
            </w:r>
          </w:p>
        </w:tc>
      </w:tr>
      <w:tr>
        <w:trPr>
          <w:cantSplit/>
        </w:trPr>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Niveau de service</w:t>
            </w:r>
          </w:p>
        </w:tc>
        <w:tc>
          <w:tcPr>
            <w:tcW w:type="dxa" w:w="5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L'offre annonce 99,5 % de disponibilité mensuelle avec un serveur unique ; il est proposé de le formaliser comme objectif, ou de prévoir une redondance</w:t>
            </w:r>
          </w:p>
        </w:tc>
        <w:tc>
          <w:tcPr>
            <w:tcW w:type="dxa" w:w="1400"/>
            <w:tcBorders>
              <w:top w:val="single" w:color="C9D3CD" w:sz="4"/>
              <w:left w:val="single" w:color="C9D3CD" w:sz="4"/>
              <w:bottom w:val="single" w:color="C9D3CD" w:sz="4"/>
              <w:right w:val="single" w:color="C9D3CD" w:sz="4"/>
            </w:tcBorders>
            <w:shd w:fill="FBE8D3" w:color="auto" w:val="clear"/>
            <w:tcMar>
              <w:top w:type="dxa" w:w="60"/>
              <w:left w:type="dxa" w:w="100"/>
              <w:bottom w:type="dxa" w:w="60"/>
              <w:right w:type="dxa" w:w="100"/>
            </w:tcMar>
            <w:vAlign w:val="center"/>
          </w:tcPr>
          <w:p>
            <w:pPr>
              <w:jc w:val="center"/>
            </w:pPr>
            <w:r>
              <w:rPr>
                <w:rFonts w:ascii="Calibri" w:cs="Calibri" w:eastAsia="Calibri" w:hAnsi="Calibri"/>
                <w:b/>
                <w:bCs/>
                <w:color w:val="9A5300"/>
                <w:sz w:val="17"/>
                <w:szCs w:val="17"/>
              </w:rPr>
              <w:t xml:space="preserve">À valider</w:t>
            </w:r>
          </w:p>
        </w:tc>
      </w:tr>
    </w:tbl>
    <w:p>
      <w:pPr>
        <w:spacing w:after="140"/>
      </w:pPr>
    </w:p>
    <w:p>
      <w:pPr>
        <w:pStyle w:val="Heading1"/>
      </w:pPr>
      <w:r>
        <w:t xml:space="preserve">8. Fonctionnement hors connexion et synchronisation</w:t>
      </w:r>
    </w:p>
    <w:p>
      <w:pPr>
        <w:pStyle w:val="Heading2"/>
      </w:pPr>
      <w:r>
        <w:t xml:space="preserve">8.1 Principes établis</w:t>
      </w:r>
    </w:p>
    <w:p>
      <w:pPr>
        <w:spacing w:after="120" w:line="276"/>
        <w:jc w:val="both"/>
      </w:pPr>
      <w:r>
        <w:rPr>
          <w:rFonts w:ascii="Calibri" w:cs="Calibri" w:eastAsia="Calibri" w:hAnsi="Calibri"/>
        </w:rPr>
        <w:t xml:space="preserve">Le fonctionnement hors connexion est le choix le plus structurant du projet [OT §4.2], [PR 7] :</w:t>
      </w:r>
    </w:p>
    <w:p>
      <w:pPr>
        <w:pStyle w:val="ListParagraph"/>
        <w:numPr>
          <w:ilvl w:val="0"/>
          <w:numId w:val="3"/>
        </w:numPr>
        <w:spacing w:after="60" w:line="264"/>
      </w:pPr>
      <w:r>
        <w:rPr>
          <w:rFonts w:ascii="Calibri" w:cs="Calibri" w:eastAsia="Calibri" w:hAnsi="Calibri"/>
        </w:rPr>
        <w:t xml:space="preserve">L'application fonctionne en permanence à partir de sa base locale.</w:t>
      </w:r>
    </w:p>
    <w:p>
      <w:pPr>
        <w:pStyle w:val="ListParagraph"/>
        <w:numPr>
          <w:ilvl w:val="0"/>
          <w:numId w:val="3"/>
        </w:numPr>
        <w:spacing w:after="60" w:line="264"/>
      </w:pPr>
      <w:r>
        <w:rPr>
          <w:rFonts w:ascii="Calibri" w:cs="Calibri" w:eastAsia="Calibri" w:hAnsi="Calibri"/>
        </w:rPr>
        <w:t xml:space="preserve">Toute action est enregistrée localement avec le statut « en attente de synchronisation ».</w:t>
      </w:r>
    </w:p>
    <w:p>
      <w:pPr>
        <w:pStyle w:val="ListParagraph"/>
        <w:numPr>
          <w:ilvl w:val="0"/>
          <w:numId w:val="3"/>
        </w:numPr>
        <w:spacing w:after="60" w:line="264"/>
      </w:pPr>
      <w:r>
        <w:rPr>
          <w:rFonts w:ascii="Calibri" w:cs="Calibri" w:eastAsia="Calibri" w:hAnsi="Calibri"/>
        </w:rPr>
        <w:t xml:space="preserve">Un service d'arrière-plan transmet les modifications dès que le réseau est disponible.</w:t>
      </w:r>
    </w:p>
    <w:p>
      <w:pPr>
        <w:pStyle w:val="ListParagraph"/>
        <w:numPr>
          <w:ilvl w:val="0"/>
          <w:numId w:val="3"/>
        </w:numPr>
        <w:spacing w:after="60" w:line="264"/>
      </w:pPr>
      <w:r>
        <w:rPr>
          <w:rFonts w:ascii="Calibri" w:cs="Calibri" w:eastAsia="Calibri" w:hAnsi="Calibri"/>
        </w:rPr>
        <w:t xml:space="preserve">Les conflits sont résolus selon une stratégie définie en phase 1.</w:t>
      </w:r>
    </w:p>
    <w:p>
      <w:pPr>
        <w:pStyle w:val="ListParagraph"/>
        <w:numPr>
          <w:ilvl w:val="0"/>
          <w:numId w:val="3"/>
        </w:numPr>
        <w:spacing w:after="60" w:line="264"/>
      </w:pPr>
      <w:r>
        <w:rPr>
          <w:rFonts w:ascii="Calibri" w:cs="Calibri" w:eastAsia="Calibri" w:hAnsi="Calibri"/>
        </w:rPr>
        <w:t xml:space="preserve">L'utilisateur ne voit pas d'erreur de connexion, seulement un indicateur de synchronisation.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2500"/>
        <w:gridCol w:w="2500"/>
      </w:tblGrid>
      <w:tr>
        <w:trPr>
          <w:tblHeader/>
        </w:trPr>
        <w:tc>
          <w:tcPr>
            <w:tcW w:type="dxa" w:w="46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Fonctionnalité</w:t>
            </w:r>
          </w:p>
        </w:tc>
        <w:tc>
          <w:tcPr>
            <w:tcW w:type="dxa" w:w="25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Hors connexion</w:t>
            </w:r>
          </w:p>
        </w:tc>
        <w:tc>
          <w:tcPr>
            <w:tcW w:type="dxa" w:w="25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En ligne</w:t>
            </w:r>
          </w:p>
        </w:tc>
      </w:tr>
      <w:tr>
        <w:trPr>
          <w:cantSplit/>
        </w:trPr>
        <w:tc>
          <w:tcPr>
            <w:tcW w:type="dxa" w:w="46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Saisie des activités, charges, revenus et ventes</w:t>
            </w:r>
          </w:p>
        </w:tc>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Complet</w:t>
            </w:r>
          </w:p>
        </w:tc>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Complet</w:t>
            </w:r>
          </w:p>
        </w:tc>
      </w:tr>
      <w:tr>
        <w:trPr>
          <w:cantSplit/>
        </w:trPr>
        <w:tc>
          <w:tcPr>
            <w:tcW w:type="dxa" w:w="46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Géoréférencement des parcelles</w:t>
            </w:r>
          </w:p>
        </w:tc>
        <w:tc>
          <w:tcPr>
            <w:tcW w:type="dxa" w:w="2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Complet</w:t>
            </w:r>
          </w:p>
        </w:tc>
        <w:tc>
          <w:tcPr>
            <w:tcW w:type="dxa" w:w="2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Complet</w:t>
            </w:r>
          </w:p>
        </w:tc>
      </w:tr>
      <w:tr>
        <w:trPr>
          <w:cantSplit/>
        </w:trPr>
        <w:tc>
          <w:tcPr>
            <w:tcW w:type="dxa" w:w="46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Consultation du profil, calendriers culturaux</w:t>
            </w:r>
          </w:p>
        </w:tc>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Dernière synchronisation</w:t>
            </w:r>
          </w:p>
        </w:tc>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Temps réel</w:t>
            </w:r>
          </w:p>
        </w:tc>
      </w:tr>
      <w:tr>
        <w:trPr>
          <w:cantSplit/>
        </w:trPr>
        <w:tc>
          <w:tcPr>
            <w:tcW w:type="dxa" w:w="46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Cartographie</w:t>
            </w:r>
          </w:p>
        </w:tc>
        <w:tc>
          <w:tcPr>
            <w:tcW w:type="dxa" w:w="2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Partielle (fonds en cache)</w:t>
            </w:r>
          </w:p>
        </w:tc>
        <w:tc>
          <w:tcPr>
            <w:tcW w:type="dxa" w:w="2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Complète</w:t>
            </w:r>
          </w:p>
        </w:tc>
      </w:tr>
      <w:tr>
        <w:trPr>
          <w:cantSplit/>
        </w:trPr>
        <w:tc>
          <w:tcPr>
            <w:tcW w:type="dxa" w:w="46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Rapports</w:t>
            </w:r>
          </w:p>
        </w:tc>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Données locales</w:t>
            </w:r>
          </w:p>
        </w:tc>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Consolidés</w:t>
            </w:r>
          </w:p>
        </w:tc>
      </w:tr>
      <w:tr>
        <w:trPr>
          <w:cantSplit/>
        </w:trPr>
        <w:tc>
          <w:tcPr>
            <w:tcW w:type="dxa" w:w="46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Prix de marché</w:t>
            </w:r>
          </w:p>
        </w:tc>
        <w:tc>
          <w:tcPr>
            <w:tcW w:type="dxa" w:w="2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Dernier prix synchronisé</w:t>
            </w:r>
          </w:p>
        </w:tc>
        <w:tc>
          <w:tcPr>
            <w:tcW w:type="dxa" w:w="2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Temps réel</w:t>
            </w:r>
          </w:p>
        </w:tc>
      </w:tr>
      <w:tr>
        <w:trPr>
          <w:cantSplit/>
        </w:trPr>
        <w:tc>
          <w:tcPr>
            <w:tcW w:type="dxa" w:w="46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Tableau de bord CRADESC</w:t>
            </w:r>
          </w:p>
        </w:tc>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Non disponible</w:t>
            </w:r>
          </w:p>
        </w:tc>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Complet</w:t>
            </w:r>
          </w:p>
        </w:tc>
      </w:tr>
    </w:tbl>
    <w:p>
      <w:pPr>
        <w:spacing w:after="140"/>
      </w:pPr>
    </w:p>
    <w:p>
      <w:pPr>
        <w:pStyle w:val="Heading2"/>
      </w:pPr>
      <w:r>
        <w:t xml:space="preserve">8.2 Précision de conception</w:t>
      </w:r>
    </w:p>
    <w:p>
      <w:pPr>
        <w:spacing w:after="120" w:line="276"/>
        <w:jc w:val="both"/>
      </w:pPr>
      <w:r>
        <w:rPr>
          <w:rFonts w:ascii="Calibri" w:cs="Calibri" w:eastAsia="Calibri" w:hAnsi="Calibri"/>
        </w:rPr>
        <w:t xml:space="preserve">L'offre mentionne une synchronisation « via BullMQ ». BullMQ est une file de traitements côté serveur ; il ne peut pas conserver les modifications sur le téléphone. La file d'attente de l'appareil sera donc une </w:t>
      </w:r>
      <w:r>
        <w:rPr>
          <w:rFonts w:ascii="Calibri" w:cs="Calibri" w:eastAsia="Calibri" w:hAnsi="Calibri"/>
          <w:b/>
          <w:bCs/>
        </w:rPr>
        <w:t xml:space="preserve">file locale d'envoi (outbox) dans la base Drift</w:t>
      </w:r>
      <w:r>
        <w:rPr>
          <w:rFonts w:ascii="Calibri" w:cs="Calibri" w:eastAsia="Calibri" w:hAnsi="Calibri"/>
        </w:rPr>
        <w:t xml:space="preserve">, tandis que BullMQ sera utilisé côté serveur pour les traitements différés déclenchés par la synchronisation. Cette précision ne modifie pas la pile technologique retenue.</w:t>
      </w:r>
    </w:p>
    <w:p>
      <w:pPr>
        <w:pStyle w:val="Heading2"/>
      </w:pPr>
      <w:r>
        <w:t xml:space="preserve">8.3 Conception proposée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838"/>
        <w:gridCol w:w="1400"/>
      </w:tblGrid>
      <w:tr>
        <w:trPr>
          <w:tblHeader/>
        </w:trPr>
        <w:tc>
          <w:tcPr>
            <w:tcW w:type="dxa" w:w="2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Mécanisme</w:t>
            </w:r>
          </w:p>
        </w:tc>
        <w:tc>
          <w:tcPr>
            <w:tcW w:type="dxa" w:w="58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Principe</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Statut</w:t>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Envoi (appareil vers serveur)</w:t>
            </w:r>
          </w:p>
        </w:tc>
        <w:tc>
          <w:tcPr>
            <w:tcW w:type="dxa" w:w="58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Chaque modification locale génère une entrée identifiée de façon unique dans la file d'envoi. Les envois sont groupés et ordonnés. Le serveur les applique de manière idempotente : une modification déjà reçue n'est jamais rejouée, même après une coupure en cours d'envoi.</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2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Contrôle des droits</w:t>
            </w:r>
          </w:p>
        </w:tc>
        <w:tc>
          <w:tcPr>
            <w:tcW w:type="dxa" w:w="58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Le serveur revérifie les droits sur chaque modification reçue ; l'appareil n'est jamais considéré comme source de confiance.</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Réception (serveur vers appareil)</w:t>
            </w:r>
          </w:p>
        </w:tc>
        <w:tc>
          <w:tcPr>
            <w:tcW w:type="dxa" w:w="58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Synchronisation différentielle filtrée par périmètre : un technicien ne reçoit que les données de sa coopérative, un producteur que les siennes. Chargement initial par paquet compressé.</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2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Pièces jointes</w:t>
            </w:r>
          </w:p>
        </w:tc>
        <w:tc>
          <w:tcPr>
            <w:tcW w:type="dxa" w:w="58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Photos et documents transmis après les données, dans une file distincte, avec reprise en cas de coupure.</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Horloge</w:t>
            </w:r>
          </w:p>
        </w:tc>
        <w:tc>
          <w:tcPr>
            <w:tcW w:type="dxa" w:w="58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La date du serveur fait foi pour l'ordre de réception ; la date de l'appareil est conservée comme date métier.</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2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Authentification hors ligne</w:t>
            </w:r>
          </w:p>
        </w:tc>
        <w:tc>
          <w:tcPr>
            <w:tcW w:type="dxa" w:w="58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Code PIN local [OT §4.3] ; saisie hors connexion autorisée pendant une durée maximale après la dernière connexion ; révocation à distance d'un appareil perdu.</w:t>
            </w:r>
          </w:p>
        </w:tc>
        <w:tc>
          <w:tcPr>
            <w:tcW w:type="dxa" w:w="1400"/>
            <w:tcBorders>
              <w:top w:val="single" w:color="C9D3CD" w:sz="4"/>
              <w:left w:val="single" w:color="C9D3CD" w:sz="4"/>
              <w:bottom w:val="single" w:color="C9D3CD" w:sz="4"/>
              <w:right w:val="single" w:color="C9D3CD" w:sz="4"/>
            </w:tcBorders>
            <w:shd w:fill="FBE8D3" w:color="auto" w:val="clear"/>
            <w:tcMar>
              <w:top w:type="dxa" w:w="60"/>
              <w:left w:type="dxa" w:w="100"/>
              <w:bottom w:type="dxa" w:w="60"/>
              <w:right w:type="dxa" w:w="100"/>
            </w:tcMar>
            <w:vAlign w:val="center"/>
          </w:tcPr>
          <w:p>
            <w:pPr>
              <w:jc w:val="center"/>
            </w:pPr>
            <w:r>
              <w:rPr>
                <w:rFonts w:ascii="Calibri" w:cs="Calibri" w:eastAsia="Calibri" w:hAnsi="Calibri"/>
                <w:b/>
                <w:bCs/>
                <w:color w:val="9A5300"/>
                <w:sz w:val="17"/>
                <w:szCs w:val="17"/>
              </w:rPr>
              <w:t xml:space="preserve">À valider</w:t>
            </w:r>
          </w:p>
        </w:tc>
      </w:tr>
    </w:tbl>
    <w:p>
      <w:pPr>
        <w:spacing w:after="140"/>
      </w:pPr>
    </w:p>
    <w:p>
      <w:pPr>
        <w:pStyle w:val="Heading2"/>
      </w:pPr>
      <w:r>
        <w:t xml:space="preserve">8.4 Résolution des conflits par type de donnée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938"/>
        <w:gridCol w:w="3200"/>
      </w:tblGrid>
      <w:tr>
        <w:trPr>
          <w:tblHeader/>
        </w:trPr>
        <w:tc>
          <w:tcPr>
            <w:tcW w:type="dxa" w:w="25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Type de donnée</w:t>
            </w:r>
          </w:p>
        </w:tc>
        <w:tc>
          <w:tcPr>
            <w:tcW w:type="dxa" w:w="39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Stratégie proposée</w:t>
            </w:r>
          </w:p>
        </w:tc>
        <w:tc>
          <w:tcPr>
            <w:tcW w:type="dxa" w:w="32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Justification</w:t>
            </w:r>
          </w:p>
        </w:tc>
      </w:tr>
      <w:tr>
        <w:trPr>
          <w:cantSplit/>
        </w:trPr>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Écritures financières et de stock</w:t>
            </w:r>
          </w:p>
        </w:tc>
        <w:tc>
          <w:tcPr>
            <w:tcW w:type="dxa" w:w="3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Ajout uniquement ; correction par contre-écriture</w:t>
            </w:r>
          </w:p>
        </w:tc>
        <w:tc>
          <w:tcPr>
            <w:tcW w:type="dxa" w:w="3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Deux saisies concurrentes s'additionnent au lieu de s'écraser ; audit préservé</w:t>
            </w:r>
          </w:p>
        </w:tc>
      </w:tr>
      <w:tr>
        <w:trPr>
          <w:cantSplit/>
        </w:trPr>
        <w:tc>
          <w:tcPr>
            <w:tcW w:type="dxa" w:w="2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Fiche producteur</w:t>
            </w:r>
          </w:p>
        </w:tc>
        <w:tc>
          <w:tcPr>
            <w:tcW w:type="dxa" w:w="3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Fusion champ par champ ; en cas de conflit sur un même champ, la version du serveur prévaut et le conflit est signalé</w:t>
            </w:r>
          </w:p>
        </w:tc>
        <w:tc>
          <w:tcPr>
            <w:tcW w:type="dxa" w:w="3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Données de référence peu modifiées</w:t>
            </w:r>
          </w:p>
        </w:tc>
      </w:tr>
      <w:tr>
        <w:trPr>
          <w:cantSplit/>
        </w:trPr>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Géométrie de parcelle</w:t>
            </w:r>
          </w:p>
        </w:tc>
        <w:tc>
          <w:tcPr>
            <w:tcW w:type="dxa" w:w="3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Nouvelle version soumise à validation, jamais d'écrasement silencieux</w:t>
            </w:r>
          </w:p>
        </w:tc>
        <w:tc>
          <w:tcPr>
            <w:tcW w:type="dxa" w:w="3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Enjeux fonciers</w:t>
            </w:r>
          </w:p>
        </w:tc>
      </w:tr>
      <w:tr>
        <w:trPr>
          <w:cantSplit/>
        </w:trPr>
        <w:tc>
          <w:tcPr>
            <w:tcW w:type="dxa" w:w="2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Référentiels</w:t>
            </w:r>
          </w:p>
        </w:tc>
        <w:tc>
          <w:tcPr>
            <w:tcW w:type="dxa" w:w="3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Le serveur fait autorité ; lecture seule sur l'appareil</w:t>
            </w:r>
          </w:p>
        </w:tc>
        <w:tc>
          <w:tcPr>
            <w:tcW w:type="dxa" w:w="3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Cohérence globale</w:t>
            </w:r>
          </w:p>
        </w:tc>
      </w:tr>
      <w:tr>
        <w:trPr>
          <w:cantSplit/>
        </w:trPr>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Opérations culturales, observations</w:t>
            </w:r>
          </w:p>
        </w:tc>
        <w:tc>
          <w:tcPr>
            <w:tcW w:type="dxa" w:w="3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Ajout ou dernière écriture retenue par enregistrement</w:t>
            </w:r>
          </w:p>
        </w:tc>
        <w:tc>
          <w:tcPr>
            <w:tcW w:type="dxa" w:w="3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Risque de concurrence faible</w:t>
            </w:r>
          </w:p>
        </w:tc>
      </w:tr>
    </w:tbl>
    <w:p>
      <w:pPr>
        <w:spacing w:after="140"/>
      </w:pPr>
    </w:p>
    <w:p>
      <w:pPr>
        <w:pStyle w:val="Heading2"/>
      </w:pPr>
      <w:r>
        <w:t xml:space="preserve">8.5 Volumétrie indicative</w:t>
      </w:r>
    </w:p>
    <w:p>
      <w:pPr>
        <w:spacing w:after="120" w:line="276"/>
        <w:jc w:val="both"/>
      </w:pPr>
      <w:r>
        <w:rPr>
          <w:rFonts w:ascii="Calibri" w:cs="Calibri" w:eastAsia="Calibri" w:hAnsi="Calibri"/>
        </w:rPr>
        <w:t xml:space="preserve">Sur la base d'environ 9 000 producteurs répartis entre dix coopératives, un appareil de technicien porterait de l'ordre de 900 producteurs et de 900 à 2 700 parcelles, volume adapté à une base locale SQLite dès lors que la synchronisation est différentielle. Ces estimations seront recalculées après l'audit de la base.</w:t>
      </w:r>
    </w:p>
    <w:p>
      <w:pPr>
        <w:pStyle w:val="Heading1"/>
      </w:pPr>
      <w:r>
        <w:t xml:space="preserve">9. Système d'information géographique</w:t>
      </w:r>
    </w:p>
    <w:p>
      <w:pPr>
        <w:pStyle w:val="Heading2"/>
      </w:pPr>
      <w:r>
        <w:t xml:space="preserve">9.1 Fonctionnalités établies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38"/>
        <w:gridCol w:w="2200"/>
        <w:gridCol w:w="1400"/>
      </w:tblGrid>
      <w:tr>
        <w:trPr>
          <w:tblHeader/>
        </w:trPr>
        <w:tc>
          <w:tcPr>
            <w:tcW w:type="dxa" w:w="60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Fonctionnalité</w:t>
            </w:r>
          </w:p>
        </w:tc>
        <w:tc>
          <w:tcPr>
            <w:tcW w:type="dxa" w:w="22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Interface</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Statut</w:t>
            </w:r>
          </w:p>
        </w:tc>
      </w:tr>
      <w:tr>
        <w:trPr>
          <w:cantSplit/>
        </w:trPr>
        <w:tc>
          <w:tcPr>
            <w:tcW w:type="dxa" w:w="60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Relevé des parcelles par GPS, point par point aux angles, entièrement hors connexion, polygone affiché dès trois points et superficie calculée</w:t>
            </w:r>
          </w:p>
        </w:tc>
        <w:tc>
          <w:tcPr>
            <w:tcW w:type="dxa" w:w="2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Mobile</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60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Cartographie interactive filtrable (coopérative, culture, campagne, producteur), fonds OpenStreetMap et satellite</w:t>
            </w:r>
          </w:p>
        </w:tc>
        <w:tc>
          <w:tcPr>
            <w:tcW w:type="dxa" w:w="2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Web</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60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Analyses spatiales : répartition des cultures, assolements, densité, superficies par spéculation</w:t>
            </w:r>
          </w:p>
        </w:tc>
        <w:tc>
          <w:tcPr>
            <w:tcW w:type="dxa" w:w="2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Web</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60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Visualisation des parcelles du producteur</w:t>
            </w:r>
          </w:p>
        </w:tc>
        <w:tc>
          <w:tcPr>
            <w:tcW w:type="dxa" w:w="2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Mobile</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60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Exports cartographiques PDF et GeoJSON</w:t>
            </w:r>
          </w:p>
        </w:tc>
        <w:tc>
          <w:tcPr>
            <w:tcW w:type="dxa" w:w="2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Web</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60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Parcelle liée au producteur, aux cultures, au compte d'exploitation et à l'historique</w:t>
            </w:r>
          </w:p>
        </w:tc>
        <w:tc>
          <w:tcPr>
            <w:tcW w:type="dxa" w:w="2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Web et mobile</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bl>
    <w:p>
      <w:pPr>
        <w:spacing w:after="140"/>
      </w:pPr>
    </w:p>
    <w:p>
      <w:pPr>
        <w:spacing w:after="120" w:line="276"/>
        <w:jc w:val="both"/>
      </w:pPr>
      <w:r>
        <w:rPr>
          <w:rFonts w:ascii="Calibri" w:cs="Calibri" w:eastAsia="Calibri" w:hAnsi="Calibri"/>
        </w:rPr>
        <w:t xml:space="preserve">Source : [OT §5.5], [PR 8]. Le relevé est conçu pour être réalisé par les techniciens et les producteurs sans compétence SIG préalable.</w:t>
      </w:r>
    </w:p>
    <w:p>
      <w:pPr>
        <w:pStyle w:val="Heading2"/>
      </w:pPr>
      <w:r>
        <w:t xml:space="preserve">9.2 Compléments proposés</w:t>
      </w:r>
    </w:p>
    <w:p>
      <w:pPr>
        <w:pStyle w:val="ListParagraph"/>
        <w:numPr>
          <w:ilvl w:val="0"/>
          <w:numId w:val="2"/>
        </w:numPr>
        <w:spacing w:after="60" w:line="264"/>
        <w:jc w:val="left"/>
      </w:pPr>
      <w:r>
        <w:rPr>
          <w:rFonts w:ascii="Calibri" w:cs="Calibri" w:eastAsia="Calibri" w:hAnsi="Calibri"/>
          <w:b/>
          <w:bCs/>
        </w:rPr>
        <w:t xml:space="preserve">Précision GPS</w:t>
      </w:r>
      <w:r>
        <w:rPr>
          <w:rFonts w:ascii="Calibri" w:cs="Calibri" w:eastAsia="Calibri" w:hAnsi="Calibri"/>
        </w:rPr>
        <w:t xml:space="preserve"> : enregistrement de la précision de chaque point, seuil d'acceptation paramétrable, moyenne de plusieurs mesures par sommet, et mode de relevé par cheminement le long du périmètre. La précision courante d'un smartphone (quelques mètres) peut en effet affecter sensiblement la superficie des petites parcelles.</w:t>
      </w:r>
    </w:p>
    <w:p>
      <w:pPr>
        <w:pStyle w:val="ListParagraph"/>
        <w:numPr>
          <w:ilvl w:val="0"/>
          <w:numId w:val="2"/>
        </w:numPr>
        <w:spacing w:after="60" w:line="264"/>
        <w:jc w:val="left"/>
      </w:pPr>
      <w:r>
        <w:rPr>
          <w:rFonts w:ascii="Calibri" w:cs="Calibri" w:eastAsia="Calibri" w:hAnsi="Calibri"/>
          <w:b/>
          <w:bCs/>
        </w:rPr>
        <w:t xml:space="preserve">Double superficie</w:t>
      </w:r>
      <w:r>
        <w:rPr>
          <w:rFonts w:ascii="Calibri" w:cs="Calibri" w:eastAsia="Calibri" w:hAnsi="Calibri"/>
        </w:rPr>
        <w:t xml:space="preserve"> : conservation de la superficie déclarée et de la superficie mesurée, avec affichage de l'écart.</w:t>
      </w:r>
    </w:p>
    <w:p>
      <w:pPr>
        <w:pStyle w:val="ListParagraph"/>
        <w:numPr>
          <w:ilvl w:val="0"/>
          <w:numId w:val="2"/>
        </w:numPr>
        <w:spacing w:after="60" w:line="264"/>
        <w:jc w:val="left"/>
      </w:pPr>
      <w:r>
        <w:rPr>
          <w:rFonts w:ascii="Calibri" w:cs="Calibri" w:eastAsia="Calibri" w:hAnsi="Calibri"/>
          <w:b/>
          <w:bCs/>
        </w:rPr>
        <w:t xml:space="preserve">Contrôles géométriques</w:t>
      </w:r>
      <w:r>
        <w:rPr>
          <w:rFonts w:ascii="Calibri" w:cs="Calibri" w:eastAsia="Calibri" w:hAnsi="Calibri"/>
        </w:rPr>
        <w:t xml:space="preserve"> : validité des polygones, détection des chevauchements, superficies hors bornes, statut « relevée, validée, à reprendre ».</w:t>
      </w:r>
    </w:p>
    <w:p>
      <w:pPr>
        <w:pStyle w:val="ListParagraph"/>
        <w:numPr>
          <w:ilvl w:val="0"/>
          <w:numId w:val="2"/>
        </w:numPr>
        <w:spacing w:after="60" w:line="264"/>
        <w:jc w:val="left"/>
      </w:pPr>
      <w:r>
        <w:rPr>
          <w:rFonts w:ascii="Calibri" w:cs="Calibri" w:eastAsia="Calibri" w:hAnsi="Calibri"/>
          <w:b/>
          <w:bCs/>
        </w:rPr>
        <w:t xml:space="preserve">Référentiel spatial</w:t>
      </w:r>
      <w:r>
        <w:rPr>
          <w:rFonts w:ascii="Calibri" w:cs="Calibri" w:eastAsia="Calibri" w:hAnsi="Calibri"/>
        </w:rPr>
        <w:t xml:space="preserve"> : stockage en WGS 84 et calcul des surfaces en projection métrique UTM zone 28 Nord.</w:t>
      </w:r>
    </w:p>
    <w:p>
      <w:pPr>
        <w:pStyle w:val="ListParagraph"/>
        <w:numPr>
          <w:ilvl w:val="0"/>
          <w:numId w:val="2"/>
        </w:numPr>
        <w:spacing w:after="60" w:line="264"/>
        <w:jc w:val="left"/>
      </w:pPr>
      <w:r>
        <w:rPr>
          <w:rFonts w:ascii="Calibri" w:cs="Calibri" w:eastAsia="Calibri" w:hAnsi="Calibri"/>
          <w:b/>
          <w:bCs/>
        </w:rPr>
        <w:t xml:space="preserve">Historique</w:t>
      </w:r>
      <w:r>
        <w:rPr>
          <w:rFonts w:ascii="Calibri" w:cs="Calibri" w:eastAsia="Calibri" w:hAnsi="Calibri"/>
        </w:rPr>
        <w:t xml:space="preserve"> des géométries d'une campagne à l'autre.</w:t>
      </w:r>
    </w:p>
    <w:p>
      <w:pPr>
        <w:pStyle w:val="ListParagraph"/>
        <w:numPr>
          <w:ilvl w:val="0"/>
          <w:numId w:val="2"/>
        </w:numPr>
        <w:spacing w:after="60" w:line="264"/>
        <w:jc w:val="left"/>
      </w:pPr>
      <w:r>
        <w:rPr>
          <w:rFonts w:ascii="Calibri" w:cs="Calibri" w:eastAsia="Calibri" w:hAnsi="Calibri"/>
          <w:b/>
          <w:bCs/>
        </w:rPr>
        <w:t xml:space="preserve">Import</w:t>
      </w:r>
      <w:r>
        <w:rPr>
          <w:rFonts w:ascii="Calibri" w:cs="Calibri" w:eastAsia="Calibri" w:hAnsi="Calibri"/>
        </w:rPr>
        <w:t xml:space="preserve"> des données géographiques existantes (KML, Shapefile, GeoJSON) le cas échéant.</w:t>
      </w:r>
    </w:p>
    <w:p>
      <w:pPr>
        <w:pStyle w:val="Heading2"/>
      </w:pPr>
      <w:r>
        <w:t xml:space="preserve">9.3 Points de vigilance</w:t>
      </w:r>
    </w:p>
    <w:p>
      <w:pPr>
        <w:pStyle w:val="ListParagraph"/>
        <w:numPr>
          <w:ilvl w:val="0"/>
          <w:numId w:val="2"/>
        </w:numPr>
        <w:spacing w:after="60" w:line="264"/>
        <w:jc w:val="left"/>
      </w:pPr>
      <w:r>
        <w:rPr>
          <w:rFonts w:ascii="Calibri" w:cs="Calibri" w:eastAsia="Calibri" w:hAnsi="Calibri"/>
        </w:rPr>
        <w:t xml:space="preserve">Les données produites documentent l'exploitation déclarée et </w:t>
      </w:r>
      <w:r>
        <w:rPr>
          <w:rFonts w:ascii="Calibri" w:cs="Calibri" w:eastAsia="Calibri" w:hAnsi="Calibri"/>
          <w:b/>
          <w:bCs/>
        </w:rPr>
        <w:t xml:space="preserve">n'ont pas de valeur cadastrale</w:t>
      </w:r>
      <w:r>
        <w:rPr>
          <w:rFonts w:ascii="Calibri" w:cs="Calibri" w:eastAsia="Calibri" w:hAnsi="Calibri"/>
        </w:rPr>
        <w:t xml:space="preserve">. Il est recommandé de le mentionner dans les conditions d'utilisation et dans les rapports.</w:t>
      </w:r>
    </w:p>
    <w:p>
      <w:pPr>
        <w:pStyle w:val="ListParagraph"/>
        <w:numPr>
          <w:ilvl w:val="0"/>
          <w:numId w:val="2"/>
        </w:numPr>
        <w:spacing w:after="60" w:line="264"/>
        <w:jc w:val="left"/>
      </w:pPr>
      <w:r>
        <w:rPr>
          <w:rFonts w:ascii="Calibri" w:cs="Calibri" w:eastAsia="Calibri" w:hAnsi="Calibri"/>
        </w:rPr>
        <w:t xml:space="preserve">Le géoréférencement de l'ensemble des parcelles des 9 000 producteurs n'est pas atteignable en 12 semaines. Le livrable L6 porte sur les « premières parcelles géoréférencées » [OT §VI] ; un objectif chiffré par coopérative est à fixer.</w:t>
      </w:r>
    </w:p>
    <w:p>
      <w:pPr>
        <w:pStyle w:val="ListParagraph"/>
        <w:numPr>
          <w:ilvl w:val="0"/>
          <w:numId w:val="2"/>
        </w:numPr>
        <w:spacing w:after="60" w:line="264"/>
        <w:jc w:val="left"/>
      </w:pPr>
      <w:r>
        <w:rPr>
          <w:rFonts w:ascii="Calibri" w:cs="Calibri" w:eastAsia="Calibri" w:hAnsi="Calibri"/>
        </w:rPr>
        <w:t xml:space="preserve">Les serveurs publics OpenStreetMap n'autorisent pas le téléchargement massif de tuiles. Le fonctionnement hors connexion nécessite un paquet de fonds de carte de la zone des Niayes, produit ou acquis à cet effet. L'imagerie satellite de haute résolution est soumise à licence.</w:t>
      </w:r>
    </w:p>
    <w:p>
      <w:pPr>
        <w:pStyle w:val="Heading1"/>
      </w:pPr>
      <w:r>
        <w:t xml:space="preserve">10. Sécurité, rôles et protection des données</w:t>
      </w:r>
    </w:p>
    <w:p>
      <w:pPr>
        <w:pStyle w:val="Heading2"/>
      </w:pPr>
      <w:r>
        <w:t xml:space="preserve">10.1 Authentification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38"/>
        <w:gridCol w:w="1400"/>
      </w:tblGrid>
      <w:tr>
        <w:trPr>
          <w:tblHeader/>
        </w:trPr>
        <w:tc>
          <w:tcPr>
            <w:tcW w:type="dxa" w:w="82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Mesure</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Statut</w:t>
            </w:r>
          </w:p>
        </w:tc>
      </w:tr>
      <w:tr>
        <w:trPr>
          <w:cantSplit/>
        </w:trPr>
        <w:tc>
          <w:tcPr>
            <w:tcW w:type="dxa" w:w="8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Connexion par numéro de téléphone et code à usage unique envoyé par SMS, sans mot de passe [OT §4.3]</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82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Code PIN local à quatre chiffres pour l'usage sans réseau [OT §4.3]</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8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Jetons d'accès d'une heure et jetons de renouvellement à rotation [OT §4.3]</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82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Fournisseur SMS, compte titulaire, identifiant d'expéditeur et volume estimé</w:t>
            </w:r>
          </w:p>
        </w:tc>
        <w:tc>
          <w:tcPr>
            <w:tcW w:type="dxa" w:w="1400"/>
            <w:tcBorders>
              <w:top w:val="single" w:color="C9D3CD" w:sz="4"/>
              <w:left w:val="single" w:color="C9D3CD" w:sz="4"/>
              <w:bottom w:val="single" w:color="C9D3CD" w:sz="4"/>
              <w:right w:val="single" w:color="C9D3CD" w:sz="4"/>
            </w:tcBorders>
            <w:shd w:fill="FBE8D3" w:color="auto" w:val="clear"/>
            <w:tcMar>
              <w:top w:type="dxa" w:w="60"/>
              <w:left w:type="dxa" w:w="100"/>
              <w:bottom w:type="dxa" w:w="60"/>
              <w:right w:type="dxa" w:w="100"/>
            </w:tcMar>
            <w:vAlign w:val="center"/>
          </w:tcPr>
          <w:p>
            <w:pPr>
              <w:jc w:val="center"/>
            </w:pPr>
            <w:r>
              <w:rPr>
                <w:rFonts w:ascii="Calibri" w:cs="Calibri" w:eastAsia="Calibri" w:hAnsi="Calibri"/>
                <w:b/>
                <w:bCs/>
                <w:color w:val="9A5300"/>
                <w:sz w:val="17"/>
                <w:szCs w:val="17"/>
              </w:rPr>
              <w:t xml:space="preserve">À valider</w:t>
            </w:r>
          </w:p>
        </w:tc>
      </w:tr>
      <w:tr>
        <w:trPr>
          <w:cantSplit/>
        </w:trPr>
        <w:tc>
          <w:tcPr>
            <w:tcW w:type="dxa" w:w="8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Authentification renforcée pour les comptes d'administration web ; limitation des tentatives et des envois de codes</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bl>
    <w:p>
      <w:pPr>
        <w:spacing w:after="140"/>
      </w:pPr>
    </w:p>
    <w:p>
      <w:pPr>
        <w:pStyle w:val="Heading2"/>
      </w:pPr>
      <w:r>
        <w:t xml:space="preserve">10.2 Matrice des droits</w:t>
      </w:r>
    </w:p>
    <w:p>
      <w:pPr>
        <w:spacing w:after="120" w:line="276"/>
        <w:jc w:val="both"/>
      </w:pPr>
      <w:r>
        <w:rPr>
          <w:rFonts w:ascii="Calibri" w:cs="Calibri" w:eastAsia="Calibri" w:hAnsi="Calibri"/>
        </w:rPr>
        <w:t xml:space="preserve">Base de travail issue de [OT §4.3], complétée du rôle faîtière proposé. Elle sera finalisée dans le document d'architecture (L2).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400"/>
        <w:gridCol w:w="1400"/>
        <w:gridCol w:w="1400"/>
        <w:gridCol w:w="1400"/>
        <w:gridCol w:w="1400"/>
      </w:tblGrid>
      <w:tr>
        <w:trPr>
          <w:tblHeader/>
        </w:trPr>
        <w:tc>
          <w:tcPr>
            <w:tcW w:type="dxa" w:w="26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Action</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Producteur</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Technicien</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Gestionnaire</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Faîtière</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CRADESC</w:t>
            </w:r>
          </w:p>
        </w:tc>
      </w:tr>
      <w:tr>
        <w:trPr>
          <w:cantSplit/>
        </w:trPr>
        <w:tc>
          <w:tcPr>
            <w:tcW w:type="dxa" w:w="26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Consulter ses propres données</w:t>
            </w:r>
          </w:p>
        </w:tc>
        <w:tc>
          <w:tcPr>
            <w:tcW w:type="dxa" w:w="1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Oui</w:t>
            </w:r>
          </w:p>
        </w:tc>
        <w:tc>
          <w:tcPr>
            <w:tcW w:type="dxa" w:w="1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Sans objet</w:t>
            </w:r>
          </w:p>
        </w:tc>
        <w:tc>
          <w:tcPr>
            <w:tcW w:type="dxa" w:w="1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Sans objet</w:t>
            </w:r>
          </w:p>
        </w:tc>
        <w:tc>
          <w:tcPr>
            <w:tcW w:type="dxa" w:w="1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Sans objet</w:t>
            </w:r>
          </w:p>
        </w:tc>
        <w:tc>
          <w:tcPr>
            <w:tcW w:type="dxa" w:w="1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Sans objet</w:t>
            </w:r>
          </w:p>
        </w:tc>
      </w:tr>
      <w:tr>
        <w:trPr>
          <w:cantSplit/>
        </w:trPr>
        <w:tc>
          <w:tcPr>
            <w:tcW w:type="dxa" w:w="26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Saisir les données des membres de sa coopérative</w:t>
            </w:r>
          </w:p>
        </w:tc>
        <w:tc>
          <w:tcPr>
            <w:tcW w:type="dxa" w:w="1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Non</w:t>
            </w:r>
          </w:p>
        </w:tc>
        <w:tc>
          <w:tcPr>
            <w:tcW w:type="dxa" w:w="1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Oui</w:t>
            </w:r>
          </w:p>
        </w:tc>
        <w:tc>
          <w:tcPr>
            <w:tcW w:type="dxa" w:w="1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Oui</w:t>
            </w:r>
          </w:p>
        </w:tc>
        <w:tc>
          <w:tcPr>
            <w:tcW w:type="dxa" w:w="1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Lecture</w:t>
            </w:r>
          </w:p>
        </w:tc>
        <w:tc>
          <w:tcPr>
            <w:tcW w:type="dxa" w:w="1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Oui</w:t>
            </w:r>
          </w:p>
        </w:tc>
      </w:tr>
      <w:tr>
        <w:trPr>
          <w:cantSplit/>
        </w:trPr>
        <w:tc>
          <w:tcPr>
            <w:tcW w:type="dxa" w:w="26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Relever une parcelle</w:t>
            </w:r>
          </w:p>
        </w:tc>
        <w:tc>
          <w:tcPr>
            <w:tcW w:type="dxa" w:w="1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À préciser</w:t>
            </w:r>
          </w:p>
        </w:tc>
        <w:tc>
          <w:tcPr>
            <w:tcW w:type="dxa" w:w="1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Oui</w:t>
            </w:r>
          </w:p>
        </w:tc>
        <w:tc>
          <w:tcPr>
            <w:tcW w:type="dxa" w:w="1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Oui</w:t>
            </w:r>
          </w:p>
        </w:tc>
        <w:tc>
          <w:tcPr>
            <w:tcW w:type="dxa" w:w="1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Non</w:t>
            </w:r>
          </w:p>
        </w:tc>
        <w:tc>
          <w:tcPr>
            <w:tcW w:type="dxa" w:w="1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Oui</w:t>
            </w:r>
          </w:p>
        </w:tc>
      </w:tr>
      <w:tr>
        <w:trPr>
          <w:cantSplit/>
        </w:trPr>
        <w:tc>
          <w:tcPr>
            <w:tcW w:type="dxa" w:w="26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Valider une géométrie</w:t>
            </w:r>
          </w:p>
        </w:tc>
        <w:tc>
          <w:tcPr>
            <w:tcW w:type="dxa" w:w="1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Non</w:t>
            </w:r>
          </w:p>
        </w:tc>
        <w:tc>
          <w:tcPr>
            <w:tcW w:type="dxa" w:w="1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Oui</w:t>
            </w:r>
          </w:p>
        </w:tc>
        <w:tc>
          <w:tcPr>
            <w:tcW w:type="dxa" w:w="1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Oui</w:t>
            </w:r>
          </w:p>
        </w:tc>
        <w:tc>
          <w:tcPr>
            <w:tcW w:type="dxa" w:w="1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Non</w:t>
            </w:r>
          </w:p>
        </w:tc>
        <w:tc>
          <w:tcPr>
            <w:tcW w:type="dxa" w:w="1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Oui</w:t>
            </w:r>
          </w:p>
        </w:tc>
      </w:tr>
      <w:tr>
        <w:trPr>
          <w:cantSplit/>
        </w:trPr>
        <w:tc>
          <w:tcPr>
            <w:tcW w:type="dxa" w:w="26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Stocks, crédits, cotisations</w:t>
            </w:r>
          </w:p>
        </w:tc>
        <w:tc>
          <w:tcPr>
            <w:tcW w:type="dxa" w:w="1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Lecture (les siens)</w:t>
            </w:r>
          </w:p>
        </w:tc>
        <w:tc>
          <w:tcPr>
            <w:tcW w:type="dxa" w:w="1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À préciser</w:t>
            </w:r>
          </w:p>
        </w:tc>
        <w:tc>
          <w:tcPr>
            <w:tcW w:type="dxa" w:w="1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Oui</w:t>
            </w:r>
          </w:p>
        </w:tc>
        <w:tc>
          <w:tcPr>
            <w:tcW w:type="dxa" w:w="1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Lecture</w:t>
            </w:r>
          </w:p>
        </w:tc>
        <w:tc>
          <w:tcPr>
            <w:tcW w:type="dxa" w:w="1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Oui</w:t>
            </w:r>
          </w:p>
        </w:tc>
      </w:tr>
      <w:tr>
        <w:trPr>
          <w:cantSplit/>
        </w:trPr>
        <w:tc>
          <w:tcPr>
            <w:tcW w:type="dxa" w:w="26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Rapports</w:t>
            </w:r>
          </w:p>
        </w:tc>
        <w:tc>
          <w:tcPr>
            <w:tcW w:type="dxa" w:w="1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Individuel</w:t>
            </w:r>
          </w:p>
        </w:tc>
        <w:tc>
          <w:tcPr>
            <w:tcW w:type="dxa" w:w="1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Coopérative</w:t>
            </w:r>
          </w:p>
        </w:tc>
        <w:tc>
          <w:tcPr>
            <w:tcW w:type="dxa" w:w="1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Coopérative</w:t>
            </w:r>
          </w:p>
        </w:tc>
        <w:tc>
          <w:tcPr>
            <w:tcW w:type="dxa" w:w="1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Consolidé</w:t>
            </w:r>
          </w:p>
        </w:tc>
        <w:tc>
          <w:tcPr>
            <w:tcW w:type="dxa" w:w="1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Tous</w:t>
            </w:r>
          </w:p>
        </w:tc>
      </w:tr>
      <w:tr>
        <w:trPr>
          <w:cantSplit/>
        </w:trPr>
        <w:tc>
          <w:tcPr>
            <w:tcW w:type="dxa" w:w="26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Utilisateurs et référentiels</w:t>
            </w:r>
          </w:p>
        </w:tc>
        <w:tc>
          <w:tcPr>
            <w:tcW w:type="dxa" w:w="1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Non</w:t>
            </w:r>
          </w:p>
        </w:tc>
        <w:tc>
          <w:tcPr>
            <w:tcW w:type="dxa" w:w="1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Non</w:t>
            </w:r>
          </w:p>
        </w:tc>
        <w:tc>
          <w:tcPr>
            <w:tcW w:type="dxa" w:w="1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À préciser</w:t>
            </w:r>
          </w:p>
        </w:tc>
        <w:tc>
          <w:tcPr>
            <w:tcW w:type="dxa" w:w="1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Non</w:t>
            </w:r>
          </w:p>
        </w:tc>
        <w:tc>
          <w:tcPr>
            <w:tcW w:type="dxa" w:w="1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Oui</w:t>
            </w:r>
          </w:p>
        </w:tc>
      </w:tr>
      <w:tr>
        <w:trPr>
          <w:cantSplit/>
        </w:trPr>
        <w:tc>
          <w:tcPr>
            <w:tcW w:type="dxa" w:w="26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Export de données nominatives</w:t>
            </w:r>
          </w:p>
        </w:tc>
        <w:tc>
          <w:tcPr>
            <w:tcW w:type="dxa" w:w="1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Non</w:t>
            </w:r>
          </w:p>
        </w:tc>
        <w:tc>
          <w:tcPr>
            <w:tcW w:type="dxa" w:w="1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Non</w:t>
            </w:r>
          </w:p>
        </w:tc>
        <w:tc>
          <w:tcPr>
            <w:tcW w:type="dxa" w:w="1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À préciser</w:t>
            </w:r>
          </w:p>
        </w:tc>
        <w:tc>
          <w:tcPr>
            <w:tcW w:type="dxa" w:w="1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À préciser</w:t>
            </w:r>
          </w:p>
        </w:tc>
        <w:tc>
          <w:tcPr>
            <w:tcW w:type="dxa" w:w="1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Oui, tracé</w:t>
            </w:r>
          </w:p>
        </w:tc>
      </w:tr>
    </w:tbl>
    <w:p>
      <w:pPr>
        <w:spacing w:after="140"/>
      </w:pPr>
    </w:p>
    <w:p>
      <w:pPr>
        <w:pStyle w:val="Heading2"/>
      </w:pPr>
      <w:r>
        <w:t xml:space="preserve">10.3 Protection des données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38"/>
        <w:gridCol w:w="1400"/>
      </w:tblGrid>
      <w:tr>
        <w:trPr>
          <w:tblHeader/>
        </w:trPr>
        <w:tc>
          <w:tcPr>
            <w:tcW w:type="dxa" w:w="82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Mesure</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Statut</w:t>
            </w:r>
          </w:p>
        </w:tc>
      </w:tr>
      <w:tr>
        <w:trPr>
          <w:cantSplit/>
        </w:trPr>
        <w:tc>
          <w:tcPr>
            <w:tcW w:type="dxa" w:w="8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Base locale chiffrée (AES-256) sur les appareils mobiles</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82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Communications chiffrées HTTPS (TLS 1.3)</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8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Journal d'audit immuable sur les transactions, crédits, membres et parcelles</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82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Sauvegardes chiffrées et moindre privilège par rôle</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8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Aucune donnée personnelle en clair dans les journaux ; audit de sécurité avant mise en production</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82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Clé de chiffrement locale protégée par le coffre sécurisé du système ; effacement local à la révocation d'un appareil ; liens de téléchargement signés à durée limitée</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bl>
    <w:p>
      <w:pPr>
        <w:spacing w:after="140"/>
      </w:pPr>
    </w:p>
    <w:p>
      <w:pPr>
        <w:pStyle w:val="Heading2"/>
      </w:pPr>
      <w:r>
        <w:t xml:space="preserve">10.4 Conformité en matière de données personnelles</w:t>
      </w:r>
    </w:p>
    <w:p>
      <w:pPr>
        <w:spacing w:after="120" w:line="276"/>
        <w:jc w:val="both"/>
      </w:pPr>
      <w:r>
        <w:rPr>
          <w:rFonts w:ascii="Calibri" w:cs="Calibri" w:eastAsia="Calibri" w:hAnsi="Calibri"/>
        </w:rPr>
        <w:t xml:space="preserve">La plateforme traitera les données nominatives de plusieurs milliers de personnes, dont des données sensibles (situation de handicap, pièces d'identité, données économiques, localisation des parcelles). Ce volet réglementaire n'est pas traité dans l'offre et doit être organisé avant l'import de la base existante :</w:t>
      </w:r>
    </w:p>
    <w:p>
      <w:pPr>
        <w:pStyle w:val="ListParagraph"/>
        <w:numPr>
          <w:ilvl w:val="0"/>
          <w:numId w:val="2"/>
        </w:numPr>
        <w:spacing w:after="60" w:line="264"/>
        <w:jc w:val="left"/>
      </w:pPr>
      <w:r>
        <w:rPr>
          <w:rFonts w:ascii="Calibri" w:cs="Calibri" w:eastAsia="Calibri" w:hAnsi="Calibri"/>
        </w:rPr>
        <w:t xml:space="preserve">désignation du </w:t>
      </w:r>
      <w:r>
        <w:rPr>
          <w:rFonts w:ascii="Calibri" w:cs="Calibri" w:eastAsia="Calibri" w:hAnsi="Calibri"/>
          <w:b/>
          <w:bCs/>
        </w:rPr>
        <w:t xml:space="preserve">responsable du traitement</w:t>
      </w:r>
      <w:r>
        <w:rPr>
          <w:rFonts w:ascii="Calibri" w:cs="Calibri" w:eastAsia="Calibri" w:hAnsi="Calibri"/>
        </w:rPr>
        <w:t xml:space="preserve"> (CRADESC, faîtière ou coopératives) et des sous-traitants ;</w:t>
      </w:r>
    </w:p>
    <w:p>
      <w:pPr>
        <w:pStyle w:val="ListParagraph"/>
        <w:numPr>
          <w:ilvl w:val="0"/>
          <w:numId w:val="2"/>
        </w:numPr>
        <w:spacing w:after="60" w:line="264"/>
        <w:jc w:val="left"/>
      </w:pPr>
      <w:r>
        <w:rPr>
          <w:rFonts w:ascii="Calibri" w:cs="Calibri" w:eastAsia="Calibri" w:hAnsi="Calibri"/>
        </w:rPr>
        <w:t xml:space="preserve">formalités auprès de la </w:t>
      </w:r>
      <w:r>
        <w:rPr>
          <w:rFonts w:ascii="Calibri" w:cs="Calibri" w:eastAsia="Calibri" w:hAnsi="Calibri"/>
          <w:b/>
          <w:bCs/>
        </w:rPr>
        <w:t xml:space="preserve">Commission de Protection des Données Personnelles (CDP)</w:t>
      </w:r>
      <w:r>
        <w:rPr>
          <w:rFonts w:ascii="Calibri" w:cs="Calibri" w:eastAsia="Calibri" w:hAnsi="Calibri"/>
        </w:rPr>
        <w:t xml:space="preserve"> au titre de la loi n° 2008-12 et des textes en vigueur, à vérifier ;</w:t>
      </w:r>
    </w:p>
    <w:p>
      <w:pPr>
        <w:pStyle w:val="ListParagraph"/>
        <w:numPr>
          <w:ilvl w:val="0"/>
          <w:numId w:val="2"/>
        </w:numPr>
        <w:spacing w:after="60" w:line="264"/>
        <w:jc w:val="left"/>
      </w:pPr>
      <w:r>
        <w:rPr>
          <w:rFonts w:ascii="Calibri" w:cs="Calibri" w:eastAsia="Calibri" w:hAnsi="Calibri"/>
        </w:rPr>
        <w:t xml:space="preserve">conditions de </w:t>
      </w:r>
      <w:r>
        <w:rPr>
          <w:rFonts w:ascii="Calibri" w:cs="Calibri" w:eastAsia="Calibri" w:hAnsi="Calibri"/>
          <w:b/>
          <w:bCs/>
        </w:rPr>
        <w:t xml:space="preserve">consentement</w:t>
      </w:r>
      <w:r>
        <w:rPr>
          <w:rFonts w:ascii="Calibri" w:cs="Calibri" w:eastAsia="Calibri" w:hAnsi="Calibri"/>
        </w:rPr>
        <w:t xml:space="preserve"> des producteurs de la base existante et information des personnes ;</w:t>
      </w:r>
    </w:p>
    <w:p>
      <w:pPr>
        <w:pStyle w:val="ListParagraph"/>
        <w:numPr>
          <w:ilvl w:val="0"/>
          <w:numId w:val="2"/>
        </w:numPr>
        <w:spacing w:after="60" w:line="264"/>
        <w:jc w:val="left"/>
      </w:pPr>
      <w:r>
        <w:rPr>
          <w:rFonts w:ascii="Calibri" w:cs="Calibri" w:eastAsia="Calibri" w:hAnsi="Calibri"/>
          <w:b/>
          <w:bCs/>
        </w:rPr>
        <w:t xml:space="preserve">minimisation</w:t>
      </w:r>
      <w:r>
        <w:rPr>
          <w:rFonts w:ascii="Calibri" w:cs="Calibri" w:eastAsia="Calibri" w:hAnsi="Calibri"/>
        </w:rPr>
        <w:t xml:space="preserve"> : tranche d'âge plutôt que date de naissance si elle suffit, accès restreint au statut de handicap, collecte des pièces d'identité limitée au nécessaire.</w:t>
      </w:r>
    </w:p>
    <w:p>
      <w:pPr>
        <w:pStyle w:val="Heading1"/>
      </w:pPr>
      <w:r>
        <w:t xml:space="preserve">11. Organisation du projet</w:t>
      </w:r>
    </w:p>
    <w:p>
      <w:pPr>
        <w:pStyle w:val="Heading2"/>
      </w:pPr>
      <w:r>
        <w:t xml:space="preserve">11.1 Équipe mobilisée</w:t>
      </w:r>
    </w:p>
    <w:p>
      <w:pPr>
        <w:spacing w:after="120" w:line="276"/>
        <w:jc w:val="both"/>
      </w:pPr>
      <w:r>
        <w:rPr>
          <w:rFonts w:ascii="Calibri" w:cs="Calibri" w:eastAsia="Calibri" w:hAnsi="Calibri"/>
        </w:rPr>
        <w:t xml:space="preserve">L'offre et la présentation mobilisent les profils suivants [OT §1.6], [PR 12]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5338"/>
        <w:gridCol w:w="1400"/>
      </w:tblGrid>
      <w:tr>
        <w:trPr>
          <w:tblHeader/>
        </w:trPr>
        <w:tc>
          <w:tcPr>
            <w:tcW w:type="dxa" w:w="2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Profil</w:t>
            </w:r>
          </w:p>
        </w:tc>
        <w:tc>
          <w:tcPr>
            <w:tcW w:type="dxa" w:w="53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Responsabilités annoncées</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Statut</w:t>
            </w:r>
          </w:p>
        </w:tc>
      </w:tr>
      <w:tr>
        <w:trPr>
          <w:cantSplit/>
        </w:trPr>
        <w:tc>
          <w:tcPr>
            <w:tcW w:type="dxa" w:w="2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Chef de mission, ingénieur agroéconomiste</w:t>
            </w:r>
          </w:p>
        </w:tc>
        <w:tc>
          <w:tcPr>
            <w:tcW w:type="dxa" w:w="53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Coordination générale, analyse des besoins, supervision des livrables, relation avec le CRADESC, rapport final</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2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Développeur full-stack senior</w:t>
            </w:r>
          </w:p>
        </w:tc>
        <w:tc>
          <w:tcPr>
            <w:tcW w:type="dxa" w:w="53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Serveur NestJS, API REST, PostgreSQL et PostGIS, application Angular</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2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Développeur mobile Flutter senior</w:t>
            </w:r>
          </w:p>
        </w:tc>
        <w:tc>
          <w:tcPr>
            <w:tcW w:type="dxa" w:w="53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Application mobile, fonctionnement hors connexion, GPS, synchronisation</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2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Géomaticien, expert SIG</w:t>
            </w:r>
          </w:p>
        </w:tc>
        <w:tc>
          <w:tcPr>
            <w:tcW w:type="dxa" w:w="53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Géoréférencement, intégration PostGIS, cartographie interactive</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2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Expert en sécurité informatique</w:t>
            </w:r>
          </w:p>
        </w:tc>
        <w:tc>
          <w:tcPr>
            <w:tcW w:type="dxa" w:w="53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Sécurité de l'architecture, contrôle d'accès, chiffrement, audit</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2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Gestionnaire de données</w:t>
            </w:r>
          </w:p>
        </w:tc>
        <w:tc>
          <w:tcPr>
            <w:tcW w:type="dxa" w:w="53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Ateliers de recueil des besoins, groupes de discussion en wolof</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2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Lead technique</w:t>
            </w:r>
          </w:p>
        </w:tc>
        <w:tc>
          <w:tcPr>
            <w:tcW w:type="dxa" w:w="53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Direction technique de la réalisation (voir 11.3)</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bl>
    <w:p>
      <w:pPr>
        <w:spacing w:after="140"/>
      </w:pPr>
    </w:p>
    <w:p>
      <w:pPr>
        <w:spacing w:after="120" w:line="276"/>
        <w:jc w:val="both"/>
      </w:pPr>
      <w:r>
        <w:rPr>
          <w:rFonts w:ascii="Calibri" w:cs="Calibri" w:eastAsia="Calibri" w:hAnsi="Calibri"/>
        </w:rPr>
        <w:t xml:space="preserve">La présentation précise que la répartition des responsabilités techniques sera définie au démarrage afin d'éviter tout chevauchement [PR 12]. La composition nominative de l'équipe et la disponibilité de chacun seront confirmées lors du lancement.</w:t>
      </w:r>
    </w:p>
    <w:p>
      <w:pPr>
        <w:pStyle w:val="Heading2"/>
      </w:pPr>
      <w:r>
        <w:t xml:space="preserve">11.2 Répartition des responsabilités proposée</w:t>
      </w:r>
    </w:p>
    <w:p>
      <w:pPr>
        <w:spacing w:after="120" w:line="276"/>
        <w:jc w:val="both"/>
      </w:pPr>
      <w:r>
        <w:rPr>
          <w:rFonts w:ascii="Calibri" w:cs="Calibri" w:eastAsia="Calibri" w:hAnsi="Calibri"/>
        </w:rPr>
        <w:t xml:space="preserve">R : réalise ; A : approuve et rend compte ; C : consulté ; I : informé.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8"/>
        <w:gridCol w:w="960"/>
        <w:gridCol w:w="960"/>
        <w:gridCol w:w="960"/>
        <w:gridCol w:w="960"/>
        <w:gridCol w:w="960"/>
        <w:gridCol w:w="960"/>
        <w:gridCol w:w="960"/>
      </w:tblGrid>
      <w:tr>
        <w:trPr>
          <w:tblHeader/>
        </w:trPr>
        <w:tc>
          <w:tcPr>
            <w:tcW w:type="dxa" w:w="291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Activité</w:t>
            </w:r>
          </w:p>
        </w:tc>
        <w:tc>
          <w:tcPr>
            <w:tcW w:type="dxa" w:w="96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Chef de mission</w:t>
            </w:r>
          </w:p>
        </w:tc>
        <w:tc>
          <w:tcPr>
            <w:tcW w:type="dxa" w:w="96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Lead tech.</w:t>
            </w:r>
          </w:p>
        </w:tc>
        <w:tc>
          <w:tcPr>
            <w:tcW w:type="dxa" w:w="96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Full-stack</w:t>
            </w:r>
          </w:p>
        </w:tc>
        <w:tc>
          <w:tcPr>
            <w:tcW w:type="dxa" w:w="96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Mobile</w:t>
            </w:r>
          </w:p>
        </w:tc>
        <w:tc>
          <w:tcPr>
            <w:tcW w:type="dxa" w:w="96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SIG</w:t>
            </w:r>
          </w:p>
        </w:tc>
        <w:tc>
          <w:tcPr>
            <w:tcW w:type="dxa" w:w="96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Sécurité</w:t>
            </w:r>
          </w:p>
        </w:tc>
        <w:tc>
          <w:tcPr>
            <w:tcW w:type="dxa" w:w="96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Données</w:t>
            </w:r>
          </w:p>
        </w:tc>
      </w:tr>
      <w:tr>
        <w:trPr>
          <w:cantSplit/>
        </w:trPr>
        <w:tc>
          <w:tcPr>
            <w:tcW w:type="dxa" w:w="291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Relation client, contrat, planning global</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r>
      <w:tr>
        <w:trPr>
          <w:cantSplit/>
        </w:trPr>
        <w:tc>
          <w:tcPr>
            <w:tcW w:type="dxa" w:w="291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Ateliers et co-conception</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r>
      <w:tr>
        <w:trPr>
          <w:cantSplit/>
        </w:trPr>
        <w:tc>
          <w:tcPr>
            <w:tcW w:type="dxa" w:w="291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Contenu métier et référentiels</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r>
      <w:tr>
        <w:trPr>
          <w:cantSplit/>
        </w:trPr>
        <w:tc>
          <w:tcPr>
            <w:tcW w:type="dxa" w:w="291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Architecture et modèle de données</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r>
      <w:tr>
        <w:trPr>
          <w:cantSplit/>
        </w:trPr>
        <w:tc>
          <w:tcPr>
            <w:tcW w:type="dxa" w:w="291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Serveur, API et application web</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r>
      <w:tr>
        <w:trPr>
          <w:cantSplit/>
        </w:trPr>
        <w:tc>
          <w:tcPr>
            <w:tcW w:type="dxa" w:w="291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Application mobile et expérience terrain</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r>
      <w:tr>
        <w:trPr>
          <w:cantSplit/>
        </w:trPr>
        <w:tc>
          <w:tcPr>
            <w:tcW w:type="dxa" w:w="291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Moteur de synchronisation</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r>
      <w:tr>
        <w:trPr>
          <w:cantSplit/>
        </w:trPr>
        <w:tc>
          <w:tcPr>
            <w:tcW w:type="dxa" w:w="291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SIG</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r>
      <w:tr>
        <w:trPr>
          <w:cantSplit/>
        </w:trPr>
        <w:tc>
          <w:tcPr>
            <w:tcW w:type="dxa" w:w="291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Sécurité et contrôle d'accès</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r>
      <w:tr>
        <w:trPr>
          <w:cantSplit/>
        </w:trPr>
        <w:tc>
          <w:tcPr>
            <w:tcW w:type="dxa" w:w="291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Audit et migration de la base existante</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r>
      <w:tr>
        <w:trPr>
          <w:cantSplit/>
        </w:trPr>
        <w:tc>
          <w:tcPr>
            <w:tcW w:type="dxa" w:w="291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Environnements, déploiement, supervision</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r>
      <w:tr>
        <w:trPr>
          <w:cantSplit/>
        </w:trPr>
        <w:tc>
          <w:tcPr>
            <w:tcW w:type="dxa" w:w="291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Tests et recette utilisateurs</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r>
      <w:tr>
        <w:trPr>
          <w:cantSplit/>
        </w:trPr>
        <w:tc>
          <w:tcPr>
            <w:tcW w:type="dxa" w:w="291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Documentation technique et transfert</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c>
          <w:tcPr>
            <w:tcW w:type="dxa" w:w="96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r>
      <w:tr>
        <w:trPr>
          <w:cantSplit/>
        </w:trPr>
        <w:tc>
          <w:tcPr>
            <w:tcW w:type="dxa" w:w="291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Manuels et formation</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A/R</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w:t>
            </w:r>
          </w:p>
        </w:tc>
        <w:tc>
          <w:tcPr>
            <w:tcW w:type="dxa" w:w="96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w:t>
            </w:r>
          </w:p>
        </w:tc>
      </w:tr>
    </w:tbl>
    <w:p>
      <w:pPr>
        <w:spacing w:after="140"/>
      </w:pPr>
    </w:p>
    <w:p>
      <w:pPr>
        <w:pStyle w:val="Heading2"/>
      </w:pPr>
      <w:r>
        <w:t xml:space="preserve">11.3 Rôle et périmètre du Lead technique</w:t>
      </w:r>
    </w:p>
    <w:p>
      <w:pPr>
        <w:spacing w:after="120" w:line="276"/>
        <w:jc w:val="both"/>
      </w:pPr>
      <w:r>
        <w:rPr>
          <w:rFonts w:ascii="Calibri" w:cs="Calibri" w:eastAsia="Calibri" w:hAnsi="Calibri"/>
        </w:rPr>
        <w:t xml:space="preserve">Le Lead technique garantit la cohérence, la solidité, le respect des délais et la maintenabilité de la solution. Il est l'interlocuteur technique du chef de mission et du référent technique du CRADESC.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Domaine</w:t>
            </w:r>
          </w:p>
        </w:tc>
        <w:tc>
          <w:tcPr>
            <w:tcW w:type="dxa" w:w="72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Responsabilités</w:t>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Architecture</w:t>
            </w:r>
          </w:p>
        </w:tc>
        <w:tc>
          <w:tcPr>
            <w:tcW w:type="dxa" w:w="7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Rédaction du document d'architecture (L2), registre des décisions techniques, arbitrage des choix de composants et de conception</w:t>
            </w:r>
          </w:p>
        </w:tc>
      </w:tr>
      <w:tr>
        <w:trPr>
          <w:cantSplit/>
        </w:trPr>
        <w:tc>
          <w:tcPr>
            <w:tcW w:type="dxa" w:w="2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Spécification</w:t>
            </w:r>
          </w:p>
        </w:tc>
        <w:tc>
          <w:tcPr>
            <w:tcW w:type="dxa" w:w="72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Traduction des besoins issus des ateliers en spécifications et en tickets de développement dotés de critères d'acceptation, en lien avec le chef de mission</w:t>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Synchronisation</w:t>
            </w:r>
          </w:p>
        </w:tc>
        <w:tc>
          <w:tcPr>
            <w:tcW w:type="dxa" w:w="7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Conception et pilotage du moteur de synchronisation hors connexion, composant le plus critique du projet</w:t>
            </w:r>
          </w:p>
        </w:tc>
      </w:tr>
      <w:tr>
        <w:trPr>
          <w:cantSplit/>
        </w:trPr>
        <w:tc>
          <w:tcPr>
            <w:tcW w:type="dxa" w:w="2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Données</w:t>
            </w:r>
          </w:p>
        </w:tc>
        <w:tc>
          <w:tcPr>
            <w:tcW w:type="dxa" w:w="72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Pilotage de l'audit, de la qualification, du nettoyage et de la migration de la base existante, avec le gestionnaire de données</w:t>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Pilotage de l'équipe</w:t>
            </w:r>
          </w:p>
        </w:tc>
        <w:tc>
          <w:tcPr>
            <w:tcW w:type="dxa" w:w="7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Organisation des sprints, revue de code, standards de développement, démonstrations de fin de sprint</w:t>
            </w:r>
          </w:p>
        </w:tc>
      </w:tr>
      <w:tr>
        <w:trPr>
          <w:cantSplit/>
        </w:trPr>
        <w:tc>
          <w:tcPr>
            <w:tcW w:type="dxa" w:w="2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Qualité et livraison</w:t>
            </w:r>
          </w:p>
        </w:tc>
        <w:tc>
          <w:tcPr>
            <w:tcW w:type="dxa" w:w="72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Stratégie de tests, intégration continue, environnements, mise en production, supervision, sauvegardes</w:t>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Documentation et transfert</w:t>
            </w:r>
          </w:p>
        </w:tc>
        <w:tc>
          <w:tcPr>
            <w:tcW w:type="dxa" w:w="7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Documentation technique, procédures d'exploitation, remise du code source (L8), guide d'administration (L7)</w:t>
            </w:r>
          </w:p>
        </w:tc>
      </w:tr>
      <w:tr>
        <w:trPr>
          <w:cantSplit/>
        </w:trPr>
        <w:tc>
          <w:tcPr>
            <w:tcW w:type="dxa" w:w="2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Développement</w:t>
            </w:r>
          </w:p>
        </w:tc>
        <w:tc>
          <w:tcPr>
            <w:tcW w:type="dxa" w:w="72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Contribution directe au code sur les composants transverses (authentification, synchronisation, import), dans une proportion à arrêter</w:t>
            </w:r>
          </w:p>
        </w:tc>
      </w:tr>
    </w:tbl>
    <w:p>
      <w:pPr>
        <w:spacing w:after="140"/>
      </w:pPr>
    </w:p>
    <w:p>
      <w:pPr>
        <w:spacing w:after="120" w:line="276"/>
        <w:jc w:val="both"/>
      </w:pPr>
      <w:r>
        <w:rPr>
          <w:rFonts w:ascii="Calibri" w:cs="Calibri" w:eastAsia="Calibri" w:hAnsi="Calibri"/>
        </w:rPr>
        <w:t xml:space="preserve">Ne relèvent pas du Lead technique, sauf accord : la relation contractuelle et financière avec le CRADESC, le contenu agronomique et économique, l'animation des formations de niveaux 2 et 3 et la logistique de terrain.</w:t>
      </w:r>
    </w:p>
    <w:p>
      <w:pPr>
        <w:pBdr>
          <w:left w:val="single" w:color="9A5300" w:sz="24" w:space="8"/>
        </w:pBdr>
        <w:shd w:fill="FBE8D3" w:color="auto" w:val="clear"/>
        <w:spacing w:after="160" w:before="120" w:line="264"/>
        <w:ind w:left="170" w:right="113"/>
      </w:pPr>
      <w:r>
        <w:rPr>
          <w:rFonts w:ascii="Calibri" w:cs="Calibri" w:eastAsia="Calibri" w:hAnsi="Calibri"/>
          <w:b/>
          <w:bCs/>
          <w:color w:val="9A5300"/>
        </w:rPr>
        <w:t xml:space="preserve">À valider. </w:t>
      </w:r>
      <w:r>
        <w:rPr>
          <w:rFonts w:ascii="Calibri" w:cs="Calibri" w:eastAsia="Calibri" w:hAnsi="Calibri"/>
        </w:rPr>
        <w:t xml:space="preserve">Positionnement du Lead technique dans l'organisation présentée au CRADESC, articulation avec le développeur full-stack senior sur l'architecture, part de développement et pouvoir de décision technique (DEC 01).</w:t>
      </w:r>
    </w:p>
    <w:p>
      <w:pPr>
        <w:pStyle w:val="Heading2"/>
      </w:pPr>
      <w:r>
        <w:t xml:space="preserve">11.4 Gouvernance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1700"/>
        <w:gridCol w:w="2238"/>
        <w:gridCol w:w="1400"/>
      </w:tblGrid>
      <w:tr>
        <w:trPr>
          <w:tblHeader/>
        </w:trPr>
        <w:tc>
          <w:tcPr>
            <w:tcW w:type="dxa" w:w="20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Instance</w:t>
            </w:r>
          </w:p>
        </w:tc>
        <w:tc>
          <w:tcPr>
            <w:tcW w:type="dxa" w:w="23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Participants</w:t>
            </w:r>
          </w:p>
        </w:tc>
        <w:tc>
          <w:tcPr>
            <w:tcW w:type="dxa" w:w="17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Fréquence</w:t>
            </w:r>
          </w:p>
        </w:tc>
        <w:tc>
          <w:tcPr>
            <w:tcW w:type="dxa" w:w="22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Objet</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Statut</w:t>
            </w:r>
          </w:p>
        </w:tc>
      </w:tr>
      <w:tr>
        <w:trPr>
          <w:cantSplit/>
        </w:trPr>
        <w:tc>
          <w:tcPr>
            <w:tcW w:type="dxa" w:w="20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Démonstration de sprint</w:t>
            </w:r>
          </w:p>
        </w:tc>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CRADESC, chef de mission, Lead technique</w:t>
            </w:r>
          </w:p>
        </w:tc>
        <w:tc>
          <w:tcPr>
            <w:tcW w:type="dxa" w:w="1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Toutes les 2 semaines (30 min)</w:t>
            </w:r>
          </w:p>
        </w:tc>
        <w:tc>
          <w:tcPr>
            <w:tcW w:type="dxa" w:w="2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Présentation des avancées, ajustement des priorités</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20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Revue des risques</w:t>
            </w:r>
          </w:p>
        </w:tc>
        <w:tc>
          <w:tcPr>
            <w:tcW w:type="dxa" w:w="2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CRADESC, CANAS</w:t>
            </w:r>
          </w:p>
        </w:tc>
        <w:tc>
          <w:tcPr>
            <w:tcW w:type="dxa" w:w="1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À chaque revue de sprint</w:t>
            </w:r>
          </w:p>
        </w:tc>
        <w:tc>
          <w:tcPr>
            <w:tcW w:type="dxa" w:w="22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Tableau de bord des risques partagé</w:t>
            </w:r>
          </w:p>
        </w:tc>
        <w:tc>
          <w:tcPr>
            <w:tcW w:type="dxa" w:w="1400"/>
            <w:tcBorders>
              <w:top w:val="single" w:color="C9D3CD" w:sz="4"/>
              <w:left w:val="single" w:color="C9D3CD" w:sz="4"/>
              <w:bottom w:val="single" w:color="C9D3CD" w:sz="4"/>
              <w:right w:val="single" w:color="C9D3CD" w:sz="4"/>
            </w:tcBorders>
            <w:shd w:fill="DDEFE2" w:color="auto" w:val="clear"/>
            <w:tcMar>
              <w:top w:type="dxa" w:w="60"/>
              <w:left w:type="dxa" w:w="100"/>
              <w:bottom w:type="dxa" w:w="60"/>
              <w:right w:type="dxa" w:w="100"/>
            </w:tcMar>
            <w:vAlign w:val="center"/>
          </w:tcPr>
          <w:p>
            <w:pPr>
              <w:jc w:val="center"/>
            </w:pPr>
            <w:r>
              <w:rPr>
                <w:rFonts w:ascii="Calibri" w:cs="Calibri" w:eastAsia="Calibri" w:hAnsi="Calibri"/>
                <w:b/>
                <w:bCs/>
                <w:color w:val="1B6B34"/>
                <w:sz w:val="17"/>
                <w:szCs w:val="17"/>
              </w:rPr>
              <w:t xml:space="preserve">Confirmé</w:t>
            </w:r>
          </w:p>
        </w:tc>
      </w:tr>
      <w:tr>
        <w:trPr>
          <w:cantSplit/>
        </w:trPr>
        <w:tc>
          <w:tcPr>
            <w:tcW w:type="dxa" w:w="20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Point de pilotage</w:t>
            </w:r>
          </w:p>
        </w:tc>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Chef de mission, Lead technique</w:t>
            </w:r>
          </w:p>
        </w:tc>
        <w:tc>
          <w:tcPr>
            <w:tcW w:type="dxa" w:w="1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Hebdomadaire</w:t>
            </w:r>
          </w:p>
        </w:tc>
        <w:tc>
          <w:tcPr>
            <w:tcW w:type="dxa" w:w="2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Avancement, arbitrages, préparation des échanges client</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20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Point technique</w:t>
            </w:r>
          </w:p>
        </w:tc>
        <w:tc>
          <w:tcPr>
            <w:tcW w:type="dxa" w:w="2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Lead technique, développeurs</w:t>
            </w:r>
          </w:p>
        </w:tc>
        <w:tc>
          <w:tcPr>
            <w:tcW w:type="dxa" w:w="1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Hebdomadaire</w:t>
            </w:r>
          </w:p>
        </w:tc>
        <w:tc>
          <w:tcPr>
            <w:tcW w:type="dxa" w:w="22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Conception, revue, difficultés techniques</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20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Comité de pilotage</w:t>
            </w:r>
          </w:p>
        </w:tc>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À définir par le CRADESC</w:t>
            </w:r>
          </w:p>
        </w:tc>
        <w:tc>
          <w:tcPr>
            <w:tcW w:type="dxa" w:w="1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À définir</w:t>
            </w:r>
          </w:p>
        </w:tc>
        <w:tc>
          <w:tcPr>
            <w:tcW w:type="dxa" w:w="2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Validation des livrables et décisions de périmètre</w:t>
            </w:r>
          </w:p>
        </w:tc>
        <w:tc>
          <w:tcPr>
            <w:tcW w:type="dxa" w:w="1400"/>
            <w:tcBorders>
              <w:top w:val="single" w:color="C9D3CD" w:sz="4"/>
              <w:left w:val="single" w:color="C9D3CD" w:sz="4"/>
              <w:bottom w:val="single" w:color="C9D3CD" w:sz="4"/>
              <w:right w:val="single" w:color="C9D3CD" w:sz="4"/>
            </w:tcBorders>
            <w:shd w:fill="FBE8D3" w:color="auto" w:val="clear"/>
            <w:tcMar>
              <w:top w:type="dxa" w:w="60"/>
              <w:left w:type="dxa" w:w="100"/>
              <w:bottom w:type="dxa" w:w="60"/>
              <w:right w:type="dxa" w:w="100"/>
            </w:tcMar>
            <w:vAlign w:val="center"/>
          </w:tcPr>
          <w:p>
            <w:pPr>
              <w:jc w:val="center"/>
            </w:pPr>
            <w:r>
              <w:rPr>
                <w:rFonts w:ascii="Calibri" w:cs="Calibri" w:eastAsia="Calibri" w:hAnsi="Calibri"/>
                <w:b/>
                <w:bCs/>
                <w:color w:val="9A5300"/>
                <w:sz w:val="17"/>
                <w:szCs w:val="17"/>
              </w:rPr>
              <w:t xml:space="preserve">À valider</w:t>
            </w:r>
          </w:p>
        </w:tc>
      </w:tr>
    </w:tbl>
    <w:p>
      <w:pPr>
        <w:spacing w:after="140"/>
      </w:pPr>
    </w:p>
    <w:p>
      <w:pPr>
        <w:spacing w:after="120" w:line="276"/>
        <w:jc w:val="both"/>
      </w:pPr>
      <w:r>
        <w:rPr>
          <w:rFonts w:ascii="Calibri" w:cs="Calibri" w:eastAsia="Calibri" w:hAnsi="Calibri"/>
        </w:rPr>
        <w:t xml:space="preserve">Engagement de l'offre : tout glissement de planning est signalé au CRADESC sous 24 heures, avec un plan de rattrapage sous 48 heures [OT §10.2].</w:t>
      </w:r>
    </w:p>
    <w:p>
      <w:pPr>
        <w:pStyle w:val="Heading1"/>
      </w:pPr>
      <w:r>
        <w:t xml:space="preserve">12. Planning et jalons</w:t>
      </w:r>
    </w:p>
    <w:p>
      <w:pPr>
        <w:pStyle w:val="Heading2"/>
      </w:pPr>
      <w:r>
        <w:t xml:space="preserve">12.1 Phasage prévu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4038"/>
        <w:gridCol w:w="2000"/>
      </w:tblGrid>
      <w:tr>
        <w:trPr>
          <w:tblHeader/>
        </w:trPr>
        <w:tc>
          <w:tcPr>
            <w:tcW w:type="dxa" w:w="23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Phase</w:t>
            </w:r>
          </w:p>
        </w:tc>
        <w:tc>
          <w:tcPr>
            <w:tcW w:type="dxa" w:w="13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Semaines</w:t>
            </w:r>
          </w:p>
        </w:tc>
        <w:tc>
          <w:tcPr>
            <w:tcW w:type="dxa" w:w="40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Contenu</w:t>
            </w:r>
          </w:p>
        </w:tc>
        <w:tc>
          <w:tcPr>
            <w:tcW w:type="dxa" w:w="20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Livrables</w:t>
            </w:r>
          </w:p>
        </w:tc>
      </w:tr>
      <w:tr>
        <w:trPr>
          <w:cantSplit/>
        </w:trPr>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1. Analyse et conception</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S1 à S3</w:t>
            </w:r>
          </w:p>
        </w:tc>
        <w:tc>
          <w:tcPr>
            <w:tcW w:type="dxa" w:w="40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Lancement, ateliers dans au moins trois coopératives, priorisation, architecture, schéma de données, maquettes filaires</w:t>
            </w:r>
          </w:p>
        </w:tc>
        <w:tc>
          <w:tcPr>
            <w:tcW w:type="dxa" w:w="20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L1 (fin S2), L2 (fin S3)</w:t>
            </w:r>
          </w:p>
        </w:tc>
      </w:tr>
      <w:tr>
        <w:trPr>
          <w:cantSplit/>
        </w:trPr>
        <w:tc>
          <w:tcPr>
            <w:tcW w:type="dxa" w:w="2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2. Développement</w:t>
            </w:r>
          </w:p>
        </w:tc>
        <w:tc>
          <w:tcPr>
            <w:tcW w:type="dxa" w:w="1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S4 à S9</w:t>
            </w:r>
          </w:p>
        </w:tc>
        <w:tc>
          <w:tcPr>
            <w:tcW w:type="dxa" w:w="40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Trois sprints de deux semaines</w:t>
            </w:r>
          </w:p>
        </w:tc>
        <w:tc>
          <w:tcPr>
            <w:tcW w:type="dxa" w:w="20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L3 (fin S5), L4 (fin S8)</w:t>
            </w:r>
          </w:p>
        </w:tc>
      </w:tr>
      <w:tr>
        <w:trPr>
          <w:cantSplit/>
        </w:trPr>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3. Tests et validation</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S9 et S10</w:t>
            </w:r>
          </w:p>
        </w:tc>
        <w:tc>
          <w:tcPr>
            <w:tcW w:type="dxa" w:w="40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Tests fonctionnels, hors connexion, de charge et de sécurité ; recette dans deux à trois coopératives</w:t>
            </w:r>
          </w:p>
        </w:tc>
        <w:tc>
          <w:tcPr>
            <w:tcW w:type="dxa" w:w="20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L5 (fin S10)</w:t>
            </w:r>
          </w:p>
        </w:tc>
      </w:tr>
      <w:tr>
        <w:trPr>
          <w:cantSplit/>
        </w:trPr>
        <w:tc>
          <w:tcPr>
            <w:tcW w:type="dxa" w:w="2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4. Déploiement et formation</w:t>
            </w:r>
          </w:p>
        </w:tc>
        <w:tc>
          <w:tcPr>
            <w:tcW w:type="dxa" w:w="1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S11 et S12</w:t>
            </w:r>
          </w:p>
        </w:tc>
        <w:tc>
          <w:tcPr>
            <w:tcW w:type="dxa" w:w="40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Mise en production, import des données, formation en cascade</w:t>
            </w:r>
          </w:p>
        </w:tc>
        <w:tc>
          <w:tcPr>
            <w:tcW w:type="dxa" w:w="20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L6, L7, L8 (fin S12)</w:t>
            </w:r>
          </w:p>
        </w:tc>
      </w:tr>
      <w:tr>
        <w:trPr>
          <w:cantSplit/>
        </w:trPr>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Accompagnement</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S13 à S16</w:t>
            </w:r>
          </w:p>
        </w:tc>
        <w:tc>
          <w:tcPr>
            <w:tcW w:type="dxa" w:w="40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Support à distance, suivi de l'adoption, bilan à quatre semaines</w:t>
            </w:r>
          </w:p>
        </w:tc>
        <w:tc>
          <w:tcPr>
            <w:tcW w:type="dxa" w:w="20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Bilan d'adoption</w:t>
            </w:r>
          </w:p>
        </w:tc>
      </w:tr>
    </w:tbl>
    <w:p>
      <w:pPr>
        <w:spacing w:after="140"/>
      </w:pPr>
    </w:p>
    <w:p>
      <w:pPr>
        <w:spacing w:after="120" w:line="276"/>
        <w:jc w:val="both"/>
      </w:pPr>
      <w:r>
        <w:rPr>
          <w:rFonts w:ascii="Calibri" w:cs="Calibri" w:eastAsia="Calibri" w:hAnsi="Calibri"/>
        </w:rPr>
        <w:t xml:space="preserve">Source : [OT §3.3, §6.2], [PR 11]. Un environnement de démonstration est mis à disposition du CRADESC dès la semaine 6 [OT §7.1].</w:t>
      </w:r>
    </w:p>
    <w:p>
      <w:pPr>
        <w:pStyle w:val="Heading2"/>
      </w:pPr>
      <w:r>
        <w:t xml:space="preserve">12.2 Ajustements proposés</w:t>
      </w:r>
    </w:p>
    <w:p>
      <w:pPr>
        <w:spacing w:after="120" w:line="276"/>
        <w:jc w:val="both"/>
      </w:pPr>
      <w:r>
        <w:rPr>
          <w:rFonts w:ascii="Calibri" w:cs="Calibri" w:eastAsia="Calibri" w:hAnsi="Calibri"/>
        </w:rPr>
        <w:t xml:space="preserve">Sans modifier l'enveloppe de douze semaines ni les échéances contractuelles, trois ajustements sont proposés :</w:t>
      </w:r>
    </w:p>
    <w:p>
      <w:pPr>
        <w:pStyle w:val="ListParagraph"/>
        <w:numPr>
          <w:ilvl w:val="0"/>
          <w:numId w:val="2"/>
        </w:numPr>
        <w:spacing w:after="60" w:line="264"/>
        <w:jc w:val="left"/>
      </w:pPr>
      <w:r>
        <w:rPr>
          <w:rFonts w:ascii="Calibri" w:cs="Calibri" w:eastAsia="Calibri" w:hAnsi="Calibri"/>
          <w:b/>
          <w:bCs/>
        </w:rPr>
        <w:t xml:space="preserve">Anticiper le moteur de synchronisation au premier sprint</w:t>
      </w:r>
      <w:r>
        <w:rPr>
          <w:rFonts w:ascii="Calibri" w:cs="Calibri" w:eastAsia="Calibri" w:hAnsi="Calibri"/>
        </w:rPr>
        <w:t xml:space="preserve"> : l'ensemble des fonctionnalités mobiles en dépend. Un prototype technique est réalisé dès la semaine 2.</w:t>
      </w:r>
    </w:p>
    <w:p>
      <w:pPr>
        <w:pStyle w:val="ListParagraph"/>
        <w:numPr>
          <w:ilvl w:val="0"/>
          <w:numId w:val="2"/>
        </w:numPr>
        <w:spacing w:after="60" w:line="264"/>
        <w:jc w:val="left"/>
      </w:pPr>
      <w:r>
        <w:rPr>
          <w:rFonts w:ascii="Calibri" w:cs="Calibri" w:eastAsia="Calibri" w:hAnsi="Calibri"/>
          <w:b/>
          <w:bCs/>
        </w:rPr>
        <w:t xml:space="preserve">Intégrer le chantier de reprise des données</w:t>
      </w:r>
      <w:r>
        <w:rPr>
          <w:rFonts w:ascii="Calibri" w:cs="Calibri" w:eastAsia="Calibri" w:hAnsi="Calibri"/>
        </w:rPr>
        <w:t xml:space="preserve"> en parallèle du développement, avec deux imports à blanc avant l'import final.</w:t>
      </w:r>
    </w:p>
    <w:p>
      <w:pPr>
        <w:pStyle w:val="ListParagraph"/>
        <w:numPr>
          <w:ilvl w:val="0"/>
          <w:numId w:val="2"/>
        </w:numPr>
        <w:spacing w:after="60" w:line="264"/>
        <w:jc w:val="left"/>
      </w:pPr>
      <w:r>
        <w:rPr>
          <w:rFonts w:ascii="Calibri" w:cs="Calibri" w:eastAsia="Calibri" w:hAnsi="Calibri"/>
          <w:b/>
          <w:bCs/>
        </w:rPr>
        <w:t xml:space="preserve">Sécuriser l'enchaînement maquettes et développement</w:t>
      </w:r>
      <w:r>
        <w:rPr>
          <w:rFonts w:ascii="Calibri" w:cs="Calibri" w:eastAsia="Calibri" w:hAnsi="Calibri"/>
        </w:rPr>
        <w:t xml:space="preserve"> : validation des parcours prioritaires avant le début du premier sprint, le prototype complet (L3) restant livré en fin de semaine 5.</w:t>
      </w:r>
    </w:p>
    <w:p>
      <w:pPr>
        <w:pStyle w:val="Heading2"/>
      </w:pPr>
      <w:r>
        <w:t xml:space="preserve">12.3 Planning détaillé proposé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700"/>
        <w:gridCol w:w="2238"/>
        <w:gridCol w:w="1300"/>
      </w:tblGrid>
      <w:tr>
        <w:trPr>
          <w:tblHeader/>
        </w:trPr>
        <w:tc>
          <w:tcPr>
            <w:tcW w:type="dxa" w:w="11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Semaine</w:t>
            </w:r>
          </w:p>
        </w:tc>
        <w:tc>
          <w:tcPr>
            <w:tcW w:type="dxa" w:w="23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Fonctionnel et terrain</w:t>
            </w:r>
          </w:p>
        </w:tc>
        <w:tc>
          <w:tcPr>
            <w:tcW w:type="dxa" w:w="27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Technique</w:t>
            </w:r>
          </w:p>
        </w:tc>
        <w:tc>
          <w:tcPr>
            <w:tcW w:type="dxa" w:w="22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Reprise des données</w:t>
            </w:r>
          </w:p>
        </w:tc>
        <w:tc>
          <w:tcPr>
            <w:tcW w:type="dxa" w:w="13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Jalon</w:t>
            </w:r>
          </w:p>
        </w:tc>
      </w:tr>
      <w:tr>
        <w:trPr>
          <w:cantSplit/>
        </w:trPr>
        <w:tc>
          <w:tcPr>
            <w:tcW w:type="dxa" w:w="11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S0</w:t>
            </w:r>
          </w:p>
        </w:tc>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Réception des documents et contacts</w:t>
            </w:r>
          </w:p>
        </w:tc>
        <w:tc>
          <w:tcPr>
            <w:tcW w:type="dxa" w:w="2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Accès, comptes, structure des dépôts</w:t>
            </w:r>
          </w:p>
        </w:tc>
        <w:tc>
          <w:tcPr>
            <w:tcW w:type="dxa" w:w="2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Réception de la base ou d'un extrait</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Liste des prérequis transmise</w:t>
            </w:r>
          </w:p>
        </w:tc>
      </w:tr>
      <w:tr>
        <w:trPr>
          <w:cantSplit/>
        </w:trPr>
        <w:tc>
          <w:tcPr>
            <w:tcW w:type="dxa" w:w="11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S1</w:t>
            </w:r>
          </w:p>
        </w:tc>
        <w:tc>
          <w:tcPr>
            <w:tcW w:type="dxa" w:w="2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Lancement, atelier des gestionnaires, priorisation</w:t>
            </w:r>
          </w:p>
        </w:tc>
        <w:tc>
          <w:tcPr>
            <w:tcW w:type="dxa" w:w="2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Choix techniques, environnement de développement</w:t>
            </w:r>
          </w:p>
        </w:tc>
        <w:tc>
          <w:tcPr>
            <w:tcW w:type="dxa" w:w="22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Inventaire, début du profilage</w:t>
            </w:r>
          </w:p>
        </w:tc>
        <w:tc>
          <w:tcPr>
            <w:tcW w:type="dxa" w:w="1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p>
        </w:tc>
      </w:tr>
      <w:tr>
        <w:trPr>
          <w:cantSplit/>
        </w:trPr>
        <w:tc>
          <w:tcPr>
            <w:tcW w:type="dxa" w:w="11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S2</w:t>
            </w:r>
          </w:p>
        </w:tc>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Ateliers dans les coopératives, parcours</w:t>
            </w:r>
          </w:p>
        </w:tc>
        <w:tc>
          <w:tcPr>
            <w:tcW w:type="dxa" w:w="2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Prototype de synchronisation</w:t>
            </w:r>
          </w:p>
        </w:tc>
        <w:tc>
          <w:tcPr>
            <w:tcW w:type="dxa" w:w="2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Rapport d'audit</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L1</w:t>
            </w:r>
          </w:p>
        </w:tc>
      </w:tr>
      <w:tr>
        <w:trPr>
          <w:cantSplit/>
        </w:trPr>
        <w:tc>
          <w:tcPr>
            <w:tcW w:type="dxa" w:w="11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S3</w:t>
            </w:r>
          </w:p>
        </w:tc>
        <w:tc>
          <w:tcPr>
            <w:tcW w:type="dxa" w:w="2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Maquettes filaires, référentiels</w:t>
            </w:r>
          </w:p>
        </w:tc>
        <w:tc>
          <w:tcPr>
            <w:tcW w:type="dxa" w:w="2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Architecture, modèle de données, spécification de synchronisation</w:t>
            </w:r>
          </w:p>
        </w:tc>
        <w:tc>
          <w:tcPr>
            <w:tcW w:type="dxa" w:w="22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Règles de qualité et correspondances</w:t>
            </w:r>
          </w:p>
        </w:tc>
        <w:tc>
          <w:tcPr>
            <w:tcW w:type="dxa" w:w="1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L2</w:t>
            </w:r>
          </w:p>
        </w:tc>
      </w:tr>
      <w:tr>
        <w:trPr>
          <w:cantSplit/>
        </w:trPr>
        <w:tc>
          <w:tcPr>
            <w:tcW w:type="dxa" w:w="11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S4 et S5</w:t>
            </w:r>
          </w:p>
        </w:tc>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Maquettes validées en atelier</w:t>
            </w:r>
          </w:p>
        </w:tc>
        <w:tc>
          <w:tcPr>
            <w:tcW w:type="dxa" w:w="2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Sprint 1 : authentification, droits, synchronisation, module administratif</w:t>
            </w:r>
          </w:p>
        </w:tc>
        <w:tc>
          <w:tcPr>
            <w:tcW w:type="dxa" w:w="2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Nettoyage, scripts d'import</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L3</w:t>
            </w:r>
          </w:p>
        </w:tc>
      </w:tr>
      <w:tr>
        <w:trPr>
          <w:cantSplit/>
        </w:trPr>
        <w:tc>
          <w:tcPr>
            <w:tcW w:type="dxa" w:w="11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S6 et S7</w:t>
            </w:r>
          </w:p>
        </w:tc>
        <w:tc>
          <w:tcPr>
            <w:tcW w:type="dxa" w:w="2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Démonstration au CRADESC</w:t>
            </w:r>
          </w:p>
        </w:tc>
        <w:tc>
          <w:tcPr>
            <w:tcW w:type="dxa" w:w="2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Sprint 2 : modules agronomique, exploitation et SIG</w:t>
            </w:r>
          </w:p>
        </w:tc>
        <w:tc>
          <w:tcPr>
            <w:tcW w:type="dxa" w:w="22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Import à blanc n° 1</w:t>
            </w:r>
          </w:p>
        </w:tc>
        <w:tc>
          <w:tcPr>
            <w:tcW w:type="dxa" w:w="1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p>
        </w:tc>
      </w:tr>
      <w:tr>
        <w:trPr>
          <w:cantSplit/>
        </w:trPr>
        <w:tc>
          <w:tcPr>
            <w:tcW w:type="dxa" w:w="11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S8 et S9</w:t>
            </w:r>
          </w:p>
        </w:tc>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p>
        </w:tc>
        <w:tc>
          <w:tcPr>
            <w:tcW w:type="dxa" w:w="2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Sprint 3 : module commercial, rapports, finalisation web</w:t>
            </w:r>
          </w:p>
        </w:tc>
        <w:tc>
          <w:tcPr>
            <w:tcW w:type="dxa" w:w="2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Arbitrages, import à blanc n° 2</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L4</w:t>
            </w:r>
          </w:p>
        </w:tc>
      </w:tr>
      <w:tr>
        <w:trPr>
          <w:cantSplit/>
        </w:trPr>
        <w:tc>
          <w:tcPr>
            <w:tcW w:type="dxa" w:w="11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S9 et S10</w:t>
            </w:r>
          </w:p>
        </w:tc>
        <w:tc>
          <w:tcPr>
            <w:tcW w:type="dxa" w:w="2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Recette dans deux à trois coopératives</w:t>
            </w:r>
          </w:p>
        </w:tc>
        <w:tc>
          <w:tcPr>
            <w:tcW w:type="dxa" w:w="2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Tests et corrections</w:t>
            </w:r>
          </w:p>
        </w:tc>
        <w:tc>
          <w:tcPr>
            <w:tcW w:type="dxa" w:w="22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Contrôles en recette</w:t>
            </w:r>
          </w:p>
        </w:tc>
        <w:tc>
          <w:tcPr>
            <w:tcW w:type="dxa" w:w="1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L5</w:t>
            </w:r>
          </w:p>
        </w:tc>
      </w:tr>
      <w:tr>
        <w:trPr>
          <w:cantSplit/>
        </w:trPr>
        <w:tc>
          <w:tcPr>
            <w:tcW w:type="dxa" w:w="11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S11</w:t>
            </w:r>
          </w:p>
        </w:tc>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Formation niveau 1 (CRADESC)</w:t>
            </w:r>
          </w:p>
        </w:tc>
        <w:tc>
          <w:tcPr>
            <w:tcW w:type="dxa" w:w="2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Mise en production, supervision</w:t>
            </w:r>
          </w:p>
        </w:tc>
        <w:tc>
          <w:tcPr>
            <w:tcW w:type="dxa" w:w="2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Import final</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p>
        </w:tc>
      </w:tr>
      <w:tr>
        <w:trPr>
          <w:cantSplit/>
        </w:trPr>
        <w:tc>
          <w:tcPr>
            <w:tcW w:type="dxa" w:w="11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S12</w:t>
            </w:r>
          </w:p>
        </w:tc>
        <w:tc>
          <w:tcPr>
            <w:tcW w:type="dxa" w:w="2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Formation niveau 2, puis niveau 3 en cascade</w:t>
            </w:r>
          </w:p>
        </w:tc>
        <w:tc>
          <w:tcPr>
            <w:tcW w:type="dxa" w:w="2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Stabilisation, documentation</w:t>
            </w:r>
          </w:p>
        </w:tc>
        <w:tc>
          <w:tcPr>
            <w:tcW w:type="dxa" w:w="22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Rapport de migration</w:t>
            </w:r>
          </w:p>
        </w:tc>
        <w:tc>
          <w:tcPr>
            <w:tcW w:type="dxa" w:w="13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L6, L7, L8</w:t>
            </w:r>
          </w:p>
        </w:tc>
      </w:tr>
      <w:tr>
        <w:trPr>
          <w:cantSplit/>
        </w:trPr>
        <w:tc>
          <w:tcPr>
            <w:tcW w:type="dxa" w:w="11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6"/>
                <w:szCs w:val="16"/>
              </w:rPr>
              <w:t xml:space="preserve">S13 à S16</w:t>
            </w:r>
          </w:p>
        </w:tc>
        <w:tc>
          <w:tcPr>
            <w:tcW w:type="dxa" w:w="2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Suivi de l'adoption</w:t>
            </w:r>
          </w:p>
        </w:tc>
        <w:tc>
          <w:tcPr>
            <w:tcW w:type="dxa" w:w="2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Corrections</w:t>
            </w:r>
          </w:p>
        </w:tc>
        <w:tc>
          <w:tcPr>
            <w:tcW w:type="dxa" w:w="22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Complétion des fiches</w:t>
            </w:r>
          </w:p>
        </w:tc>
        <w:tc>
          <w:tcPr>
            <w:tcW w:type="dxa" w:w="13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6"/>
                <w:szCs w:val="16"/>
              </w:rPr>
              <w:t xml:space="preserve">Bilan</w:t>
            </w:r>
          </w:p>
        </w:tc>
      </w:tr>
    </w:tbl>
    <w:p>
      <w:pPr>
        <w:spacing w:after="140"/>
      </w:pPr>
    </w:p>
    <w:p>
      <w:pPr>
        <w:pBdr>
          <w:left w:val="single" w:color="9A5300" w:sz="24" w:space="8"/>
        </w:pBdr>
        <w:shd w:fill="FBE8D3" w:color="auto" w:val="clear"/>
        <w:spacing w:after="160" w:before="120" w:line="264"/>
        <w:ind w:left="170" w:right="113"/>
      </w:pPr>
      <w:r>
        <w:rPr>
          <w:rFonts w:ascii="Calibri" w:cs="Calibri" w:eastAsia="Calibri" w:hAnsi="Calibri"/>
          <w:b/>
          <w:bCs/>
          <w:color w:val="9A5300"/>
        </w:rPr>
        <w:t xml:space="preserve">À valider. </w:t>
      </w:r>
      <w:r>
        <w:rPr>
          <w:rFonts w:ascii="Calibri" w:cs="Calibri" w:eastAsia="Calibri" w:hAnsi="Calibri"/>
        </w:rPr>
        <w:t xml:space="preserve">La date officielle de démarrage (S1), le calendrier agricole et la disponibilité des coopératives pour les ateliers, la recette et les formations conditionnent ce planning (INF 03 et INF 47).</w:t>
      </w:r>
    </w:p>
    <w:p>
      <w:pPr>
        <w:pStyle w:val="Heading1"/>
      </w:pPr>
      <w:r>
        <w:t xml:space="preserve">13. Livrables</w:t>
      </w:r>
    </w:p>
    <w:p>
      <w:pPr>
        <w:pStyle w:val="Heading2"/>
      </w:pPr>
      <w:r>
        <w:t xml:space="preserve">13.1 Livrables contractuels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5338"/>
        <w:gridCol w:w="1200"/>
      </w:tblGrid>
      <w:tr>
        <w:trPr>
          <w:tblHeader/>
        </w:trPr>
        <w:tc>
          <w:tcPr>
            <w:tcW w:type="dxa" w:w="7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N°</w:t>
            </w:r>
          </w:p>
        </w:tc>
        <w:tc>
          <w:tcPr>
            <w:tcW w:type="dxa" w:w="2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Livrable</w:t>
            </w:r>
          </w:p>
        </w:tc>
        <w:tc>
          <w:tcPr>
            <w:tcW w:type="dxa" w:w="53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Contenu</w:t>
            </w:r>
          </w:p>
        </w:tc>
        <w:tc>
          <w:tcPr>
            <w:tcW w:type="dxa" w:w="12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Échéance</w:t>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L1</w:t>
            </w:r>
          </w:p>
        </w:tc>
        <w:tc>
          <w:tcPr>
            <w:tcW w:type="dxa" w:w="2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Rapport de démarrage</w:t>
            </w:r>
          </w:p>
        </w:tc>
        <w:tc>
          <w:tcPr>
            <w:tcW w:type="dxa" w:w="53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Synthèse du cadrage, résultats des ateliers, besoins validés, priorisation, plan de travail, risques ; rapport d'audit de la base existante en annexe</w:t>
            </w:r>
          </w:p>
        </w:tc>
        <w:tc>
          <w:tcPr>
            <w:tcW w:type="dxa" w:w="1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Fin S2</w:t>
            </w:r>
          </w:p>
        </w:tc>
      </w:tr>
      <w:tr>
        <w:trPr>
          <w:cantSplit/>
        </w:trPr>
        <w:tc>
          <w:tcPr>
            <w:tcW w:type="dxa" w:w="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L2</w:t>
            </w:r>
          </w:p>
        </w:tc>
        <w:tc>
          <w:tcPr>
            <w:tcW w:type="dxa" w:w="2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Document d'architecture technique et fonctionnelle</w:t>
            </w:r>
          </w:p>
        </w:tc>
        <w:tc>
          <w:tcPr>
            <w:tcW w:type="dxa" w:w="53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Architecture, schéma de données, spécifications des cinq modules, maquettes, sécurité et hébergement ; spécification de synchronisation et dictionnaire de données</w:t>
            </w:r>
          </w:p>
        </w:tc>
        <w:tc>
          <w:tcPr>
            <w:tcW w:type="dxa" w:w="1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Fin S3</w:t>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L3</w:t>
            </w:r>
          </w:p>
        </w:tc>
        <w:tc>
          <w:tcPr>
            <w:tcW w:type="dxa" w:w="2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Prototype et maquettes validées</w:t>
            </w:r>
          </w:p>
        </w:tc>
        <w:tc>
          <w:tcPr>
            <w:tcW w:type="dxa" w:w="53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Prototype interactif des applications mobile et web, validé en atelier</w:t>
            </w:r>
          </w:p>
        </w:tc>
        <w:tc>
          <w:tcPr>
            <w:tcW w:type="dxa" w:w="1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Fin S5</w:t>
            </w:r>
          </w:p>
        </w:tc>
      </w:tr>
      <w:tr>
        <w:trPr>
          <w:cantSplit/>
        </w:trPr>
        <w:tc>
          <w:tcPr>
            <w:tcW w:type="dxa" w:w="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L4</w:t>
            </w:r>
          </w:p>
        </w:tc>
        <w:tc>
          <w:tcPr>
            <w:tcW w:type="dxa" w:w="2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Version bêta</w:t>
            </w:r>
          </w:p>
        </w:tc>
        <w:tc>
          <w:tcPr>
            <w:tcW w:type="dxa" w:w="53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Applications mobile et web en recette couvrant les fonctionnalités prioritaires, API documentée, SIG fonctionnel</w:t>
            </w:r>
          </w:p>
        </w:tc>
        <w:tc>
          <w:tcPr>
            <w:tcW w:type="dxa" w:w="1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Fin S8</w:t>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L5</w:t>
            </w:r>
          </w:p>
        </w:tc>
        <w:tc>
          <w:tcPr>
            <w:tcW w:type="dxa" w:w="2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Version finale</w:t>
            </w:r>
          </w:p>
        </w:tc>
        <w:tc>
          <w:tcPr>
            <w:tcW w:type="dxa" w:w="53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Version corrigée après recette, production configurée, supervision active</w:t>
            </w:r>
          </w:p>
        </w:tc>
        <w:tc>
          <w:tcPr>
            <w:tcW w:type="dxa" w:w="1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Fin S10</w:t>
            </w:r>
          </w:p>
        </w:tc>
      </w:tr>
      <w:tr>
        <w:trPr>
          <w:cantSplit/>
        </w:trPr>
        <w:tc>
          <w:tcPr>
            <w:tcW w:type="dxa" w:w="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L6</w:t>
            </w:r>
          </w:p>
        </w:tc>
        <w:tc>
          <w:tcPr>
            <w:tcW w:type="dxa" w:w="2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Base de données des producteurs et parcelles</w:t>
            </w:r>
          </w:p>
        </w:tc>
        <w:tc>
          <w:tcPr>
            <w:tcW w:type="dxa" w:w="53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Base structurée contenant les données initiales et les premières parcelles ; rapport de migration</w:t>
            </w:r>
          </w:p>
        </w:tc>
        <w:tc>
          <w:tcPr>
            <w:tcW w:type="dxa" w:w="1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Fin S12</w:t>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L7</w:t>
            </w:r>
          </w:p>
        </w:tc>
        <w:tc>
          <w:tcPr>
            <w:tcW w:type="dxa" w:w="2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Manuel d'utilisation et d'administration</w:t>
            </w:r>
          </w:p>
        </w:tc>
        <w:tc>
          <w:tcPr>
            <w:tcW w:type="dxa" w:w="53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Manuel, fiches pratiques, guide d'administration, procédures de sauvegarde et de maintenance (PDF et format modifiable)</w:t>
            </w:r>
          </w:p>
        </w:tc>
        <w:tc>
          <w:tcPr>
            <w:tcW w:type="dxa" w:w="1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Fin S12</w:t>
            </w:r>
          </w:p>
        </w:tc>
      </w:tr>
      <w:tr>
        <w:trPr>
          <w:cantSplit/>
        </w:trPr>
        <w:tc>
          <w:tcPr>
            <w:tcW w:type="dxa" w:w="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L8</w:t>
            </w:r>
          </w:p>
        </w:tc>
        <w:tc>
          <w:tcPr>
            <w:tcW w:type="dxa" w:w="2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Rapport final de mission</w:t>
            </w:r>
          </w:p>
        </w:tc>
        <w:tc>
          <w:tcPr>
            <w:tcW w:type="dxa" w:w="53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Bilan, documentation technique, procédures d'exploitation, code source intégral, recommandations d'évolution</w:t>
            </w:r>
          </w:p>
        </w:tc>
        <w:tc>
          <w:tcPr>
            <w:tcW w:type="dxa" w:w="1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Fin S12</w:t>
            </w:r>
          </w:p>
        </w:tc>
      </w:tr>
    </w:tbl>
    <w:p>
      <w:pPr>
        <w:spacing w:after="140"/>
      </w:pPr>
    </w:p>
    <w:p>
      <w:pPr>
        <w:spacing w:after="120" w:line="276"/>
        <w:jc w:val="both"/>
      </w:pPr>
      <w:r>
        <w:rPr>
          <w:rFonts w:ascii="Calibri" w:cs="Calibri" w:eastAsia="Calibri" w:hAnsi="Calibri"/>
        </w:rPr>
        <w:t xml:space="preserve">Source : [OT §6.1]. Les compléments intégrés à L1, L2 et L6 relatifs à la reprise des données sont proposés. Sont également prévus : fiches pratiques au format A5, dix vidéos tutorielles de deux à cinq minutes et un support de formation pour les techniciens [OT §7.3].</w:t>
      </w:r>
    </w:p>
    <w:p>
      <w:pPr>
        <w:pStyle w:val="Heading2"/>
      </w:pPr>
      <w:r>
        <w:t xml:space="preserve">13.2 Documents de conception complémentaires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38"/>
        <w:gridCol w:w="2400"/>
        <w:gridCol w:w="1400"/>
      </w:tblGrid>
      <w:tr>
        <w:trPr>
          <w:tblHeader/>
        </w:trPr>
        <w:tc>
          <w:tcPr>
            <w:tcW w:type="dxa" w:w="58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Document</w:t>
            </w:r>
          </w:p>
        </w:tc>
        <w:tc>
          <w:tcPr>
            <w:tcW w:type="dxa" w:w="2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Échéance</w:t>
            </w:r>
          </w:p>
        </w:tc>
        <w:tc>
          <w:tcPr>
            <w:tcW w:type="dxa" w:w="14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Statut</w:t>
            </w:r>
          </w:p>
        </w:tc>
      </w:tr>
      <w:tr>
        <w:trPr>
          <w:cantSplit/>
        </w:trPr>
        <w:tc>
          <w:tcPr>
            <w:tcW w:type="dxa" w:w="58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Liste des informations et ressources attendues du client</w:t>
            </w:r>
          </w:p>
        </w:tc>
        <w:tc>
          <w:tcPr>
            <w:tcW w:type="dxa" w:w="2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Immédiate</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58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Spécifications fonctionnelles détaillées par module</w:t>
            </w:r>
          </w:p>
        </w:tc>
        <w:tc>
          <w:tcPr>
            <w:tcW w:type="dxa" w:w="2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S2 et S3</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58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Spécifications techniques et registre des décisions</w:t>
            </w:r>
          </w:p>
        </w:tc>
        <w:tc>
          <w:tcPr>
            <w:tcW w:type="dxa" w:w="2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S3</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58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Spécification de synchronisation</w:t>
            </w:r>
          </w:p>
        </w:tc>
        <w:tc>
          <w:tcPr>
            <w:tcW w:type="dxa" w:w="2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S3</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58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Dictionnaire de données et table de correspondance de migration</w:t>
            </w:r>
          </w:p>
        </w:tc>
        <w:tc>
          <w:tcPr>
            <w:tcW w:type="dxa" w:w="2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S3</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58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Plan de tests et de recette, dont scénarios hors connexion</w:t>
            </w:r>
          </w:p>
        </w:tc>
        <w:tc>
          <w:tcPr>
            <w:tcW w:type="dxa" w:w="24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S5</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r>
        <w:trPr>
          <w:cantSplit/>
        </w:trPr>
        <w:tc>
          <w:tcPr>
            <w:tcW w:type="dxa" w:w="58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Plan de déploiement et d'exploitation</w:t>
            </w:r>
          </w:p>
        </w:tc>
        <w:tc>
          <w:tcPr>
            <w:tcW w:type="dxa" w:w="24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S9</w:t>
            </w:r>
          </w:p>
        </w:tc>
        <w:tc>
          <w:tcPr>
            <w:tcW w:type="dxa" w:w="1400"/>
            <w:tcBorders>
              <w:top w:val="single" w:color="C9D3CD" w:sz="4"/>
              <w:left w:val="single" w:color="C9D3CD" w:sz="4"/>
              <w:bottom w:val="single" w:color="C9D3CD" w:sz="4"/>
              <w:right w:val="single" w:color="C9D3CD" w:sz="4"/>
            </w:tcBorders>
            <w:shd w:fill="DFEAF6"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7"/>
                <w:szCs w:val="17"/>
              </w:rPr>
              <w:t xml:space="preserve">Proposé</w:t>
            </w:r>
          </w:p>
        </w:tc>
      </w:tr>
    </w:tbl>
    <w:p>
      <w:pPr>
        <w:spacing w:after="140"/>
      </w:pPr>
    </w:p>
    <w:p>
      <w:pPr>
        <w:pStyle w:val="Heading1"/>
      </w:pPr>
      <w:r>
        <w:t xml:space="preserve">14. Cadre budgétaire</w:t>
      </w:r>
    </w:p>
    <w:p>
      <w:pPr>
        <w:keepNext/>
        <w:spacing w:after="120" w:line="276"/>
        <w:jc w:val="both"/>
      </w:pPr>
      <w:r>
        <w:rPr>
          <w:rFonts w:ascii="Calibri" w:cs="Calibri" w:eastAsia="Calibri" w:hAnsi="Calibri"/>
        </w:rPr>
        <w:t xml:space="preserve">Pour mémoire, la proposition financière présentée au CRADESC s'établit comme suit [PR 13]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2500"/>
        <w:gridCol w:w="1500"/>
      </w:tblGrid>
      <w:tr>
        <w:trPr>
          <w:tblHeader/>
        </w:trPr>
        <w:tc>
          <w:tcPr>
            <w:tcW w:type="dxa" w:w="56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Poste</w:t>
            </w:r>
          </w:p>
        </w:tc>
        <w:tc>
          <w:tcPr>
            <w:tcW w:type="dxa" w:w="25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Montant (FCFA)</w:t>
            </w:r>
          </w:p>
        </w:tc>
        <w:tc>
          <w:tcPr>
            <w:tcW w:type="dxa" w:w="15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Part</w:t>
            </w:r>
          </w:p>
        </w:tc>
      </w:tr>
      <w:tr>
        <w:trPr>
          <w:cantSplit/>
        </w:trPr>
        <w:tc>
          <w:tcPr>
            <w:tcW w:type="dxa" w:w="56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Ressources humaines</w:t>
            </w:r>
          </w:p>
        </w:tc>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3 644 000</w:t>
            </w:r>
          </w:p>
        </w:tc>
        <w:tc>
          <w:tcPr>
            <w:tcW w:type="dxa" w:w="1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84 %</w:t>
            </w:r>
          </w:p>
        </w:tc>
      </w:tr>
      <w:tr>
        <w:trPr>
          <w:cantSplit/>
        </w:trPr>
        <w:tc>
          <w:tcPr>
            <w:tcW w:type="dxa" w:w="56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Déplacements et missions de terrain</w:t>
            </w:r>
          </w:p>
        </w:tc>
        <w:tc>
          <w:tcPr>
            <w:tcW w:type="dxa" w:w="2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202 000</w:t>
            </w:r>
          </w:p>
        </w:tc>
        <w:tc>
          <w:tcPr>
            <w:tcW w:type="dxa" w:w="1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5 %</w:t>
            </w:r>
          </w:p>
        </w:tc>
      </w:tr>
      <w:tr>
        <w:trPr>
          <w:cantSplit/>
        </w:trPr>
        <w:tc>
          <w:tcPr>
            <w:tcW w:type="dxa" w:w="56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Documentation</w:t>
            </w:r>
          </w:p>
        </w:tc>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176 000</w:t>
            </w:r>
          </w:p>
        </w:tc>
        <w:tc>
          <w:tcPr>
            <w:tcW w:type="dxa" w:w="1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4 %</w:t>
            </w:r>
          </w:p>
        </w:tc>
      </w:tr>
      <w:tr>
        <w:trPr>
          <w:cantSplit/>
        </w:trPr>
        <w:tc>
          <w:tcPr>
            <w:tcW w:type="dxa" w:w="56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Infrastructure et formation</w:t>
            </w:r>
          </w:p>
        </w:tc>
        <w:tc>
          <w:tcPr>
            <w:tcW w:type="dxa" w:w="2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243 050</w:t>
            </w:r>
          </w:p>
        </w:tc>
        <w:tc>
          <w:tcPr>
            <w:tcW w:type="dxa" w:w="1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5 %</w:t>
            </w:r>
          </w:p>
        </w:tc>
      </w:tr>
      <w:tr>
        <w:trPr>
          <w:cantSplit/>
        </w:trPr>
        <w:tc>
          <w:tcPr>
            <w:tcW w:type="dxa" w:w="56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Licences (Figma Pro)</w:t>
            </w:r>
          </w:p>
        </w:tc>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55 000</w:t>
            </w:r>
          </w:p>
        </w:tc>
        <w:tc>
          <w:tcPr>
            <w:tcW w:type="dxa" w:w="1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1 %</w:t>
            </w:r>
          </w:p>
        </w:tc>
      </w:tr>
      <w:tr>
        <w:trPr>
          <w:cantSplit/>
        </w:trPr>
        <w:tc>
          <w:tcPr>
            <w:tcW w:type="dxa" w:w="56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Provisions pour imprévus</w:t>
            </w:r>
          </w:p>
        </w:tc>
        <w:tc>
          <w:tcPr>
            <w:tcW w:type="dxa" w:w="2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179 950</w:t>
            </w:r>
          </w:p>
        </w:tc>
        <w:tc>
          <w:tcPr>
            <w:tcW w:type="dxa" w:w="1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4 %</w:t>
            </w:r>
          </w:p>
        </w:tc>
      </w:tr>
      <w:tr>
        <w:trPr>
          <w:cantSplit/>
        </w:trPr>
        <w:tc>
          <w:tcPr>
            <w:tcW w:type="dxa" w:w="56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Total</w:t>
            </w:r>
          </w:p>
        </w:tc>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4 500 000</w:t>
            </w:r>
          </w:p>
        </w:tc>
        <w:tc>
          <w:tcPr>
            <w:tcW w:type="dxa" w:w="1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100 %</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138"/>
      </w:tblGrid>
      <w:tr>
        <w:trPr>
          <w:tblHeader/>
        </w:trPr>
        <w:tc>
          <w:tcPr>
            <w:tcW w:type="dxa" w:w="20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Tranche</w:t>
            </w:r>
          </w:p>
        </w:tc>
        <w:tc>
          <w:tcPr>
            <w:tcW w:type="dxa" w:w="25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Montant (FCFA)</w:t>
            </w:r>
          </w:p>
        </w:tc>
        <w:tc>
          <w:tcPr>
            <w:tcW w:type="dxa" w:w="51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Déclencheur</w:t>
            </w:r>
          </w:p>
        </w:tc>
      </w:tr>
      <w:tr>
        <w:trPr>
          <w:cantSplit/>
        </w:trPr>
        <w:tc>
          <w:tcPr>
            <w:tcW w:type="dxa" w:w="20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T1 (30 %)</w:t>
            </w:r>
          </w:p>
        </w:tc>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1 350 000</w:t>
            </w:r>
          </w:p>
        </w:tc>
        <w:tc>
          <w:tcPr>
            <w:tcW w:type="dxa" w:w="51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Signature du contrat, L1 et L2</w:t>
            </w:r>
          </w:p>
        </w:tc>
      </w:tr>
      <w:tr>
        <w:trPr>
          <w:cantSplit/>
        </w:trPr>
        <w:tc>
          <w:tcPr>
            <w:tcW w:type="dxa" w:w="20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T2 (30 %)</w:t>
            </w:r>
          </w:p>
        </w:tc>
        <w:tc>
          <w:tcPr>
            <w:tcW w:type="dxa" w:w="25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1 350 000</w:t>
            </w:r>
          </w:p>
        </w:tc>
        <w:tc>
          <w:tcPr>
            <w:tcW w:type="dxa" w:w="51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Validation de la version bêta, L3 et L4</w:t>
            </w:r>
          </w:p>
        </w:tc>
      </w:tr>
      <w:tr>
        <w:trPr>
          <w:cantSplit/>
        </w:trPr>
        <w:tc>
          <w:tcPr>
            <w:tcW w:type="dxa" w:w="20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T3 (40 %)</w:t>
            </w:r>
          </w:p>
        </w:tc>
        <w:tc>
          <w:tcPr>
            <w:tcW w:type="dxa" w:w="25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1 800 000</w:t>
            </w:r>
          </w:p>
        </w:tc>
        <w:tc>
          <w:tcPr>
            <w:tcW w:type="dxa" w:w="51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Acceptation du rapport final, L5 à L8</w:t>
            </w:r>
          </w:p>
        </w:tc>
      </w:tr>
    </w:tbl>
    <w:p>
      <w:pPr>
        <w:spacing w:after="140"/>
      </w:pPr>
    </w:p>
    <w:p>
      <w:pPr>
        <w:spacing w:after="120" w:line="276"/>
        <w:jc w:val="both"/>
      </w:pPr>
      <w:r>
        <w:rPr>
          <w:rFonts w:ascii="Calibri" w:cs="Calibri" w:eastAsia="Calibri" w:hAnsi="Calibri"/>
        </w:rPr>
        <w:t xml:space="preserve">Les coûts récurrents après la mission, à la charge du CRADESC, sont estimés à environ 354 000 FCFA par an (hébergement, stockage, SMS d'authentification, diffusion de contenus), les six premiers mois étant inclus dans le budget de la mission [PR 13]. Restent à confirmer : l'hypothèse de volume de SMS retenue, les licences éventuelles de fonds de carte ou d'imagerie, et les comptes de publication sur les magasins d'applications.</w:t>
      </w:r>
    </w:p>
    <w:p>
      <w:pPr>
        <w:pStyle w:val="Heading1"/>
      </w:pPr>
      <w:r>
        <w:t xml:space="preserve">15. Risques et mesures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900"/>
        <w:gridCol w:w="3938"/>
        <w:gridCol w:w="1200"/>
      </w:tblGrid>
      <w:tr>
        <w:trPr>
          <w:tblHeader/>
        </w:trPr>
        <w:tc>
          <w:tcPr>
            <w:tcW w:type="dxa" w:w="27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Risque</w:t>
            </w:r>
          </w:p>
        </w:tc>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Prob.</w:t>
            </w:r>
          </w:p>
        </w:tc>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Impact</w:t>
            </w:r>
          </w:p>
        </w:tc>
        <w:tc>
          <w:tcPr>
            <w:tcW w:type="dxa" w:w="39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Mesures</w:t>
            </w:r>
          </w:p>
        </w:tc>
        <w:tc>
          <w:tcPr>
            <w:tcW w:type="dxa" w:w="12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Origine</w:t>
            </w:r>
          </w:p>
        </w:tc>
      </w:tr>
      <w:tr>
        <w:trPr>
          <w:cantSplit/>
        </w:trPr>
        <w:tc>
          <w:tcPr>
            <w:tcW w:type="dxa" w:w="2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Connectivité limitée dans certaines zones</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Élevée</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Élevé</w:t>
            </w:r>
          </w:p>
        </w:tc>
        <w:tc>
          <w:tcPr>
            <w:tcW w:type="dxa" w:w="3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Architecture hors connexion native, tests de coupure réseau en recette</w:t>
            </w:r>
          </w:p>
        </w:tc>
        <w:tc>
          <w:tcPr>
            <w:tcW w:type="dxa" w:w="1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Offre</w:t>
            </w:r>
          </w:p>
        </w:tc>
      </w:tr>
      <w:tr>
        <w:trPr>
          <w:cantSplit/>
        </w:trPr>
        <w:tc>
          <w:tcPr>
            <w:tcW w:type="dxa" w:w="2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Délai insuffisant pour l'ensemble du périmètre</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Élevée</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Élevé</w:t>
            </w:r>
          </w:p>
        </w:tc>
        <w:tc>
          <w:tcPr>
            <w:tcW w:type="dxa" w:w="3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Priorisation stricte en S1, livraison par modules</w:t>
            </w:r>
          </w:p>
        </w:tc>
        <w:tc>
          <w:tcPr>
            <w:tcW w:type="dxa" w:w="1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Offre</w:t>
            </w:r>
          </w:p>
        </w:tc>
      </w:tr>
      <w:tr>
        <w:trPr>
          <w:cantSplit/>
        </w:trPr>
        <w:tc>
          <w:tcPr>
            <w:tcW w:type="dxa" w:w="2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Faible maîtrise du numérique</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Élevée</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Moyen</w:t>
            </w:r>
          </w:p>
        </w:tc>
        <w:tc>
          <w:tcPr>
            <w:tcW w:type="dxa" w:w="3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Parcours courts, formation en cascade en wolof, fiches illustrées</w:t>
            </w:r>
          </w:p>
        </w:tc>
        <w:tc>
          <w:tcPr>
            <w:tcW w:type="dxa" w:w="1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Offre</w:t>
            </w:r>
          </w:p>
        </w:tc>
      </w:tr>
      <w:tr>
        <w:trPr>
          <w:cantSplit/>
        </w:trPr>
        <w:tc>
          <w:tcPr>
            <w:tcW w:type="dxa" w:w="2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Base existante en mauvais état ou transmise tardivement</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Élevée</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Élevé</w:t>
            </w:r>
          </w:p>
        </w:tc>
        <w:tc>
          <w:tcPr>
            <w:tcW w:type="dxa" w:w="3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Demande immédiate, audit en S1 et S2, grille de qualification, engagement L6 fixé après audit</w:t>
            </w:r>
          </w:p>
        </w:tc>
        <w:tc>
          <w:tcPr>
            <w:tcW w:type="dxa" w:w="1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Nouveau</w:t>
            </w:r>
          </w:p>
        </w:tc>
      </w:tr>
      <w:tr>
        <w:trPr>
          <w:cantSplit/>
        </w:trPr>
        <w:tc>
          <w:tcPr>
            <w:tcW w:type="dxa" w:w="2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Complexité de la synchronisation (conflits, doublons)</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Moyenne</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Élevé</w:t>
            </w:r>
          </w:p>
        </w:tc>
        <w:tc>
          <w:tcPr>
            <w:tcW w:type="dxa" w:w="3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Prototype en S2, moteur au sprint 1, idempotence, tests automatisés</w:t>
            </w:r>
          </w:p>
        </w:tc>
        <w:tc>
          <w:tcPr>
            <w:tcW w:type="dxa" w:w="1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Nouveau</w:t>
            </w:r>
          </w:p>
        </w:tc>
      </w:tr>
      <w:tr>
        <w:trPr>
          <w:cantSplit/>
        </w:trPr>
        <w:tc>
          <w:tcPr>
            <w:tcW w:type="dxa" w:w="2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Disponibilité des OP pour les ateliers et la recette</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Moyenne</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Moyen</w:t>
            </w:r>
          </w:p>
        </w:tc>
        <w:tc>
          <w:tcPr>
            <w:tcW w:type="dxa" w:w="3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Calendrier arrêté au lancement, sessions courtes sur site</w:t>
            </w:r>
          </w:p>
        </w:tc>
        <w:tc>
          <w:tcPr>
            <w:tcW w:type="dxa" w:w="1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Offre</w:t>
            </w:r>
          </w:p>
        </w:tc>
      </w:tr>
      <w:tr>
        <w:trPr>
          <w:cantSplit/>
        </w:trPr>
        <w:tc>
          <w:tcPr>
            <w:tcW w:type="dxa" w:w="2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Chevauchement des responsabilités dans l'équipe</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Moyenne</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Moyen</w:t>
            </w:r>
          </w:p>
        </w:tc>
        <w:tc>
          <w:tcPr>
            <w:tcW w:type="dxa" w:w="3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Matrice des responsabilités validée au lancement</w:t>
            </w:r>
          </w:p>
        </w:tc>
        <w:tc>
          <w:tcPr>
            <w:tcW w:type="dxa" w:w="1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Nouveau</w:t>
            </w:r>
          </w:p>
        </w:tc>
      </w:tr>
      <w:tr>
        <w:trPr>
          <w:cantSplit/>
        </w:trPr>
        <w:tc>
          <w:tcPr>
            <w:tcW w:type="dxa" w:w="2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Non-conformité en matière de données personnelles</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Moyenne</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Élevé</w:t>
            </w:r>
          </w:p>
        </w:tc>
        <w:tc>
          <w:tcPr>
            <w:tcW w:type="dxa" w:w="3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Responsable du traitement désigné, formalités CDP, minimisation</w:t>
            </w:r>
          </w:p>
        </w:tc>
        <w:tc>
          <w:tcPr>
            <w:tcW w:type="dxa" w:w="1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Nouveau</w:t>
            </w:r>
          </w:p>
        </w:tc>
      </w:tr>
      <w:tr>
        <w:trPr>
          <w:cantSplit/>
        </w:trPr>
        <w:tc>
          <w:tcPr>
            <w:tcW w:type="dxa" w:w="2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Précision GPS insuffisante sur les petites parcelles</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Moyenne</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Moyen</w:t>
            </w:r>
          </w:p>
        </w:tc>
        <w:tc>
          <w:tcPr>
            <w:tcW w:type="dxa" w:w="3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Seuil de précision, moyenne des mesures, validation par le technicien</w:t>
            </w:r>
          </w:p>
        </w:tc>
        <w:tc>
          <w:tcPr>
            <w:tcW w:type="dxa" w:w="1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Nouveau</w:t>
            </w:r>
          </w:p>
        </w:tc>
      </w:tr>
      <w:tr>
        <w:trPr>
          <w:cantSplit/>
        </w:trPr>
        <w:tc>
          <w:tcPr>
            <w:tcW w:type="dxa" w:w="2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Comptes techniques détenus par un prestataire</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Moyenne</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Élevé</w:t>
            </w:r>
          </w:p>
        </w:tc>
        <w:tc>
          <w:tcPr>
            <w:tcW w:type="dxa" w:w="3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Ouverture de tous les comptes au nom du CRADESC</w:t>
            </w:r>
          </w:p>
        </w:tc>
        <w:tc>
          <w:tcPr>
            <w:tcW w:type="dxa" w:w="1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Nouveau</w:t>
            </w:r>
          </w:p>
        </w:tc>
      </w:tr>
      <w:tr>
        <w:trPr>
          <w:cantSplit/>
        </w:trPr>
        <w:tc>
          <w:tcPr>
            <w:tcW w:type="dxa" w:w="2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Pérennité après la mission</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Faible</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Élevé</w:t>
            </w:r>
          </w:p>
        </w:tc>
        <w:tc>
          <w:tcPr>
            <w:tcW w:type="dxa" w:w="3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Code documenté, formation des administrateurs, supervision configurée</w:t>
            </w:r>
          </w:p>
        </w:tc>
        <w:tc>
          <w:tcPr>
            <w:tcW w:type="dxa" w:w="1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Offre</w:t>
            </w:r>
          </w:p>
        </w:tc>
      </w:tr>
      <w:tr>
        <w:trPr>
          <w:cantSplit/>
        </w:trPr>
        <w:tc>
          <w:tcPr>
            <w:tcW w:type="dxa" w:w="2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Sécurité et confidentialité</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Faible</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Élevé</w:t>
            </w:r>
          </w:p>
        </w:tc>
        <w:tc>
          <w:tcPr>
            <w:tcW w:type="dxa" w:w="3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Audit de sécurité, chiffrement, journal d'audit, contrôle d'accès</w:t>
            </w:r>
          </w:p>
        </w:tc>
        <w:tc>
          <w:tcPr>
            <w:tcW w:type="dxa" w:w="1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Offre</w:t>
            </w:r>
          </w:p>
        </w:tc>
      </w:tr>
    </w:tbl>
    <w:p>
      <w:pPr>
        <w:spacing w:after="140"/>
      </w:pPr>
    </w:p>
    <w:p>
      <w:pPr>
        <w:pStyle w:val="Heading1"/>
      </w:pPr>
      <w:r>
        <w:t xml:space="preserve">16. Informations et ressources attendues</w:t>
      </w:r>
    </w:p>
    <w:p>
      <w:pPr>
        <w:spacing w:after="120" w:line="276"/>
        <w:jc w:val="both"/>
      </w:pPr>
      <w:r>
        <w:rPr>
          <w:rFonts w:ascii="Calibri" w:cs="Calibri" w:eastAsia="Calibri" w:hAnsi="Calibri"/>
        </w:rPr>
        <w:t xml:space="preserve">Priorité : </w:t>
      </w:r>
      <w:r>
        <w:rPr>
          <w:rFonts w:ascii="Calibri" w:cs="Calibri" w:eastAsia="Calibri" w:hAnsi="Calibri"/>
          <w:b/>
          <w:bCs/>
        </w:rPr>
        <w:t xml:space="preserve">P1</w:t>
      </w:r>
      <w:r>
        <w:rPr>
          <w:rFonts w:ascii="Calibri" w:cs="Calibri" w:eastAsia="Calibri" w:hAnsi="Calibri"/>
        </w:rPr>
        <w:t xml:space="preserve"> bloquant avant la semaine 1 ; </w:t>
      </w:r>
      <w:r>
        <w:rPr>
          <w:rFonts w:ascii="Calibri" w:cs="Calibri" w:eastAsia="Calibri" w:hAnsi="Calibri"/>
          <w:b/>
          <w:bCs/>
        </w:rPr>
        <w:t xml:space="preserve">P2</w:t>
      </w:r>
      <w:r>
        <w:rPr>
          <w:rFonts w:ascii="Calibri" w:cs="Calibri" w:eastAsia="Calibri" w:hAnsi="Calibri"/>
        </w:rPr>
        <w:t xml:space="preserve"> nécessaire avant la fin de la semaine 3 ; </w:t>
      </w:r>
      <w:r>
        <w:rPr>
          <w:rFonts w:ascii="Calibri" w:cs="Calibri" w:eastAsia="Calibri" w:hAnsi="Calibri"/>
          <w:b/>
          <w:bCs/>
        </w:rPr>
        <w:t xml:space="preserve">P3</w:t>
      </w:r>
      <w:r>
        <w:rPr>
          <w:rFonts w:ascii="Calibri" w:cs="Calibri" w:eastAsia="Calibri" w:hAnsi="Calibri"/>
        </w:rPr>
        <w:t xml:space="preserve"> nécessaire avant le développement concerné. Destinataire : CRADESC (CR), CANAS (CA).</w:t>
      </w:r>
    </w:p>
    <w:p>
      <w:pPr>
        <w:pStyle w:val="Heading2"/>
      </w:pPr>
      <w:r>
        <w:t xml:space="preserve">16.1 Cadre contractuel et gouvernance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938"/>
        <w:gridCol w:w="900"/>
        <w:gridCol w:w="900"/>
      </w:tblGrid>
      <w:tr>
        <w:trPr>
          <w:tblHeader/>
        </w:trPr>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Réf.</w:t>
            </w:r>
          </w:p>
        </w:tc>
        <w:tc>
          <w:tcPr>
            <w:tcW w:type="dxa" w:w="69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Information ou ressource</w:t>
            </w:r>
          </w:p>
        </w:tc>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Dest.</w:t>
            </w:r>
          </w:p>
        </w:tc>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Prio.</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01</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Termes de référence complets du CRADESC</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P1</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02</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Contrat signé, offre financière définitive, éventuel procès-verbal de négociation</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CA</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P1</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03</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Date officielle de démarrage et contraintes calendaires</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P1</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04</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Interlocuteurs du CRADESC (chef de projet, référent technique, valideurs), circuit et délais de validation, comité de pilotage</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P1</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05</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Périmètre de capitalisation sur DIGICOOP, pile technique, accès de démonstration</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CA</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P1</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06</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Régime de propriété du code remis au CRADESC et licences des composants réutilisés</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CA</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P1</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07</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Indicateurs de résultat attendus par le CRADESC et ses partenaires</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bl>
    <w:p>
      <w:pPr>
        <w:spacing w:after="140"/>
      </w:pPr>
    </w:p>
    <w:p>
      <w:pPr>
        <w:pStyle w:val="Heading2"/>
      </w:pPr>
      <w:r>
        <w:t xml:space="preserve">16.2 Base existante des producteurs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938"/>
        <w:gridCol w:w="900"/>
        <w:gridCol w:w="900"/>
      </w:tblGrid>
      <w:tr>
        <w:trPr>
          <w:tblHeader/>
        </w:trPr>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Réf.</w:t>
            </w:r>
          </w:p>
        </w:tc>
        <w:tc>
          <w:tcPr>
            <w:tcW w:type="dxa" w:w="69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Information ou ressource</w:t>
            </w:r>
          </w:p>
        </w:tc>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Dest.</w:t>
            </w:r>
          </w:p>
        </w:tc>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Prio.</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10</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Export complet de la base, ou à défaut un extrait représentatif d'au moins 500 fiches couvrant plusieurs coopératives, dans son format d'origine</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P1</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11</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Origine de la base : auteur, date et méthode de collecte, finalité initiale, dernière mise à jour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P1</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12</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Structure et format : type de support, nombre de fichiers ou de tables, liste et signification des champs, encodage, dictionnaire éventuel</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P1</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13</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Rattachement des producteurs aux dix coopératives ; existence de producteurs non rattachés</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P1</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14</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Identifiants existants (code membre, numéro de pièce d'identité, identifiant interne) et fiabilité des numéros de téléphone</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P1</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15</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Données associées : parcelles, superficies, cultures, campagnes, cotisations, crédits, ventes, photos</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16</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Doublons et anomalies connus ; référent de chaque coopérative pour l'arbitrage des cas douteux</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17</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Accès en lecture si la base est hébergée dans un outil ou sur un serveur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P1</w:t>
            </w:r>
          </w:p>
        </w:tc>
      </w:tr>
    </w:tbl>
    <w:p>
      <w:pPr>
        <w:spacing w:after="140"/>
      </w:pPr>
    </w:p>
    <w:p>
      <w:pPr>
        <w:pStyle w:val="Heading2"/>
      </w:pPr>
      <w:r>
        <w:t xml:space="preserve">16.3 Organisations, parcelles et référentiels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938"/>
        <w:gridCol w:w="900"/>
        <w:gridCol w:w="900"/>
      </w:tblGrid>
      <w:tr>
        <w:trPr>
          <w:tblHeader/>
        </w:trPr>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Réf.</w:t>
            </w:r>
          </w:p>
        </w:tc>
        <w:tc>
          <w:tcPr>
            <w:tcW w:type="dxa" w:w="69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Information ou ressource</w:t>
            </w:r>
          </w:p>
        </w:tc>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Dest.</w:t>
            </w:r>
          </w:p>
        </w:tc>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Prio.</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20</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Liste des dix coopératives et de la faîtière : dénomination, statut juridique, siège, localités, responsables, effectifs</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P1</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21</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Possibilité d'adhésion d'un producteur à plusieurs coopératives</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22</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Statuts fonciers à suivre (propriété, location, prêt, indivision)</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23</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Définition des campagnes et saisons utilisées</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 / CA</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24</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Données géographiques existantes (points, polygones, KML, Shapefile, GeoJSON) et système de coordonnées</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25</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Référentiel des localités (région, département, commune, village)</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26</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Référentiels AUMN (comptes d'exploitation, normes par culture) au format tableur, avec accord de réutilisation</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CA</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27</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Intrants, unités de mesure locales, magasins de stockage, marchés de référence, canaux de vente</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 / CA</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P3</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28</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Calendriers culturaux et recommandations techniques : rédacteurs et valideurs</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CA</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P3</w:t>
            </w:r>
          </w:p>
        </w:tc>
      </w:tr>
    </w:tbl>
    <w:p>
      <w:pPr>
        <w:spacing w:after="140"/>
      </w:pPr>
    </w:p>
    <w:p>
      <w:pPr>
        <w:pStyle w:val="Heading2"/>
      </w:pPr>
      <w:r>
        <w:t xml:space="preserve">16.4 Règles de gestion et rapports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938"/>
        <w:gridCol w:w="900"/>
        <w:gridCol w:w="900"/>
      </w:tblGrid>
      <w:tr>
        <w:trPr>
          <w:tblHeader/>
        </w:trPr>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Réf.</w:t>
            </w:r>
          </w:p>
        </w:tc>
        <w:tc>
          <w:tcPr>
            <w:tcW w:type="dxa" w:w="69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Information ou ressource</w:t>
            </w:r>
          </w:p>
        </w:tc>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Dest.</w:t>
            </w:r>
          </w:p>
        </w:tc>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Prio.</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30</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Règles de cotisation par coopérative (montant, périodicité, mode de paiement)</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P3</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31</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Règles de crédit : nature, intérêts ou frais, échéancier type, pénalités</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P3</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32</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Modalités de vente : individuelle ou groupée par la coopérative</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P3</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33</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Formules du compte d'exploitation et définition d'une exploitation en difficulté</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CA</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P3</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34</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Portée attendue de la validation numérique des procès-verbaux</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P3</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35</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Modèles de rapports attendus par le CRADESC et les bailleurs (indicateurs, ventilations, formats)</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bl>
    <w:p>
      <w:pPr>
        <w:spacing w:after="140"/>
      </w:pPr>
    </w:p>
    <w:p>
      <w:pPr>
        <w:pStyle w:val="Heading2"/>
      </w:pPr>
      <w:r>
        <w:t xml:space="preserve">16.5 Utilisateurs, terrain et équipements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938"/>
        <w:gridCol w:w="900"/>
        <w:gridCol w:w="900"/>
      </w:tblGrid>
      <w:tr>
        <w:trPr>
          <w:tblHeader/>
        </w:trPr>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Réf.</w:t>
            </w:r>
          </w:p>
        </w:tc>
        <w:tc>
          <w:tcPr>
            <w:tcW w:type="dxa" w:w="69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Information ou ressource</w:t>
            </w:r>
          </w:p>
        </w:tc>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Dest.</w:t>
            </w:r>
          </w:p>
        </w:tc>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Prio.</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40</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Mode d'utilisation par les producteurs et taux estimé d'équipement en smartphone</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P1</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41</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Terminaux des techniciens : fournis ou personnels, modèles, versions Android, usage partagé</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42</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Exigences d'accessibilité liées au handicap</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43</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Nécessité d'une version iOS pendant la mission</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44</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Accès des gestionnaires à un ordinateur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45</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Nombre réel de techniciens et éventuelle couverture de plusieurs coopératives par un même technicien</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46</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Fonctionnalités devant impérativement fonctionner hors connexion ; durée maximale sans reconnexion</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47</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Calendrier agricole et disponibilités pour les ateliers, la recette et les formations</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P1</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48</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Couverture réseau connue par zone</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P3</w:t>
            </w:r>
          </w:p>
        </w:tc>
      </w:tr>
    </w:tbl>
    <w:p>
      <w:pPr>
        <w:spacing w:after="140"/>
      </w:pPr>
    </w:p>
    <w:p>
      <w:pPr>
        <w:pStyle w:val="Heading2"/>
      </w:pPr>
      <w:r>
        <w:t xml:space="preserve">16.6 Infrastructure, accès et services existants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938"/>
        <w:gridCol w:w="900"/>
        <w:gridCol w:w="900"/>
      </w:tblGrid>
      <w:tr>
        <w:trPr>
          <w:tblHeader/>
        </w:trPr>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Réf.</w:t>
            </w:r>
          </w:p>
        </w:tc>
        <w:tc>
          <w:tcPr>
            <w:tcW w:type="dxa" w:w="69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Information ou ressource</w:t>
            </w:r>
          </w:p>
        </w:tc>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Dest.</w:t>
            </w:r>
          </w:p>
        </w:tc>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Prio.</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50</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Infrastructure existante du CRADESC : serveurs, hébergeur, services cloud, équipe informatique</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P1</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51</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Exigence de localisation des données (Sénégal, Afrique, sans contrainte)</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P1</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52</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Ouverture au nom du CRADESC des comptes : hébergeur, nom de domaine, messagerie technique, organisation GitHub, supervision</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P1</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53</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Nom de domaine souhaité et sous-domaines</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54</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Comptes développeur Google Play et, le cas échéant, Apple, au nom du CRADESC</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55</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Fournisseur SMS existant ou à retenir, identifiant d'expéditeur, budget</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56</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Outils de collecte déjà utilisés (KoboToolbox, ODK, formulaires en ligne) et accès aux projets</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P1</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57</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API ou plateformes existantes à connecter (DIGICOOP, systèmes de partenaires), formats d'échange imposés</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 / CA</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58</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Services de paiement mobile utilisés par les coopératives, pour information</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P3</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59</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Abonnement ou budget pour les fonds de carte et l'imagerie satellite</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60</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Niveau de disponibilité exigé et destinataire des alertes de supervision après la mission</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bl>
    <w:p>
      <w:pPr>
        <w:spacing w:after="140"/>
      </w:pPr>
    </w:p>
    <w:p>
      <w:pPr>
        <w:pStyle w:val="Heading2"/>
      </w:pPr>
      <w:r>
        <w:t xml:space="preserve">16.7 Identité visuelle et contenus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938"/>
        <w:gridCol w:w="900"/>
        <w:gridCol w:w="900"/>
      </w:tblGrid>
      <w:tr>
        <w:trPr>
          <w:tblHeader/>
        </w:trPr>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Réf.</w:t>
            </w:r>
          </w:p>
        </w:tc>
        <w:tc>
          <w:tcPr>
            <w:tcW w:type="dxa" w:w="69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Information ou ressource</w:t>
            </w:r>
          </w:p>
        </w:tc>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Dest.</w:t>
            </w:r>
          </w:p>
        </w:tc>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Prio.</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61</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Logo Mbay Diaay en format vectoriel (SVG, AI ou EPS) et en PNG haute définition ; à défaut, désignation du concepteur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62</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Charte graphique : couleurs (codes hexadécimaux), typographies, règles d'usage</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63</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Logos et mentions obligatoires : CRADESC, faîtière, coopératives, bailleurs et partenaires</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64</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Graphie officielle du nom, slogan éventuel, icône d'application, langue de l'interface (français, wolof, pulaar)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65</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Photographies de terrain libres de droits pour l'application, les manuels et les vidéos</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P3</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66</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Mentions légales et conditions d'utilisation</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P3</w:t>
            </w:r>
          </w:p>
        </w:tc>
      </w:tr>
    </w:tbl>
    <w:p>
      <w:pPr>
        <w:spacing w:after="140"/>
      </w:pPr>
    </w:p>
    <w:p>
      <w:pPr>
        <w:pStyle w:val="Heading2"/>
      </w:pPr>
      <w:r>
        <w:t xml:space="preserve">16.8 Données personnelles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938"/>
        <w:gridCol w:w="900"/>
        <w:gridCol w:w="900"/>
      </w:tblGrid>
      <w:tr>
        <w:trPr>
          <w:tblHeader/>
        </w:trPr>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Réf.</w:t>
            </w:r>
          </w:p>
        </w:tc>
        <w:tc>
          <w:tcPr>
            <w:tcW w:type="dxa" w:w="69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Information ou ressource</w:t>
            </w:r>
          </w:p>
        </w:tc>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Dest.</w:t>
            </w:r>
          </w:p>
        </w:tc>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Prio.</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70</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Désignation du responsable du traitement</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71</w:t>
            </w:r>
          </w:p>
        </w:tc>
        <w:tc>
          <w:tcPr>
            <w:tcW w:type="dxa" w:w="6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Porteur des formalités auprès de la CDP</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INF 72</w:t>
            </w:r>
          </w:p>
        </w:tc>
        <w:tc>
          <w:tcPr>
            <w:tcW w:type="dxa" w:w="6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Conditions de collecte et de consentement de la base existante</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CR</w:t>
            </w:r>
          </w:p>
        </w:tc>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P2</w:t>
            </w:r>
          </w:p>
        </w:tc>
      </w:tr>
    </w:tbl>
    <w:p>
      <w:pPr>
        <w:spacing w:after="140"/>
      </w:pPr>
    </w:p>
    <w:p>
      <w:pPr>
        <w:pStyle w:val="Heading1"/>
      </w:pPr>
      <w:r>
        <w:t xml:space="preserve">17. Registre des décisions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938"/>
        <w:gridCol w:w="1900"/>
        <w:gridCol w:w="1200"/>
      </w:tblGrid>
      <w:tr>
        <w:trPr>
          <w:tblHeader/>
        </w:trPr>
        <w:tc>
          <w:tcPr>
            <w:tcW w:type="dxa" w:w="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Réf.</w:t>
            </w:r>
          </w:p>
        </w:tc>
        <w:tc>
          <w:tcPr>
            <w:tcW w:type="dxa" w:w="27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Décision attendue</w:t>
            </w:r>
          </w:p>
        </w:tc>
        <w:tc>
          <w:tcPr>
            <w:tcW w:type="dxa" w:w="29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Recommandation</w:t>
            </w:r>
          </w:p>
        </w:tc>
        <w:tc>
          <w:tcPr>
            <w:tcW w:type="dxa" w:w="19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Décideur</w:t>
            </w:r>
          </w:p>
        </w:tc>
        <w:tc>
          <w:tcPr>
            <w:tcW w:type="dxa" w:w="12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Échéance</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DEC 01</w:t>
            </w:r>
          </w:p>
        </w:tc>
        <w:tc>
          <w:tcPr>
            <w:tcW w:type="dxa" w:w="2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Positionnement et périmètre du Lead technique</w:t>
            </w:r>
          </w:p>
        </w:tc>
        <w:tc>
          <w:tcPr>
            <w:tcW w:type="dxa" w:w="2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Selon la section 11.3</w:t>
            </w:r>
          </w:p>
        </w:tc>
        <w:tc>
          <w:tcPr>
            <w:tcW w:type="dxa" w:w="1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CANAS</w:t>
            </w:r>
          </w:p>
        </w:tc>
        <w:tc>
          <w:tcPr>
            <w:tcW w:type="dxa" w:w="1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S0</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DEC 02</w:t>
            </w:r>
          </w:p>
        </w:tc>
        <w:tc>
          <w:tcPr>
            <w:tcW w:type="dxa" w:w="2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Périmètre de capitalisation sur DIGICOOP</w:t>
            </w:r>
          </w:p>
        </w:tc>
        <w:tc>
          <w:tcPr>
            <w:tcW w:type="dxa" w:w="2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Selon les réponses INF 05 et INF 06</w:t>
            </w:r>
          </w:p>
        </w:tc>
        <w:tc>
          <w:tcPr>
            <w:tcW w:type="dxa" w:w="1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CANAS et CRADESC</w:t>
            </w:r>
          </w:p>
        </w:tc>
        <w:tc>
          <w:tcPr>
            <w:tcW w:type="dxa" w:w="1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S0</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DEC 03</w:t>
            </w:r>
          </w:p>
        </w:tc>
        <w:tc>
          <w:tcPr>
            <w:tcW w:type="dxa" w:w="2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Intégration de la reprise de la base existante</w:t>
            </w:r>
          </w:p>
        </w:tc>
        <w:tc>
          <w:tcPr>
            <w:tcW w:type="dxa" w:w="2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Intégrée, engagement L6 fixé après l'audit</w:t>
            </w:r>
          </w:p>
        </w:tc>
        <w:tc>
          <w:tcPr>
            <w:tcW w:type="dxa" w:w="1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CANAS et CRADESC</w:t>
            </w:r>
          </w:p>
        </w:tc>
        <w:tc>
          <w:tcPr>
            <w:tcW w:type="dxa" w:w="1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S1</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DEC 04</w:t>
            </w:r>
          </w:p>
        </w:tc>
        <w:tc>
          <w:tcPr>
            <w:tcW w:type="dxa" w:w="2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Mode d'utilisation de l'application par les producteurs</w:t>
            </w:r>
          </w:p>
        </w:tc>
        <w:tc>
          <w:tcPr>
            <w:tcW w:type="dxa" w:w="2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Mixte : saisie par le technicien, consultation par le producteur</w:t>
            </w:r>
          </w:p>
        </w:tc>
        <w:tc>
          <w:tcPr>
            <w:tcW w:type="dxa" w:w="1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CRADESC</w:t>
            </w:r>
          </w:p>
        </w:tc>
        <w:tc>
          <w:tcPr>
            <w:tcW w:type="dxa" w:w="1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S2</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DEC 05</w:t>
            </w:r>
          </w:p>
        </w:tc>
        <w:tc>
          <w:tcPr>
            <w:tcW w:type="dxa" w:w="2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Rôle faîtière et droits du gestionnaire</w:t>
            </w:r>
          </w:p>
        </w:tc>
        <w:tc>
          <w:tcPr>
            <w:tcW w:type="dxa" w:w="2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Rôle faîtière en lecture consolidée</w:t>
            </w:r>
          </w:p>
        </w:tc>
        <w:tc>
          <w:tcPr>
            <w:tcW w:type="dxa" w:w="1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CRADESC</w:t>
            </w:r>
          </w:p>
        </w:tc>
        <w:tc>
          <w:tcPr>
            <w:tcW w:type="dxa" w:w="1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S2</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DEC 06</w:t>
            </w:r>
          </w:p>
        </w:tc>
        <w:tc>
          <w:tcPr>
            <w:tcW w:type="dxa" w:w="2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Stratégie de résolution des conflits</w:t>
            </w:r>
          </w:p>
        </w:tc>
        <w:tc>
          <w:tcPr>
            <w:tcW w:type="dxa" w:w="2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Par type de donnée (section 8.4)</w:t>
            </w:r>
          </w:p>
        </w:tc>
        <w:tc>
          <w:tcPr>
            <w:tcW w:type="dxa" w:w="1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Lead technique, validation en L2</w:t>
            </w:r>
          </w:p>
        </w:tc>
        <w:tc>
          <w:tcPr>
            <w:tcW w:type="dxa" w:w="1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S3</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DEC 07</w:t>
            </w:r>
          </w:p>
        </w:tc>
        <w:tc>
          <w:tcPr>
            <w:tcW w:type="dxa" w:w="2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Moteur de synchronisation au premier sprint</w:t>
            </w:r>
          </w:p>
        </w:tc>
        <w:tc>
          <w:tcPr>
            <w:tcW w:type="dxa" w:w="2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Oui</w:t>
            </w:r>
          </w:p>
        </w:tc>
        <w:tc>
          <w:tcPr>
            <w:tcW w:type="dxa" w:w="1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CANAS et Lead technique</w:t>
            </w:r>
          </w:p>
        </w:tc>
        <w:tc>
          <w:tcPr>
            <w:tcW w:type="dxa" w:w="1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S1</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DEC 08</w:t>
            </w:r>
          </w:p>
        </w:tc>
        <w:tc>
          <w:tcPr>
            <w:tcW w:type="dxa" w:w="2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Hébergement</w:t>
            </w:r>
          </w:p>
        </w:tc>
        <w:tc>
          <w:tcPr>
            <w:tcW w:type="dxa" w:w="2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Selon INF 50 et INF 51, comptes au nom du CRADESC</w:t>
            </w:r>
          </w:p>
        </w:tc>
        <w:tc>
          <w:tcPr>
            <w:tcW w:type="dxa" w:w="1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CRADESC</w:t>
            </w:r>
          </w:p>
        </w:tc>
        <w:tc>
          <w:tcPr>
            <w:tcW w:type="dxa" w:w="1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S2</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DEC 09</w:t>
            </w:r>
          </w:p>
        </w:tc>
        <w:tc>
          <w:tcPr>
            <w:tcW w:type="dxa" w:w="2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Fournisseur SMS</w:t>
            </w:r>
          </w:p>
        </w:tc>
        <w:tc>
          <w:tcPr>
            <w:tcW w:type="dxa" w:w="2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Fournisseur local disposant d'une API fiable</w:t>
            </w:r>
          </w:p>
        </w:tc>
        <w:tc>
          <w:tcPr>
            <w:tcW w:type="dxa" w:w="1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CRADESC</w:t>
            </w:r>
          </w:p>
        </w:tc>
        <w:tc>
          <w:tcPr>
            <w:tcW w:type="dxa" w:w="1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S3</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DEC 10</w:t>
            </w:r>
          </w:p>
        </w:tc>
        <w:tc>
          <w:tcPr>
            <w:tcW w:type="dxa" w:w="2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Fonds de carte hors connexion</w:t>
            </w:r>
          </w:p>
        </w:tc>
        <w:tc>
          <w:tcPr>
            <w:tcW w:type="dxa" w:w="2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Fonds OpenStreetMap empaqueté ; satellite en ligne</w:t>
            </w:r>
          </w:p>
        </w:tc>
        <w:tc>
          <w:tcPr>
            <w:tcW w:type="dxa" w:w="1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CRADESC et Lead technique</w:t>
            </w:r>
          </w:p>
        </w:tc>
        <w:tc>
          <w:tcPr>
            <w:tcW w:type="dxa" w:w="1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S3</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DEC 11</w:t>
            </w:r>
          </w:p>
        </w:tc>
        <w:tc>
          <w:tcPr>
            <w:tcW w:type="dxa" w:w="2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Superficie de référence</w:t>
            </w:r>
          </w:p>
        </w:tc>
        <w:tc>
          <w:tcPr>
            <w:tcW w:type="dxa" w:w="2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Conserver les deux, la superficie mesurée et validée prévaut</w:t>
            </w:r>
          </w:p>
        </w:tc>
        <w:tc>
          <w:tcPr>
            <w:tcW w:type="dxa" w:w="1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CRADESC et chef de mission</w:t>
            </w:r>
          </w:p>
        </w:tc>
        <w:tc>
          <w:tcPr>
            <w:tcW w:type="dxa" w:w="1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S3</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DEC 12</w:t>
            </w:r>
          </w:p>
        </w:tc>
        <w:tc>
          <w:tcPr>
            <w:tcW w:type="dxa" w:w="2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Niveau de service</w:t>
            </w:r>
          </w:p>
        </w:tc>
        <w:tc>
          <w:tcPr>
            <w:tcW w:type="dxa" w:w="2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Objectif de disponibilité, sauf budget de redondance</w:t>
            </w:r>
          </w:p>
        </w:tc>
        <w:tc>
          <w:tcPr>
            <w:tcW w:type="dxa" w:w="1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CANAS et CRADESC</w:t>
            </w:r>
          </w:p>
        </w:tc>
        <w:tc>
          <w:tcPr>
            <w:tcW w:type="dxa" w:w="1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S3</w:t>
            </w:r>
          </w:p>
        </w:tc>
      </w:tr>
      <w:tr>
        <w:trPr>
          <w:cantSplit/>
        </w:trPr>
        <w:tc>
          <w:tcPr>
            <w:tcW w:type="dxa" w:w="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DEC 13</w:t>
            </w:r>
          </w:p>
        </w:tc>
        <w:tc>
          <w:tcPr>
            <w:tcW w:type="dxa" w:w="27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Langue de l'interface</w:t>
            </w:r>
          </w:p>
        </w:tc>
        <w:tc>
          <w:tcPr>
            <w:tcW w:type="dxa" w:w="29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Français avec pictogrammes ; wolof à évaluer</w:t>
            </w:r>
          </w:p>
        </w:tc>
        <w:tc>
          <w:tcPr>
            <w:tcW w:type="dxa" w:w="19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CRADESC</w:t>
            </w:r>
          </w:p>
        </w:tc>
        <w:tc>
          <w:tcPr>
            <w:tcW w:type="dxa" w:w="1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S2</w:t>
            </w:r>
          </w:p>
        </w:tc>
      </w:tr>
      <w:tr>
        <w:trPr>
          <w:cantSplit/>
        </w:trPr>
        <w:tc>
          <w:tcPr>
            <w:tcW w:type="dxa" w:w="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7"/>
                <w:szCs w:val="17"/>
              </w:rPr>
              <w:t xml:space="preserve">DEC 14</w:t>
            </w:r>
          </w:p>
        </w:tc>
        <w:tc>
          <w:tcPr>
            <w:tcW w:type="dxa" w:w="27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Priorité des alertes de stock</w:t>
            </w:r>
          </w:p>
        </w:tc>
        <w:tc>
          <w:tcPr>
            <w:tcW w:type="dxa" w:w="29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À arbitrer lors de l'atelier de priorisation</w:t>
            </w:r>
          </w:p>
        </w:tc>
        <w:tc>
          <w:tcPr>
            <w:tcW w:type="dxa" w:w="19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CRADESC</w:t>
            </w:r>
          </w:p>
        </w:tc>
        <w:tc>
          <w:tcPr>
            <w:tcW w:type="dxa" w:w="1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7"/>
                <w:szCs w:val="17"/>
              </w:rPr>
              <w:t xml:space="preserve">S1</w:t>
            </w:r>
          </w:p>
        </w:tc>
      </w:tr>
    </w:tbl>
    <w:p>
      <w:pPr>
        <w:spacing w:after="140"/>
      </w:pPr>
    </w:p>
    <w:p>
      <w:pPr>
        <w:pStyle w:val="Heading1"/>
      </w:pPr>
      <w:r>
        <w:t xml:space="preserve">18. Prochaines étapes</w:t>
      </w:r>
    </w:p>
    <w:p>
      <w:pPr>
        <w:pStyle w:val="ListParagraph"/>
        <w:numPr>
          <w:ilvl w:val="0"/>
          <w:numId w:val="4"/>
        </w:numPr>
        <w:spacing w:after="60" w:line="264"/>
      </w:pPr>
      <w:r>
        <w:rPr>
          <w:rFonts w:ascii="Calibri" w:cs="Calibri" w:eastAsia="Calibri" w:hAnsi="Calibri"/>
        </w:rPr>
        <w:t xml:space="preserve">Validation de la présente note par le chef de mission du CANAS.</w:t>
      </w:r>
    </w:p>
    <w:p>
      <w:pPr>
        <w:pStyle w:val="ListParagraph"/>
        <w:numPr>
          <w:ilvl w:val="0"/>
          <w:numId w:val="4"/>
        </w:numPr>
        <w:spacing w:after="60" w:line="264"/>
      </w:pPr>
      <w:r>
        <w:rPr>
          <w:rFonts w:ascii="Calibri" w:cs="Calibri" w:eastAsia="Calibri" w:hAnsi="Calibri"/>
        </w:rPr>
        <w:t xml:space="preserve">Transmission au CRADESC de la liste des informations attendues, en commençant par les éléments de priorité P1.</w:t>
      </w:r>
    </w:p>
    <w:p>
      <w:pPr>
        <w:pStyle w:val="ListParagraph"/>
        <w:numPr>
          <w:ilvl w:val="0"/>
          <w:numId w:val="4"/>
        </w:numPr>
        <w:spacing w:after="60" w:line="264"/>
      </w:pPr>
      <w:r>
        <w:rPr>
          <w:rFonts w:ascii="Calibri" w:cs="Calibri" w:eastAsia="Calibri" w:hAnsi="Calibri"/>
        </w:rPr>
        <w:t xml:space="preserve">Réception et analyse de la base existante, avec une première note de qualité sous 72 heures.</w:t>
      </w:r>
    </w:p>
    <w:p>
      <w:pPr>
        <w:pStyle w:val="ListParagraph"/>
        <w:numPr>
          <w:ilvl w:val="0"/>
          <w:numId w:val="4"/>
        </w:numPr>
        <w:spacing w:after="60" w:line="264"/>
      </w:pPr>
      <w:r>
        <w:rPr>
          <w:rFonts w:ascii="Calibri" w:cs="Calibri" w:eastAsia="Calibri" w:hAnsi="Calibri"/>
        </w:rPr>
        <w:t xml:space="preserve">Tenue de la réunion de lancement et de l'atelier de priorisation.</w:t>
      </w:r>
    </w:p>
    <w:p>
      <w:pPr>
        <w:pStyle w:val="ListParagraph"/>
        <w:numPr>
          <w:ilvl w:val="0"/>
          <w:numId w:val="4"/>
        </w:numPr>
        <w:spacing w:after="60" w:line="264"/>
      </w:pPr>
      <w:r>
        <w:rPr>
          <w:rFonts w:ascii="Calibri" w:cs="Calibri" w:eastAsia="Calibri" w:hAnsi="Calibri"/>
        </w:rPr>
        <w:t xml:space="preserve">Production du rapport de démarrage (L1) et du document d'architecture (L2).</w:t>
      </w:r>
    </w:p>
    <w:p>
      <w:pPr>
        <w:pStyle w:val="Heading2"/>
      </w:pPr>
      <w:r>
        <w:t xml:space="preserve">Validation de la note de cadrage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838"/>
        <w:gridCol w:w="1600"/>
        <w:gridCol w:w="2000"/>
      </w:tblGrid>
      <w:tr>
        <w:trPr>
          <w:tblHeader/>
        </w:trPr>
        <w:tc>
          <w:tcPr>
            <w:tcW w:type="dxa" w:w="22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Organisation</w:t>
            </w:r>
          </w:p>
        </w:tc>
        <w:tc>
          <w:tcPr>
            <w:tcW w:type="dxa" w:w="38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Nom et fonction</w:t>
            </w:r>
          </w:p>
        </w:tc>
        <w:tc>
          <w:tcPr>
            <w:tcW w:type="dxa" w:w="16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Date</w:t>
            </w:r>
          </w:p>
        </w:tc>
        <w:tc>
          <w:tcPr>
            <w:tcW w:type="dxa" w:w="20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Visa</w:t>
            </w:r>
          </w:p>
        </w:tc>
      </w:tr>
      <w:tr>
        <w:trPr>
          <w:cantSplit/>
        </w:trPr>
        <w:tc>
          <w:tcPr>
            <w:tcW w:type="dxa" w:w="2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CRADESC</w:t>
            </w:r>
          </w:p>
        </w:tc>
        <w:tc>
          <w:tcPr>
            <w:tcW w:type="dxa" w:w="38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p>
        </w:tc>
        <w:tc>
          <w:tcPr>
            <w:tcW w:type="dxa" w:w="16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p>
        </w:tc>
        <w:tc>
          <w:tcPr>
            <w:tcW w:type="dxa" w:w="20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p>
        </w:tc>
      </w:tr>
      <w:tr>
        <w:trPr>
          <w:cantSplit/>
        </w:trPr>
        <w:tc>
          <w:tcPr>
            <w:tcW w:type="dxa" w:w="22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CANAS</w:t>
            </w:r>
          </w:p>
        </w:tc>
        <w:tc>
          <w:tcPr>
            <w:tcW w:type="dxa" w:w="38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Mbaye NDIAYE, chef de mission</w:t>
            </w:r>
          </w:p>
        </w:tc>
        <w:tc>
          <w:tcPr>
            <w:tcW w:type="dxa" w:w="16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p>
        </w:tc>
        <w:tc>
          <w:tcPr>
            <w:tcW w:type="dxa" w:w="20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p>
        </w:tc>
      </w:tr>
      <w:tr>
        <w:trPr>
          <w:cantSplit/>
        </w:trPr>
        <w:tc>
          <w:tcPr>
            <w:tcW w:type="dxa" w:w="22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Direction technique</w:t>
            </w:r>
          </w:p>
        </w:tc>
        <w:tc>
          <w:tcPr>
            <w:tcW w:type="dxa" w:w="38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Lead technique</w:t>
            </w:r>
          </w:p>
        </w:tc>
        <w:tc>
          <w:tcPr>
            <w:tcW w:type="dxa" w:w="16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p>
        </w:tc>
        <w:tc>
          <w:tcPr>
            <w:tcW w:type="dxa" w:w="20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p>
        </w:tc>
      </w:tr>
    </w:tbl>
    <w:p>
      <w:pPr>
        <w:spacing w:after="140"/>
      </w:pPr>
    </w:p>
    <w:p>
      <w:pPr>
        <w:pStyle w:val="Heading1"/>
      </w:pPr>
      <w:r>
        <w:t xml:space="preserve">Annexe :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Terme</w:t>
            </w:r>
          </w:p>
        </w:tc>
        <w:tc>
          <w:tcPr>
            <w:tcW w:type="dxa" w:w="6838"/>
            <w:tcBorders>
              <w:top w:val="single" w:color="C9D3CD" w:sz="4"/>
              <w:left w:val="single" w:color="C9D3CD" w:sz="4"/>
              <w:bottom w:val="single" w:color="C9D3CD" w:sz="4"/>
              <w:right w:val="single" w:color="C9D3CD" w:sz="4"/>
            </w:tcBorders>
            <w:shd w:fill="1E5631" w:color="auto" w:val="clear"/>
            <w:tcMar>
              <w:top w:type="dxa" w:w="70"/>
              <w:left w:type="dxa" w:w="100"/>
              <w:bottom w:type="dxa" w:w="70"/>
              <w:right w:type="dxa" w:w="100"/>
            </w:tcMar>
            <w:vAlign w:val="center"/>
          </w:tcPr>
          <w:p>
            <w:r>
              <w:rPr>
                <w:rFonts w:ascii="Calibri" w:cs="Calibri" w:eastAsia="Calibri" w:hAnsi="Calibri"/>
                <w:b/>
                <w:bCs/>
                <w:color w:val="FFFFFF"/>
                <w:sz w:val="18"/>
                <w:szCs w:val="18"/>
              </w:rPr>
              <w:t xml:space="preserve">Définition</w:t>
            </w:r>
          </w:p>
        </w:tc>
      </w:tr>
      <w:tr>
        <w:trPr>
          <w:cantSplit/>
        </w:trPr>
        <w:tc>
          <w:tcPr>
            <w:tcW w:type="dxa" w:w="28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OP</w:t>
            </w:r>
          </w:p>
        </w:tc>
        <w:tc>
          <w:tcPr>
            <w:tcW w:type="dxa" w:w="68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Organisation de producteurs</w:t>
            </w:r>
          </w:p>
        </w:tc>
      </w:tr>
      <w:tr>
        <w:trPr>
          <w:cantSplit/>
        </w:trPr>
        <w:tc>
          <w:tcPr>
            <w:tcW w:type="dxa" w:w="28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Faîtière</w:t>
            </w:r>
          </w:p>
        </w:tc>
        <w:tc>
          <w:tcPr>
            <w:tcW w:type="dxa" w:w="68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Structure regroupant les dix coopératives et les représentant auprès des partenaires</w:t>
            </w:r>
          </w:p>
        </w:tc>
      </w:tr>
      <w:tr>
        <w:trPr>
          <w:cantSplit/>
        </w:trPr>
        <w:tc>
          <w:tcPr>
            <w:tcW w:type="dxa" w:w="28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Campagne</w:t>
            </w:r>
          </w:p>
        </w:tc>
        <w:tc>
          <w:tcPr>
            <w:tcW w:type="dxa" w:w="68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Période de production agricole à laquelle se rattachent cultures, charges et ventes</w:t>
            </w:r>
          </w:p>
        </w:tc>
      </w:tr>
      <w:tr>
        <w:trPr>
          <w:cantSplit/>
        </w:trPr>
        <w:tc>
          <w:tcPr>
            <w:tcW w:type="dxa" w:w="28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Itinéraire technique</w:t>
            </w:r>
          </w:p>
        </w:tc>
        <w:tc>
          <w:tcPr>
            <w:tcW w:type="dxa" w:w="68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Suite des opérations culturales, de la préparation du sol à la récolte</w:t>
            </w:r>
          </w:p>
        </w:tc>
      </w:tr>
      <w:tr>
        <w:trPr>
          <w:cantSplit/>
        </w:trPr>
        <w:tc>
          <w:tcPr>
            <w:tcW w:type="dxa" w:w="28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Compte d'exploitation</w:t>
            </w:r>
          </w:p>
        </w:tc>
        <w:tc>
          <w:tcPr>
            <w:tcW w:type="dxa" w:w="68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Bilan des charges et des produits d'une culture ou d'une exploitation sur une campagne</w:t>
            </w:r>
          </w:p>
        </w:tc>
      </w:tr>
      <w:tr>
        <w:trPr>
          <w:cantSplit/>
        </w:trPr>
        <w:tc>
          <w:tcPr>
            <w:tcW w:type="dxa" w:w="28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Géoréférencement</w:t>
            </w:r>
          </w:p>
        </w:tc>
        <w:tc>
          <w:tcPr>
            <w:tcW w:type="dxa" w:w="68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Relevé des coordonnées GPS d'une parcelle pour en tracer le contour</w:t>
            </w:r>
          </w:p>
        </w:tc>
      </w:tr>
      <w:tr>
        <w:trPr>
          <w:cantSplit/>
        </w:trPr>
        <w:tc>
          <w:tcPr>
            <w:tcW w:type="dxa" w:w="28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Hors connexion (offline first)</w:t>
            </w:r>
          </w:p>
        </w:tc>
        <w:tc>
          <w:tcPr>
            <w:tcW w:type="dxa" w:w="68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Principe selon lequel l'application fonctionne d'abord en local, le réseau servant à synchroniser</w:t>
            </w:r>
          </w:p>
        </w:tc>
      </w:tr>
      <w:tr>
        <w:trPr>
          <w:cantSplit/>
        </w:trPr>
        <w:tc>
          <w:tcPr>
            <w:tcW w:type="dxa" w:w="28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Idempotence</w:t>
            </w:r>
          </w:p>
        </w:tc>
        <w:tc>
          <w:tcPr>
            <w:tcW w:type="dxa" w:w="68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Propriété d'une opération dont la répétition ne produit aucun effet supplémentaire</w:t>
            </w:r>
          </w:p>
        </w:tc>
      </w:tr>
      <w:tr>
        <w:trPr>
          <w:cantSplit/>
        </w:trPr>
        <w:tc>
          <w:tcPr>
            <w:tcW w:type="dxa" w:w="28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MoSCoW</w:t>
            </w:r>
          </w:p>
        </w:tc>
        <w:tc>
          <w:tcPr>
            <w:tcW w:type="dxa" w:w="68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Méthode de priorisation : Must, Should, Could, Won't have</w:t>
            </w:r>
          </w:p>
        </w:tc>
      </w:tr>
      <w:tr>
        <w:trPr>
          <w:cantSplit/>
        </w:trPr>
        <w:tc>
          <w:tcPr>
            <w:tcW w:type="dxa" w:w="28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Recette (UAT)</w:t>
            </w:r>
          </w:p>
        </w:tc>
        <w:tc>
          <w:tcPr>
            <w:tcW w:type="dxa" w:w="68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Tests d'acceptation réalisés par les utilisateurs</w:t>
            </w:r>
          </w:p>
        </w:tc>
      </w:tr>
      <w:tr>
        <w:trPr>
          <w:cantSplit/>
        </w:trPr>
        <w:tc>
          <w:tcPr>
            <w:tcW w:type="dxa" w:w="28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CDP</w:t>
            </w:r>
          </w:p>
        </w:tc>
        <w:tc>
          <w:tcPr>
            <w:tcW w:type="dxa" w:w="68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Commission de Protection des Données Personnelles du Sénégal</w:t>
            </w:r>
          </w:p>
        </w:tc>
      </w:tr>
      <w:tr>
        <w:trPr>
          <w:cantSplit/>
        </w:trPr>
        <w:tc>
          <w:tcPr>
            <w:tcW w:type="dxa" w:w="2800"/>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AUMN</w:t>
            </w:r>
          </w:p>
        </w:tc>
        <w:tc>
          <w:tcPr>
            <w:tcW w:type="dxa" w:w="6838"/>
            <w:tcBorders>
              <w:top w:val="single" w:color="C9D3CD" w:sz="4"/>
              <w:left w:val="single" w:color="C9D3CD" w:sz="4"/>
              <w:bottom w:val="single" w:color="C9D3CD" w:sz="4"/>
              <w:right w:val="single" w:color="C9D3CD" w:sz="4"/>
            </w:tcBorders>
            <w:shd w:fill="F5F8F6"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Association des Unions Maraîchères des Niayes</w:t>
            </w:r>
          </w:p>
        </w:tc>
      </w:tr>
      <w:tr>
        <w:trPr>
          <w:cantSplit/>
        </w:trPr>
        <w:tc>
          <w:tcPr>
            <w:tcW w:type="dxa" w:w="2800"/>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b/>
                <w:bCs/>
                <w:sz w:val="18"/>
                <w:szCs w:val="18"/>
              </w:rPr>
              <w:t xml:space="preserve">DIGICOOP</w:t>
            </w:r>
          </w:p>
        </w:tc>
        <w:tc>
          <w:tcPr>
            <w:tcW w:type="dxa" w:w="6838"/>
            <w:tcBorders>
              <w:top w:val="single" w:color="C9D3CD" w:sz="4"/>
              <w:left w:val="single" w:color="C9D3CD" w:sz="4"/>
              <w:bottom w:val="single" w:color="C9D3CD" w:sz="4"/>
              <w:right w:val="single" w:color="C9D3CD" w:sz="4"/>
            </w:tcBorders>
            <w:shd w:fill="FFFFFF" w:color="auto" w:val="clear"/>
            <w:tcMar>
              <w:top w:type="dxa" w:w="60"/>
              <w:left w:type="dxa" w:w="100"/>
              <w:bottom w:type="dxa" w:w="60"/>
              <w:right w:type="dxa" w:w="100"/>
            </w:tcMar>
            <w:vAlign w:val="center"/>
          </w:tcPr>
          <w:p>
            <w:pPr>
              <w:spacing w:after="40" w:line="252"/>
            </w:pPr>
            <w:r>
              <w:rPr>
                <w:rFonts w:ascii="Calibri" w:cs="Calibri" w:eastAsia="Calibri" w:hAnsi="Calibri"/>
                <w:sz w:val="18"/>
                <w:szCs w:val="18"/>
              </w:rPr>
              <w:t xml:space="preserve">Plateforme numérique pour coopératives conçue par le CANAS</w:t>
            </w:r>
          </w:p>
        </w:tc>
      </w:tr>
    </w:tbl>
    <w:p>
      <w:pPr>
        <w:spacing w:after="14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F6B66"/>
        <w:sz w:val="16"/>
        <w:szCs w:val="16"/>
      </w:rPr>
      <w:t xml:space="preserve">Confidentiel : CRADESC, CANAS, équipe projet</w:t>
    </w:r>
    <w:r>
      <w:rPr>
        <w:rFonts w:ascii="Calibri" w:cs="Calibri" w:eastAsia="Calibri" w:hAnsi="Calibri"/>
        <w:color w:val="5F6B66"/>
        <w:sz w:val="16"/>
        <w:szCs w:val="16"/>
      </w:rPr>
      <w:t xml:space="preserve">	Page </w:t>
      <w:fldChar w:fldCharType="begin"/>
      <w:instrText xml:space="preserve">PAGE</w:instrText>
      <w:fldChar w:fldCharType="separate"/>
      <w:fldChar w:fldCharType="end"/>
      <w:t xml:space="preserve"> sur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CD" w:sz="4" w:space="4"/>
      </w:pBdr>
      <w:tabs>
        <w:tab w:val="right" w:pos="9638"/>
      </w:tabs>
    </w:pPr>
    <w:r>
      <w:rPr>
        <w:rFonts w:ascii="Calibri" w:cs="Calibri" w:eastAsia="Calibri" w:hAnsi="Calibri"/>
        <w:b/>
        <w:bCs/>
        <w:color w:val="1E5631"/>
        <w:sz w:val="16"/>
        <w:szCs w:val="16"/>
      </w:rPr>
      <w:t xml:space="preserve">Mbay Diaay</w:t>
    </w:r>
    <w:r>
      <w:rPr>
        <w:rFonts w:ascii="Calibri" w:cs="Calibri" w:eastAsia="Calibri" w:hAnsi="Calibri"/>
        <w:color w:val="5F6B66"/>
        <w:sz w:val="16"/>
        <w:szCs w:val="16"/>
      </w:rPr>
      <w:t xml:space="preserve">	Note de cadrage,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1E5631"/>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rPr>
        <w:b/>
        <w:bCs/>
        <w:color w:val="1E5631"/>
      </w:rPr>
    </w:lvl>
  </w:abstractNum>
  <w:abstractNum w:abstractNumId="4" w15:restartNumberingAfterBreak="0">
    <w:multiLevelType w:val="hybridMultilevel"/>
    <w:lvl w:ilvl="0" w15:tentative="1">
      <w:start w:val="1"/>
      <w:numFmt w:val="decimal"/>
      <w:lvlText w:val="%1."/>
      <w:lvlJc w:val="left"/>
      <w:pPr>
        <w:ind w:left="540" w:hanging="360"/>
      </w:pPr>
      <w:rPr>
        <w:b/>
        <w:bCs/>
        <w:color w:val="1E563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8892B" w:sz="6" w:space="4"/>
      </w:pBdr>
      <w:spacing w:after="160" w:before="360"/>
      <w:outlineLvl w:val="0"/>
    </w:pPr>
    <w:rPr>
      <w:rFonts w:ascii="Calibri" w:cs="Calibri" w:eastAsia="Calibri" w:hAnsi="Calibri"/>
      <w:b/>
      <w:bCs/>
      <w:color w:val="1E5631"/>
      <w:sz w:val="30"/>
      <w:szCs w:val="30"/>
    </w:rPr>
  </w:style>
  <w:style w:type="paragraph" w:styleId="Heading2">
    <w:name w:val="Heading 2"/>
    <w:basedOn w:val="Normal"/>
    <w:next w:val="Normal"/>
    <w:qFormat/>
    <w:pPr>
      <w:keepNext/>
      <w:spacing w:after="120" w:before="240"/>
      <w:outlineLvl w:val="1"/>
    </w:pPr>
    <w:rPr>
      <w:rFonts w:ascii="Calibri" w:cs="Calibri" w:eastAsia="Calibri" w:hAnsi="Calibri"/>
      <w:b/>
      <w:bCs/>
      <w:color w:val="1E5631"/>
      <w:sz w:val="24"/>
      <w:szCs w:val="24"/>
    </w:rPr>
  </w:style>
  <w:style w:type="paragraph" w:styleId="Heading3">
    <w:name w:val="Heading 3"/>
    <w:basedOn w:val="Normal"/>
    <w:next w:val="Normal"/>
    <w:qFormat/>
    <w:pPr>
      <w:spacing w:after="80" w:before="180"/>
      <w:outlineLvl w:val="2"/>
    </w:pPr>
    <w:rPr>
      <w:rFonts w:ascii="Calibri" w:cs="Calibri" w:eastAsia="Calibri" w:hAnsi="Calibri"/>
      <w:b/>
      <w:bCs/>
      <w:color w:val="5F6B6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Mbay Diaay : note de cadrage</dc:title>
  <dc:creator>Direction technique du projet Mbay Diaay</dc:creator>
  <cp:lastModifiedBy>Un-named</cp:lastModifiedBy>
  <cp:revision>1</cp:revision>
  <dcterms:created xsi:type="dcterms:W3CDTF">2026-09-24T20:11:15.465Z</dcterms:created>
  <dcterms:modified xsi:type="dcterms:W3CDTF">2026-09-24T20:11:15.465Z</dcterms:modified>
</cp:coreProperties>
</file>

<file path=docProps/custom.xml><?xml version="1.0" encoding="utf-8"?>
<Properties xmlns="http://schemas.openxmlformats.org/officeDocument/2006/custom-properties" xmlns:vt="http://schemas.openxmlformats.org/officeDocument/2006/docPropsVTypes"/>
</file>