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Supervised Learning Foundations Instructor Solutions</w:t>
      </w:r>
    </w:p>
    <w:p>
      <w:pPr>
        <w:pStyle w:val="Subtitle"/>
      </w:pPr>
      <w:r>
        <w:rPr>
          <w:color w:val="4E6472"/>
        </w:rPr>
        <w:t>Book 2 Lesson 1 marking guide and model reasoning</w:t>
      </w:r>
    </w:p>
    <w:p>
      <w:r>
        <w:t>Mbaye Kebe  |  SRAI  |  Controlled review candidate  |  10 September 2026</w:t>
      </w:r>
    </w:p>
    <w:p>
      <w:r>
        <w:t>This guide provides expected reasoning, not only final answers. Award full credit when the learner states the information boundary, preserves the evaluation design, and qualifies conclusions appropriately.</w:t>
      </w:r>
    </w:p>
    <w:p>
      <w:pPr>
        <w:pStyle w:val="Heading1"/>
      </w:pPr>
      <w:r>
        <w:t>Marking overview</w:t>
      </w:r>
    </w:p>
    <w:tbl>
      <w:tblPr>
        <w:tblW w:type="auto" w:w="0"/>
        <w:jc w:val="center"/>
        <w:tblLayout w:type="fixed"/>
        <w:tblLook w:firstColumn="1" w:firstRow="1" w:lastColumn="0" w:lastRow="0" w:noHBand="0" w:noVBand="1" w:val="04A0"/>
      </w:tblPr>
      <w:tblGrid>
        <w:gridCol w:w="3312"/>
        <w:gridCol w:w="3312"/>
        <w:gridCol w:w="3312"/>
      </w:tblGrid>
      <w:tr>
        <w:tc>
          <w:tcPr>
            <w:tcW w:type="dxa" w:w="1440"/>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Section</w:t>
            </w:r>
          </w:p>
        </w:tc>
        <w:tc>
          <w:tcPr>
            <w:tcW w:type="dxa" w:w="1440"/>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Points</w:t>
            </w:r>
          </w:p>
        </w:tc>
        <w:tc>
          <w:tcPr>
            <w:tcW w:type="dxa" w:w="6912"/>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Evidence for full credit</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20</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Correct definitions and distinctions</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B</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20</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Correct calculations and interpretations</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30</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Valid leakage and evaluation reasoning</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D</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30</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Reproducible professional evidence</w:t>
            </w:r>
          </w:p>
        </w:tc>
      </w:tr>
    </w:tbl>
    <w:p/>
    <w:p>
      <w:pPr>
        <w:pStyle w:val="Heading2"/>
      </w:pPr>
      <w:r>
        <w:t>1–5 Core concepts</w:t>
      </w:r>
    </w:p>
    <w:p>
      <w:r>
        <w:t>An observation is the defined unit; features are admissible inputs; the target is the future quantity or class; prediction time fixes admissibility. Training performance is optimistic because fitting adapts to training data. Validation supports choices; the untouched test supports final estimation. Leakage may be target, temporal, group or pipeline leakage. A baseline must face the same target, timing and test cases.</w:t>
      </w:r>
    </w:p>
    <w:p>
      <w:pPr>
        <w:pStyle w:val="Heading2"/>
      </w:pPr>
      <w:r>
        <w:t>6 Empirical risk</w:t>
      </w:r>
    </w:p>
    <w:p>
      <w:r>
        <w:t>The expression averages a declared loss over n training pairs. yᵢ is the observed target, f(xᵢ) the prediction, and L the consequence assigned to the error. It estimates performance on the training sample and does not equal expected risk unless the transfer assumptions are justified.</w:t>
      </w:r>
    </w:p>
    <w:p>
      <w:pPr>
        <w:pStyle w:val="Heading2"/>
      </w:pPr>
      <w:r>
        <w:t>7 MAE and RMSE</w:t>
      </w:r>
    </w:p>
    <w:p>
      <w:r>
        <w:t>MAE averages absolute errors in target units. RMSE squares errors before averaging and therefore emphasizes large misses. RMSE is especially relevant when extreme staffing shortfalls or high-demand misses are disproportionately costly.</w:t>
      </w:r>
    </w:p>
    <w:p>
      <w:pPr>
        <w:pStyle w:val="Heading2"/>
      </w:pPr>
      <w:r>
        <w:t>8 Improvement</w:t>
      </w:r>
    </w:p>
    <w:p>
      <w:r>
        <w:t>Absolute improvement = 40.496 − 30.876 = 9.620 RMSE units. Percentage improvement = 9.620 / 40.496 × 100 = 23.76%, approximately 23.8%.</w:t>
      </w:r>
    </w:p>
    <w:p>
      <w:pPr>
        <w:pStyle w:val="Heading2"/>
      </w:pPr>
      <w:r>
        <w:t>9 ROC AUC</w:t>
      </w:r>
    </w:p>
    <w:p>
      <w:r>
        <w:t>ROC AUC summarizes ranking across thresholds. The operating threshold depends on prevalence, intervention capacity and the relative costs of false positives and false negatives. Calibration and threshold-specific precision and recall must also be examined.</w:t>
      </w:r>
    </w:p>
    <w:p>
      <w:pPr>
        <w:pStyle w:val="Heading2"/>
      </w:pPr>
      <w:r>
        <w:t>10–14 Case analysis</w:t>
      </w:r>
    </w:p>
    <w:p>
      <w:r>
        <w:t>The post-outcome field is target or temporal leakage. Reject RMSE 2.048 and retain 30.876 as the controlled estimate under the chronological split. Use chronological train, validation and final test periods. Compare training-mean and seasonal-naive baselines; examine MAE, RMSE, residuals and high-demand error; examine region and demand-level subgroups. Communicate incremental value with uncertainty and explicit deployment limitations.</w:t>
      </w:r>
    </w:p>
    <w:p>
      <w:pPr>
        <w:pStyle w:val="Heading2"/>
      </w:pPr>
      <w:r>
        <w:t>15–19 Professional evidence</w:t>
      </w:r>
    </w:p>
    <w:p>
      <w:r>
        <w:t>A complete submission records environment, seed 42, split identifiers, rerun status and changed design choice. Threshold analysis must connect precision, recall and intervention volume. Deployment evidence includes data quality, calibration, subgroup behavior, latency and override monitoring. Warning and suspension triggers name owners, evidence windows and recovery requirements.</w:t>
      </w:r>
    </w:p>
    <w:p>
      <w:pPr>
        <w:pStyle w:val="Heading1"/>
      </w:pPr>
      <w:r>
        <w:t>Scoring rubric</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Criterion</w:t>
            </w:r>
          </w:p>
        </w:tc>
        <w:tc>
          <w:tcPr>
            <w:tcW w:type="dxa" w:w="3024"/>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Excellent</w:t>
            </w:r>
          </w:p>
        </w:tc>
        <w:tc>
          <w:tcPr>
            <w:tcW w:type="dxa" w:w="3024"/>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Partial</w:t>
            </w:r>
          </w:p>
        </w:tc>
        <w:tc>
          <w:tcPr>
            <w:tcW w:type="dxa" w:w="3024"/>
            <w:shd w:fill="0A23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Insufficient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Task definition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Unit, target, horizon and action explicit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One element unclear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Task reduced to algorithm</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Evaluation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Split reproduces intended use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Split plausible but weakly justified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Training or random score treated as proof</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Leakage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Failure and control correctly identified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Leakage named without operational test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Leaked result accepted</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Interpretation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Claims qualified by uncertainty and scope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Some qualifications missing</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F2F6F6"/>
          </w:tcPr>
          <w:p>
            <w:r>
              <w:rPr>
                <w:sz w:val="18"/>
              </w:rPr>
              <w:t>Deployment inferred from score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Reproducibility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Complete rerun and evidence record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Partial record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No executable evidence</w:t>
            </w:r>
          </w:p>
        </w:tc>
      </w:tr>
    </w:tbl>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2F776F"/>
        <w:sz w:val="16"/>
      </w:rPr>
      <w:t>SRAI    BOOK 2 · LESSON 1    PU-B02-C01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