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Supervised Learning Foundations Executive Brief</w:t>
      </w:r>
    </w:p>
    <w:p>
      <w:pPr>
        <w:pStyle w:val="Subtitle"/>
      </w:pPr>
      <w:r>
        <w:rPr>
          <w:color w:val="4E6472"/>
        </w:rPr>
        <w:t>Decision guidance for responsible predictive model development</w:t>
      </w:r>
    </w:p>
    <w:p>
      <w:r>
        <w:t>Mbaye Kebe  |  SRAI  |  Controlled review candidate  |  10 September 2026</w:t>
      </w:r>
    </w:p>
    <w:p>
      <w:r>
        <w:t>Supervised learning becomes useful when an institution can show what was predicted, what information was available, how performance was evaluated, and who remains accountable for action. For the controlled service-demand case, the learned model improves test RMSE from 40.496 for the seasonal baseline to 30.876, while a leaked result of 2.048 is explicitly rejected.</w:t>
      </w:r>
    </w:p>
    <w:p>
      <w:pPr>
        <w:pStyle w:val="Heading1"/>
      </w:pPr>
      <w:r>
        <w:t>Decision message</w:t>
      </w:r>
    </w:p>
    <w:p>
      <w:r>
        <w:t>The controlled evidence supports incremental predictive value in the synthetic laboratory. It does not yet authorize operational deployment. Progression to use requires confirmation of data provenance, temporal validity, uncertainty, subgroup performance, capacity effects, monitoring and accountable review.</w:t>
      </w:r>
    </w:p>
    <w:p>
      <w:pPr>
        <w:pStyle w:val="Heading1"/>
      </w:pPr>
      <w:r>
        <w:t>Controlled results</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0A2336"/>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Evidence</w:t>
            </w:r>
          </w:p>
        </w:tc>
        <w:tc>
          <w:tcPr>
            <w:tcW w:type="dxa" w:w="2016"/>
            <w:shd w:fill="0A2336"/>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Result</w:t>
            </w:r>
          </w:p>
        </w:tc>
        <w:tc>
          <w:tcPr>
            <w:tcW w:type="dxa" w:w="5184"/>
            <w:shd w:fill="0A2336"/>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Interpretation</w:t>
            </w:r>
          </w:p>
        </w:tc>
      </w:tr>
      <w:tr>
        <w:tc>
          <w:tcPr>
            <w:tcW w:type="dxa" w:w="2592"/>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Training mean baseline</w:t>
            </w:r>
          </w:p>
        </w:tc>
        <w:tc>
          <w:tcPr>
            <w:tcW w:type="dxa" w:w="2016"/>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RMSE 103.958</w:t>
            </w:r>
          </w:p>
        </w:tc>
        <w:tc>
          <w:tcPr>
            <w:tcW w:type="dxa" w:w="5184"/>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Weak constant reference</w:t>
            </w:r>
          </w:p>
        </w:tc>
      </w:tr>
      <w:tr>
        <w:tc>
          <w:tcPr>
            <w:tcW w:type="dxa" w:w="2592"/>
            <w:tcBorders>
              <w:top w:val="single" w:sz="4" w:color="D9D9D9"/>
              <w:left w:val="single" w:sz="4" w:color="D9D9D9"/>
              <w:bottom w:val="single" w:sz="4" w:color="D9D9D9"/>
              <w:right w:val="single" w:sz="4" w:color="D9D9D9"/>
              <w:insideH w:val="single" w:sz="4" w:color="D9D9D9"/>
              <w:insideV w:val="single" w:sz="4" w:color="D9D9D9"/>
            </w:tcBorders>
            <w:vAlign w:val="center"/>
            <w:shd w:fill="F2F6F6"/>
          </w:tcPr>
          <w:p>
            <w:r>
              <w:rPr>
                <w:sz w:val="18"/>
              </w:rPr>
              <w:t>Seasonal naive baseline</w:t>
            </w:r>
          </w:p>
        </w:tc>
        <w:tc>
          <w:tcPr>
            <w:tcW w:type="dxa" w:w="2016"/>
            <w:tcBorders>
              <w:top w:val="single" w:sz="4" w:color="D9D9D9"/>
              <w:left w:val="single" w:sz="4" w:color="D9D9D9"/>
              <w:bottom w:val="single" w:sz="4" w:color="D9D9D9"/>
              <w:right w:val="single" w:sz="4" w:color="D9D9D9"/>
              <w:insideH w:val="single" w:sz="4" w:color="D9D9D9"/>
              <w:insideV w:val="single" w:sz="4" w:color="D9D9D9"/>
            </w:tcBorders>
            <w:vAlign w:val="center"/>
            <w:shd w:fill="F2F6F6"/>
          </w:tcPr>
          <w:p>
            <w:r>
              <w:rPr>
                <w:sz w:val="18"/>
              </w:rPr>
              <w:t>RMSE 40.496</w:t>
            </w:r>
          </w:p>
        </w:tc>
        <w:tc>
          <w:tcPr>
            <w:tcW w:type="dxa" w:w="5184"/>
            <w:tcBorders>
              <w:top w:val="single" w:sz="4" w:color="D9D9D9"/>
              <w:left w:val="single" w:sz="4" w:color="D9D9D9"/>
              <w:bottom w:val="single" w:sz="4" w:color="D9D9D9"/>
              <w:right w:val="single" w:sz="4" w:color="D9D9D9"/>
              <w:insideH w:val="single" w:sz="4" w:color="D9D9D9"/>
              <w:insideV w:val="single" w:sz="4" w:color="D9D9D9"/>
            </w:tcBorders>
            <w:vAlign w:val="center"/>
            <w:shd w:fill="F2F6F6"/>
          </w:tcPr>
          <w:p>
            <w:r>
              <w:rPr>
                <w:sz w:val="18"/>
              </w:rPr>
              <w:t>Credible operational comparator</w:t>
            </w:r>
          </w:p>
        </w:tc>
      </w:tr>
      <w:tr>
        <w:tc>
          <w:tcPr>
            <w:tcW w:type="dxa" w:w="2592"/>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Learned regression model</w:t>
            </w:r>
          </w:p>
        </w:tc>
        <w:tc>
          <w:tcPr>
            <w:tcW w:type="dxa" w:w="2016"/>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RMSE 30.876</w:t>
            </w:r>
          </w:p>
        </w:tc>
        <w:tc>
          <w:tcPr>
            <w:tcW w:type="dxa" w:w="5184"/>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23.8% improvement versus seasonal</w:t>
            </w:r>
          </w:p>
        </w:tc>
      </w:tr>
      <w:tr>
        <w:tc>
          <w:tcPr>
            <w:tcW w:type="dxa" w:w="2592"/>
            <w:tcBorders>
              <w:top w:val="single" w:sz="4" w:color="D9D9D9"/>
              <w:left w:val="single" w:sz="4" w:color="D9D9D9"/>
              <w:bottom w:val="single" w:sz="4" w:color="D9D9D9"/>
              <w:right w:val="single" w:sz="4" w:color="D9D9D9"/>
              <w:insideH w:val="single" w:sz="4" w:color="D9D9D9"/>
              <w:insideV w:val="single" w:sz="4" w:color="D9D9D9"/>
            </w:tcBorders>
            <w:vAlign w:val="center"/>
            <w:shd w:fill="F2F6F6"/>
          </w:tcPr>
          <w:p>
            <w:r>
              <w:rPr>
                <w:sz w:val="18"/>
              </w:rPr>
              <w:t>Leaked model</w:t>
            </w:r>
          </w:p>
        </w:tc>
        <w:tc>
          <w:tcPr>
            <w:tcW w:type="dxa" w:w="2016"/>
            <w:tcBorders>
              <w:top w:val="single" w:sz="4" w:color="D9D9D9"/>
              <w:left w:val="single" w:sz="4" w:color="D9D9D9"/>
              <w:bottom w:val="single" w:sz="4" w:color="D9D9D9"/>
              <w:right w:val="single" w:sz="4" w:color="D9D9D9"/>
              <w:insideH w:val="single" w:sz="4" w:color="D9D9D9"/>
              <w:insideV w:val="single" w:sz="4" w:color="D9D9D9"/>
            </w:tcBorders>
            <w:vAlign w:val="center"/>
            <w:shd w:fill="F2F6F6"/>
          </w:tcPr>
          <w:p>
            <w:r>
              <w:rPr>
                <w:sz w:val="18"/>
              </w:rPr>
              <w:t>RMSE 2.048</w:t>
            </w:r>
          </w:p>
        </w:tc>
        <w:tc>
          <w:tcPr>
            <w:tcW w:type="dxa" w:w="5184"/>
            <w:tcBorders>
              <w:top w:val="single" w:sz="4" w:color="D9D9D9"/>
              <w:left w:val="single" w:sz="4" w:color="D9D9D9"/>
              <w:bottom w:val="single" w:sz="4" w:color="D9D9D9"/>
              <w:right w:val="single" w:sz="4" w:color="D9D9D9"/>
              <w:insideH w:val="single" w:sz="4" w:color="D9D9D9"/>
              <w:insideV w:val="single" w:sz="4" w:color="D9D9D9"/>
            </w:tcBorders>
            <w:vAlign w:val="center"/>
            <w:shd w:fill="F2F6F6"/>
          </w:tcPr>
          <w:p>
            <w:r>
              <w:rPr>
                <w:sz w:val="18"/>
              </w:rPr>
              <w:t>Rejected; post-outcome information</w:t>
            </w:r>
          </w:p>
        </w:tc>
      </w:tr>
      <w:tr>
        <w:tc>
          <w:tcPr>
            <w:tcW w:type="dxa" w:w="2592"/>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High-demand classifier</w:t>
            </w:r>
          </w:p>
        </w:tc>
        <w:tc>
          <w:tcPr>
            <w:tcW w:type="dxa" w:w="2016"/>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ROC AUC 0.955</w:t>
            </w:r>
          </w:p>
        </w:tc>
        <w:tc>
          <w:tcPr>
            <w:tcW w:type="dxa" w:w="5184"/>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Strong ranking; threshold still governed</w:t>
            </w:r>
          </w:p>
        </w:tc>
      </w:tr>
    </w:tbl>
    <w:p/>
    <w:p>
      <w:pPr>
        <w:pStyle w:val="Heading1"/>
      </w:pPr>
      <w:r>
        <w:t>Controls before deployment</w:t>
      </w:r>
    </w:p>
    <w:p>
      <w:pPr>
        <w:pStyle w:val="ListBullet"/>
      </w:pPr>
      <w:r>
        <w:t>Freeze the prediction time and admissible feature list</w:t>
      </w:r>
    </w:p>
    <w:p>
      <w:pPr>
        <w:pStyle w:val="ListBullet"/>
      </w:pPr>
      <w:r>
        <w:t>Use temporal or otherwise dependence-aware evaluation</w:t>
      </w:r>
    </w:p>
    <w:p>
      <w:pPr>
        <w:pStyle w:val="ListBullet"/>
      </w:pPr>
      <w:r>
        <w:t>Compare the same test cases against credible baselines</w:t>
      </w:r>
    </w:p>
    <w:p>
      <w:pPr>
        <w:pStyle w:val="ListBullet"/>
      </w:pPr>
      <w:r>
        <w:t>Quantify uncertainty and examine consequential subgroups</w:t>
      </w:r>
    </w:p>
    <w:p>
      <w:pPr>
        <w:pStyle w:val="ListBullet"/>
      </w:pPr>
      <w:r>
        <w:t>Define warning, suspension and recovery thresholds</w:t>
      </w:r>
    </w:p>
    <w:p>
      <w:pPr>
        <w:pStyle w:val="ListBullet"/>
      </w:pPr>
      <w:r>
        <w:t>Keep observed facts, model estimates and authorized decisions distinct</w:t>
      </w:r>
    </w:p>
    <w:p>
      <w:pPr>
        <w:pStyle w:val="Heading1"/>
      </w:pPr>
      <w:r>
        <w:t>Governance questions</w:t>
      </w:r>
    </w:p>
    <w:tbl>
      <w:tblPr>
        <w:tblW w:type="auto" w:w="0"/>
        <w:jc w:val="center"/>
        <w:tblLayout w:type="fixed"/>
        <w:tblLook w:firstColumn="1" w:firstRow="1" w:lastColumn="0" w:lastRow="0" w:noHBand="0" w:noVBand="1" w:val="04A0"/>
      </w:tblPr>
      <w:tblGrid>
        <w:gridCol w:w="4968"/>
        <w:gridCol w:w="4968"/>
      </w:tblGrid>
      <w:tr>
        <w:tc>
          <w:tcPr>
            <w:tcW w:type="dxa" w:w="3168"/>
            <w:shd w:fill="0A2336"/>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Question</w:t>
            </w:r>
          </w:p>
        </w:tc>
        <w:tc>
          <w:tcPr>
            <w:tcW w:type="dxa" w:w="6624"/>
            <w:shd w:fill="0A2336"/>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Required record</w:t>
            </w:r>
          </w:p>
        </w:tc>
      </w:tr>
      <w:tr>
        <w:tc>
          <w:tcPr>
            <w:tcW w:type="dxa" w:w="3168"/>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What decision is supported?</w:t>
            </w:r>
          </w:p>
        </w:tc>
        <w:tc>
          <w:tcPr>
            <w:tcW w:type="dxa" w:w="6624"/>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Purpose, user, authority and prohibited uses</w:t>
            </w:r>
          </w:p>
        </w:tc>
      </w:tr>
      <w:tr>
        <w:tc>
          <w:tcPr>
            <w:tcW w:type="dxa" w:w="3168"/>
            <w:tcBorders>
              <w:top w:val="single" w:sz="4" w:color="D9D9D9"/>
              <w:left w:val="single" w:sz="4" w:color="D9D9D9"/>
              <w:bottom w:val="single" w:sz="4" w:color="D9D9D9"/>
              <w:right w:val="single" w:sz="4" w:color="D9D9D9"/>
              <w:insideH w:val="single" w:sz="4" w:color="D9D9D9"/>
              <w:insideV w:val="single" w:sz="4" w:color="D9D9D9"/>
            </w:tcBorders>
            <w:vAlign w:val="center"/>
            <w:shd w:fill="F2F6F6"/>
          </w:tcPr>
          <w:p>
            <w:r>
              <w:rPr>
                <w:sz w:val="18"/>
              </w:rPr>
              <w:t>What can the model know?</w:t>
            </w:r>
          </w:p>
        </w:tc>
        <w:tc>
          <w:tcPr>
            <w:tcW w:type="dxa" w:w="6624"/>
            <w:tcBorders>
              <w:top w:val="single" w:sz="4" w:color="D9D9D9"/>
              <w:left w:val="single" w:sz="4" w:color="D9D9D9"/>
              <w:bottom w:val="single" w:sz="4" w:color="D9D9D9"/>
              <w:right w:val="single" w:sz="4" w:color="D9D9D9"/>
              <w:insideH w:val="single" w:sz="4" w:color="D9D9D9"/>
              <w:insideV w:val="single" w:sz="4" w:color="D9D9D9"/>
            </w:tcBorders>
            <w:vAlign w:val="center"/>
            <w:shd w:fill="F2F6F6"/>
          </w:tcPr>
          <w:p>
            <w:r>
              <w:rPr>
                <w:sz w:val="18"/>
              </w:rPr>
              <w:t>Feature provenance and availability timestamp</w:t>
            </w:r>
          </w:p>
        </w:tc>
      </w:tr>
      <w:tr>
        <w:tc>
          <w:tcPr>
            <w:tcW w:type="dxa" w:w="3168"/>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What proves value?</w:t>
            </w:r>
          </w:p>
        </w:tc>
        <w:tc>
          <w:tcPr>
            <w:tcW w:type="dxa" w:w="6624"/>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Protected test, baseline and uncertainty</w:t>
            </w:r>
          </w:p>
        </w:tc>
      </w:tr>
      <w:tr>
        <w:tc>
          <w:tcPr>
            <w:tcW w:type="dxa" w:w="3168"/>
            <w:tcBorders>
              <w:top w:val="single" w:sz="4" w:color="D9D9D9"/>
              <w:left w:val="single" w:sz="4" w:color="D9D9D9"/>
              <w:bottom w:val="single" w:sz="4" w:color="D9D9D9"/>
              <w:right w:val="single" w:sz="4" w:color="D9D9D9"/>
              <w:insideH w:val="single" w:sz="4" w:color="D9D9D9"/>
              <w:insideV w:val="single" w:sz="4" w:color="D9D9D9"/>
            </w:tcBorders>
            <w:vAlign w:val="center"/>
            <w:shd w:fill="F2F6F6"/>
          </w:tcPr>
          <w:p>
            <w:r>
              <w:rPr>
                <w:sz w:val="18"/>
              </w:rPr>
              <w:t>Who may be harmed?</w:t>
            </w:r>
          </w:p>
        </w:tc>
        <w:tc>
          <w:tcPr>
            <w:tcW w:type="dxa" w:w="6624"/>
            <w:tcBorders>
              <w:top w:val="single" w:sz="4" w:color="D9D9D9"/>
              <w:left w:val="single" w:sz="4" w:color="D9D9D9"/>
              <w:bottom w:val="single" w:sz="4" w:color="D9D9D9"/>
              <w:right w:val="single" w:sz="4" w:color="D9D9D9"/>
              <w:insideH w:val="single" w:sz="4" w:color="D9D9D9"/>
              <w:insideV w:val="single" w:sz="4" w:color="D9D9D9"/>
            </w:tcBorders>
            <w:vAlign w:val="center"/>
            <w:shd w:fill="F2F6F6"/>
          </w:tcPr>
          <w:p>
            <w:r>
              <w:rPr>
                <w:sz w:val="18"/>
              </w:rPr>
              <w:t>Subgroup performance and error consequences</w:t>
            </w:r>
          </w:p>
        </w:tc>
      </w:tr>
      <w:tr>
        <w:tc>
          <w:tcPr>
            <w:tcW w:type="dxa" w:w="3168"/>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When must use stop?</w:t>
            </w:r>
          </w:p>
        </w:tc>
        <w:tc>
          <w:tcPr>
            <w:tcW w:type="dxa" w:w="6624"/>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Warning and suspension triggers with owners</w:t>
            </w:r>
          </w:p>
        </w:tc>
      </w:tr>
    </w:tbl>
    <w:p/>
    <w:p>
      <w:pPr>
        <w:pStyle w:val="Heading1"/>
      </w:pPr>
      <w:r>
        <w:t>Recommendation</w:t>
      </w:r>
    </w:p>
    <w:p>
      <w:r>
        <w:t>Treat the model as a controlled decision-support component. Advance only through a documented validation gate. Retain human authority, an override mechanism and monitoring that can trigger investigation or suspension. The strongest metric is not the smallest number; it is the estimate produced by the most credible operating experiment.</w:t>
      </w:r>
    </w:p>
    <w:p>
      <w:pPr>
        <w:pStyle w:val="Heading1"/>
      </w:pPr>
      <w:r>
        <w:t>Canonical resources</w:t>
      </w:r>
    </w:p>
    <w:p>
      <w:pPr>
        <w:pStyle w:val="ListBullet"/>
      </w:pPr>
      <w:r>
        <w:t>PU-B02-C01 Supervised Learning Foundations SRAI lesson</w:t>
      </w:r>
    </w:p>
    <w:p>
      <w:pPr>
        <w:pStyle w:val="ListBullet"/>
      </w:pPr>
      <w:r>
        <w:t>M2_N01 supervised learning foundations executed notebook</w:t>
      </w:r>
    </w:p>
    <w:p>
      <w:pPr>
        <w:pStyle w:val="ListBullet"/>
      </w:pPr>
      <w:r>
        <w:t>PU-B02-C01 lesson presentation with audience-facing narration</w:t>
      </w:r>
    </w:p>
    <w:p>
      <w:pPr>
        <w:pStyle w:val="ListBullet"/>
      </w:pPr>
      <w:r>
        <w:t>Student assessment and instructor solutions</w:t>
      </w:r>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2F776F"/>
        <w:sz w:val="16"/>
      </w:rPr>
      <w:t>SRAI    BOOK 2 · LESSON 1    PU-B02-C01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val="0"/>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