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Generative AI and LLM Foundations Solutions</w:t>
      </w:r>
    </w:p>
    <w:p>
      <w:pPr>
        <w:jc w:val="center"/>
      </w:pPr>
      <w:r>
        <w:rPr>
          <w:sz w:val="28"/>
        </w:rPr>
        <w:t>Instructor guide and marking framework for PU B04 C01</w:t>
      </w:r>
    </w:p>
    <w:p>
      <w:r>
        <w:t>This guide provides expected reasoning, common errors and a consistent scoring framework. Accept technically valid alternatives when the learner states assumptions and supports the conclusion.</w:t>
      </w:r>
    </w:p>
    <w:p>
      <w:pPr>
        <w:pStyle w:val="Heading1"/>
      </w:pPr>
      <w:r>
        <w:t>General marking framework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7920"/>
            <w:shd w:fill="1F4E79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1440"/>
            <w:vAlign w:val="center"/>
          </w:tcPr>
          <w:p>
            <w:r>
              <w:t>4</w:t>
            </w:r>
          </w:p>
        </w:tc>
        <w:tc>
          <w:tcPr>
            <w:tcW w:type="dxa" w:w="7920"/>
            <w:vAlign w:val="center"/>
          </w:tcPr>
          <w:p>
            <w:r>
              <w:t>Correct conclusion, valid reasoning, appropriate evidence and operational interpretation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r>
              <w:t>3</w:t>
            </w:r>
          </w:p>
        </w:tc>
        <w:tc>
          <w:tcPr>
            <w:tcW w:type="dxa" w:w="7920"/>
            <w:vAlign w:val="center"/>
            <w:shd w:fill="F4F7FA"/>
          </w:tcPr>
          <w:p>
            <w:r>
              <w:t>Substantially correct with a minor omission</w:t>
            </w:r>
          </w:p>
        </w:tc>
      </w:tr>
      <w:tr>
        <w:tc>
          <w:tcPr>
            <w:tcW w:type="dxa" w:w="1440"/>
            <w:vAlign w:val="center"/>
          </w:tcPr>
          <w:p>
            <w:r>
              <w:t>2</w:t>
            </w:r>
          </w:p>
        </w:tc>
        <w:tc>
          <w:tcPr>
            <w:tcW w:type="dxa" w:w="7920"/>
            <w:vAlign w:val="center"/>
          </w:tcPr>
          <w:p>
            <w:r>
              <w:t>Partial structure or correct idea without adequate reasoning</w:t>
            </w:r>
          </w:p>
        </w:tc>
      </w:tr>
      <w:tr>
        <w:tc>
          <w:tcPr>
            <w:tcW w:type="dxa" w:w="1440"/>
            <w:vAlign w:val="center"/>
            <w:shd w:fill="F4F7FA"/>
          </w:tcPr>
          <w:p>
            <w:r>
              <w:t>1</w:t>
            </w:r>
          </w:p>
        </w:tc>
        <w:tc>
          <w:tcPr>
            <w:tcW w:type="dxa" w:w="7920"/>
            <w:vAlign w:val="center"/>
            <w:shd w:fill="F4F7FA"/>
          </w:tcPr>
          <w:p>
            <w:r>
              <w:t>Relevant attempt with major gaps</w:t>
            </w:r>
          </w:p>
        </w:tc>
      </w:tr>
      <w:tr>
        <w:tc>
          <w:tcPr>
            <w:tcW w:type="dxa" w:w="1440"/>
            <w:vAlign w:val="center"/>
          </w:tcPr>
          <w:p>
            <w:r>
              <w:t>0</w:t>
            </w:r>
          </w:p>
        </w:tc>
        <w:tc>
          <w:tcPr>
            <w:tcW w:type="dxa" w:w="7920"/>
            <w:vAlign w:val="center"/>
          </w:tcPr>
          <w:p>
            <w:r>
              <w:t>No relevant evidence</w:t>
            </w:r>
          </w:p>
        </w:tc>
      </w:tr>
    </w:tbl>
    <w:p/>
    <w:p>
      <w:pPr>
        <w:pStyle w:val="Heading1"/>
      </w:pPr>
      <w:r>
        <w:t>Exercise 1 Concept distinctions</w:t>
      </w:r>
    </w:p>
    <w:p>
      <w:r>
        <w:t>Explain the difference among a discriminative model, a generative model and a retrieval system. Give one institutional use for each.</w:t>
      </w:r>
    </w:p>
    <w:p>
      <w:r>
        <w:rPr>
          <w:b/>
        </w:rPr>
        <w:t xml:space="preserve">Expected answer: </w:t>
      </w:r>
      <w:r>
        <w:t>A discriminative model estimates an outcome conditional on features; a generative model learns a distribution from which outputs can be produced; retrieval selects external records. Suitable examples are classification, drafting and evidence lookup. Do not describe retrieval as training.</w:t>
      </w:r>
    </w:p>
    <w:p>
      <w:r>
        <w:rPr>
          <w:b/>
        </w:rPr>
        <w:t xml:space="preserve">Common error: </w:t>
      </w:r>
      <w:r>
        <w:t>Conflating fluent language with verified truth.</w:t>
      </w:r>
    </w:p>
    <w:p>
      <w:r>
        <w:t>Marking: award up to 4 points using the general framework.</w:t>
      </w:r>
    </w:p>
    <w:p>
      <w:pPr>
        <w:pStyle w:val="Heading1"/>
      </w:pPr>
      <w:r>
        <w:t>Exercise 2 Autoregressive generation</w:t>
      </w:r>
    </w:p>
    <w:p>
      <w:r>
        <w:t>Starting from the sequence-probability factorization, explain what a language model estimates at each generation step and why high probability does not establish truth.</w:t>
      </w:r>
    </w:p>
    <w:p>
      <w:r>
        <w:rPr>
          <w:b/>
        </w:rPr>
        <w:t xml:space="preserve">Expected answer: </w:t>
      </w:r>
      <w:r>
        <w:t>The model estimates p(x_t | x_1,...,x_{t-1}) and repeatedly selects a next token. Sequence likelihood measures compatibility with model and context, not agreement with verified reality.</w:t>
      </w:r>
    </w:p>
    <w:p>
      <w:r>
        <w:rPr>
          <w:b/>
        </w:rPr>
        <w:t xml:space="preserve">Common error: </w:t>
      </w:r>
      <w:r>
        <w:t>Reporting a notebook result without interpreting its boundary.</w:t>
      </w:r>
    </w:p>
    <w:p>
      <w:r>
        <w:t>Marking: award up to 4 points using the general framework.</w:t>
      </w:r>
    </w:p>
    <w:p>
      <w:pPr>
        <w:pStyle w:val="Heading1"/>
      </w:pPr>
      <w:r>
        <w:t>Exercise 3 Tokenization</w:t>
      </w:r>
    </w:p>
    <w:p>
      <w:r>
        <w:t>Tokenize one English and one French sentence using the notebook. Compare token counts, unknown-token behaviour and implications for multilingual service delivery.</w:t>
      </w:r>
    </w:p>
    <w:p>
      <w:r>
        <w:rPr>
          <w:b/>
        </w:rPr>
        <w:t xml:space="preserve">Expected answer: </w:t>
      </w:r>
      <w:r>
        <w:t>The learner should run both sentences, report counts and explain that tokenizer vocabulary and segmentation affect context use, cost and language equity. Unknown-token results must be interpreted relative to the demonstration tokenizer.</w:t>
      </w:r>
    </w:p>
    <w:p>
      <w:r>
        <w:rPr>
          <w:b/>
        </w:rPr>
        <w:t xml:space="preserve">Common error: </w:t>
      </w:r>
      <w:r>
        <w:t>Treating a prompt as the only control.</w:t>
      </w:r>
    </w:p>
    <w:p>
      <w:r>
        <w:t>Marking: award up to 4 points using the general framework.</w:t>
      </w:r>
    </w:p>
    <w:p>
      <w:r>
        <w:br w:type="page"/>
      </w:r>
    </w:p>
    <w:p>
      <w:pPr>
        <w:pStyle w:val="Heading1"/>
      </w:pPr>
      <w:r>
        <w:t>Exercise 4 Context boundary</w:t>
      </w:r>
    </w:p>
    <w:p>
      <w:r>
        <w:t>Design a context budget for summarizing a quarterly report containing a main report, annexes, metadata and an audit-status note. State what must never be silently truncated.</w:t>
      </w:r>
    </w:p>
    <w:p>
      <w:r>
        <w:rPr>
          <w:b/>
        </w:rPr>
        <w:t xml:space="preserve">Expected answer: </w:t>
      </w:r>
      <w:r>
        <w:t>The budget must reserve instructions, question, authoritative report sections, metadata, audit-status note and output. Units, periods, definitions, footnotes and provisional status cannot be silently separated from values.</w:t>
      </w:r>
    </w:p>
    <w:p>
      <w:r>
        <w:rPr>
          <w:b/>
        </w:rPr>
        <w:t xml:space="preserve">Common error: </w:t>
      </w:r>
      <w:r>
        <w:t>Ignoring source authority, version or accountable approval.</w:t>
      </w:r>
    </w:p>
    <w:p>
      <w:r>
        <w:t>Marking: award up to 4 points using the general framework.</w:t>
      </w:r>
    </w:p>
    <w:p>
      <w:pPr>
        <w:pStyle w:val="Heading1"/>
      </w:pPr>
      <w:r>
        <w:t>Exercise 5 Decoding</w:t>
      </w:r>
    </w:p>
    <w:p>
      <w:r>
        <w:t>Compare greedy, temperature, top-k and top-p decoding. Recommend and justify settings for a controlled first draft of an official narrative.</w:t>
      </w:r>
    </w:p>
    <w:p>
      <w:r>
        <w:rPr>
          <w:b/>
        </w:rPr>
        <w:t xml:space="preserve">Expected answer: </w:t>
      </w:r>
      <w:r>
        <w:t>Greedy is deterministic token selection; temperature reshapes probabilities; top-k limits candidates by count; top-p uses cumulative mass. A low-variability setting may support drafting, but source verification remains mandatory.</w:t>
      </w:r>
    </w:p>
    <w:p>
      <w:r>
        <w:rPr>
          <w:b/>
        </w:rPr>
        <w:t xml:space="preserve">Common error: </w:t>
      </w:r>
      <w:r>
        <w:t>Conflating fluent language with verified truth.</w:t>
      </w:r>
    </w:p>
    <w:p>
      <w:r>
        <w:t>Marking: award up to 4 points using the general framework.</w:t>
      </w:r>
    </w:p>
    <w:p>
      <w:pPr>
        <w:pStyle w:val="Heading1"/>
      </w:pPr>
      <w:r>
        <w:t>Exercise 6 Attention</w:t>
      </w:r>
    </w:p>
    <w:p>
      <w:r>
        <w:t>Interpret the notebook attention matrix. State one valid conclusion and two conclusions the matrix cannot support.</w:t>
      </w:r>
    </w:p>
    <w:p>
      <w:r>
        <w:rPr>
          <w:b/>
        </w:rPr>
        <w:t xml:space="preserve">Expected answer: </w:t>
      </w:r>
      <w:r>
        <w:t>A valid conclusion describes measured weighting in the defined toy calculation. It cannot prove causal reasoning, factual support or the explanation of a production model's final output.</w:t>
      </w:r>
    </w:p>
    <w:p>
      <w:r>
        <w:rPr>
          <w:b/>
        </w:rPr>
        <w:t xml:space="preserve">Common error: </w:t>
      </w:r>
      <w:r>
        <w:t>Reporting a notebook result without interpreting its boundary.</w:t>
      </w:r>
    </w:p>
    <w:p>
      <w:r>
        <w:t>Marking: award up to 4 points using the general framework.</w:t>
      </w:r>
    </w:p>
    <w:p>
      <w:r>
        <w:br w:type="page"/>
      </w:r>
    </w:p>
    <w:p>
      <w:pPr>
        <w:pStyle w:val="Heading1"/>
      </w:pPr>
      <w:r>
        <w:t>Exercise 7 Groundedness</w:t>
      </w:r>
    </w:p>
    <w:p>
      <w:r>
        <w:t>Decompose a generated financial summary into claims and design a claim-to-source verification table.</w:t>
      </w:r>
    </w:p>
    <w:p>
      <w:r>
        <w:rPr>
          <w:b/>
        </w:rPr>
        <w:t xml:space="preserve">Expected answer: </w:t>
      </w:r>
      <w:r>
        <w:t>Material claims should be separated into value, unit, period, entity and status, with an authorized source span, verification result, reviewer and disposition for each.</w:t>
      </w:r>
    </w:p>
    <w:p>
      <w:r>
        <w:rPr>
          <w:b/>
        </w:rPr>
        <w:t xml:space="preserve">Common error: </w:t>
      </w:r>
      <w:r>
        <w:t>Treating a prompt as the only control.</w:t>
      </w:r>
    </w:p>
    <w:p>
      <w:r>
        <w:t>Marking: award up to 4 points using the general framework.</w:t>
      </w:r>
    </w:p>
    <w:p>
      <w:pPr>
        <w:pStyle w:val="Heading1"/>
      </w:pPr>
      <w:r>
        <w:t>Exercise 8 Evaluation</w:t>
      </w:r>
    </w:p>
    <w:p>
      <w:r>
        <w:t>Develop an evaluation plan that separates fluency, groundedness, correctness, robustness, safety and decision fitness.</w:t>
      </w:r>
    </w:p>
    <w:p>
      <w:r>
        <w:rPr>
          <w:b/>
        </w:rPr>
        <w:t xml:space="preserve">Expected answer: </w:t>
      </w:r>
      <w:r>
        <w:t>Report each dimension separately, define representative and challenge cases, preserve references and rubrics, test relevant languages and subgroups, and state that results apply only to the tested configuration.</w:t>
      </w:r>
    </w:p>
    <w:p>
      <w:r>
        <w:rPr>
          <w:b/>
        </w:rPr>
        <w:t xml:space="preserve">Common error: </w:t>
      </w:r>
      <w:r>
        <w:t>Ignoring source authority, version or accountable approval.</w:t>
      </w:r>
    </w:p>
    <w:p>
      <w:r>
        <w:t>Marking: award up to 4 points using the general framework.</w:t>
      </w:r>
    </w:p>
    <w:p>
      <w:pPr>
        <w:pStyle w:val="Heading1"/>
      </w:pPr>
      <w:r>
        <w:t>Exercise 9 Risk controls</w:t>
      </w:r>
    </w:p>
    <w:p>
      <w:r>
        <w:t>Identify privacy, prompt-injection and excessive-authority risks in a retrieval-and-tool application. Assign one preventive and one detective control to each.</w:t>
      </w:r>
    </w:p>
    <w:p>
      <w:r>
        <w:rPr>
          <w:b/>
        </w:rPr>
        <w:t xml:space="preserve">Expected answer: </w:t>
      </w:r>
      <w:r>
        <w:t>Privacy: minimize and authorize inputs, then monitor disclosure. Prompt injection: isolate untrusted content, then monitor anomalous instructions or tool sequences. Excessive authority: enforce least privilege and approvals, then audit actions and exceptions.</w:t>
      </w:r>
    </w:p>
    <w:p>
      <w:r>
        <w:rPr>
          <w:b/>
        </w:rPr>
        <w:t xml:space="preserve">Common error: </w:t>
      </w:r>
      <w:r>
        <w:t>Conflating fluent language with verified truth.</w:t>
      </w:r>
    </w:p>
    <w:p>
      <w:r>
        <w:t>Marking: award up to 4 points using the general framework.</w:t>
      </w:r>
    </w:p>
    <w:p>
      <w:r>
        <w:br w:type="page"/>
      </w:r>
    </w:p>
    <w:p>
      <w:pPr>
        <w:pStyle w:val="Heading1"/>
      </w:pPr>
      <w:r>
        <w:t>Exercise 10 Evidence chain</w:t>
      </w:r>
    </w:p>
    <w:p>
      <w:r>
        <w:t>Specify the complete SRAI evidence record required before a generated output influences a consequential decision.</w:t>
      </w:r>
    </w:p>
    <w:p>
      <w:r>
        <w:rPr>
          <w:b/>
        </w:rPr>
        <w:t xml:space="preserve">Expected answer: </w:t>
      </w:r>
      <w:r>
        <w:t>Record request, purpose, user, authorized context and versions, model, prompt, retrieval, tools, decoding settings, raw output, claim checks, exceptions, reviewer, decision, time and retention rule.</w:t>
      </w:r>
    </w:p>
    <w:p>
      <w:r>
        <w:rPr>
          <w:b/>
        </w:rPr>
        <w:t xml:space="preserve">Common error: </w:t>
      </w:r>
      <w:r>
        <w:t>Reporting a notebook result without interpreting its boundary.</w:t>
      </w:r>
    </w:p>
    <w:p>
      <w:r>
        <w:t>Marking: award up to 4 points using the general framework.</w:t>
      </w:r>
    </w:p>
    <w:p>
      <w:pPr>
        <w:pStyle w:val="Heading1"/>
      </w:pPr>
      <w:r>
        <w:t>Exercise 11 Official statistics</w:t>
      </w:r>
    </w:p>
    <w:p>
      <w:r>
        <w:t>Explain why a numerically correct agricultural statistic may still be misleading. Identify all metadata that must travel with the value.</w:t>
      </w:r>
    </w:p>
    <w:p>
      <w:r>
        <w:rPr>
          <w:b/>
        </w:rPr>
        <w:t xml:space="preserve">Expected answer: </w:t>
      </w:r>
      <w:r>
        <w:t>A value becomes misleading when detached from definition, unit, denominator, geography, population, reference period, revision status, uncertainty or disclosure conditions.</w:t>
      </w:r>
    </w:p>
    <w:p>
      <w:r>
        <w:rPr>
          <w:b/>
        </w:rPr>
        <w:t xml:space="preserve">Common error: </w:t>
      </w:r>
      <w:r>
        <w:t>Treating a prompt as the only control.</w:t>
      </w:r>
    </w:p>
    <w:p>
      <w:r>
        <w:t>Marking: award up to 4 points using the general framework.</w:t>
      </w:r>
    </w:p>
    <w:p>
      <w:pPr>
        <w:pStyle w:val="Heading1"/>
      </w:pPr>
      <w:r>
        <w:t>Exercise 12 Capstone pathway</w:t>
      </w:r>
    </w:p>
    <w:p>
      <w:r>
        <w:t>Describe how Lessons 1-30 could progressively support construction of a small educational GPT-style system. Distinguish it from fine-tuning an open model and from building a frontier model.</w:t>
      </w:r>
    </w:p>
    <w:p>
      <w:r>
        <w:rPr>
          <w:b/>
        </w:rPr>
        <w:t xml:space="preserve">Expected answer: </w:t>
      </w:r>
      <w:r>
        <w:t>A defensible pathway introduces tokenization, embeddings, causal attention, decoder blocks, optimization, generation, evaluation and checkpointing, culminating in a small teaching model. Fine-tuning adapts an existing model; frontier training requires vastly greater data, compute, engineering and governance.</w:t>
      </w:r>
    </w:p>
    <w:p>
      <w:r>
        <w:rPr>
          <w:b/>
        </w:rPr>
        <w:t xml:space="preserve">Common error: </w:t>
      </w:r>
      <w:r>
        <w:t>Ignoring source authority, version or accountable approval.</w:t>
      </w:r>
    </w:p>
    <w:p>
      <w:r>
        <w:t>Marking: award up to 4 points using the general framework.</w:t>
      </w:r>
    </w:p>
    <w:p>
      <w:pPr>
        <w:pStyle w:val="Heading1"/>
      </w:pPr>
      <w:r>
        <w:t>Total and disposition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7344"/>
            <w:shd w:fill="1F4E79"/>
          </w:tcPr>
          <w:p>
            <w:r>
              <w:rPr>
                <w:b/>
                <w:color w:val="FFFFFF"/>
              </w:rPr>
              <w:t>Suggested interpretation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43-48</w:t>
            </w:r>
          </w:p>
        </w:tc>
        <w:tc>
          <w:tcPr>
            <w:tcW w:type="dxa" w:w="7344"/>
            <w:vAlign w:val="center"/>
          </w:tcPr>
          <w:p>
            <w:r>
              <w:t>Strong independent mastery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r>
              <w:t>34-42</w:t>
            </w:r>
          </w:p>
        </w:tc>
        <w:tc>
          <w:tcPr>
            <w:tcW w:type="dxa" w:w="7344"/>
            <w:vAlign w:val="center"/>
            <w:shd w:fill="F4F7FA"/>
          </w:tcPr>
          <w:p>
            <w:r>
              <w:t>Competent with limited gaps</w:t>
            </w:r>
          </w:p>
        </w:tc>
      </w:tr>
      <w:tr>
        <w:tc>
          <w:tcPr>
            <w:tcW w:type="dxa" w:w="2016"/>
            <w:vAlign w:val="center"/>
          </w:tcPr>
          <w:p>
            <w:r>
              <w:t>24-33</w:t>
            </w:r>
          </w:p>
        </w:tc>
        <w:tc>
          <w:tcPr>
            <w:tcW w:type="dxa" w:w="7344"/>
            <w:vAlign w:val="center"/>
          </w:tcPr>
          <w:p>
            <w:r>
              <w:t>Developing; targeted revision required</w:t>
            </w:r>
          </w:p>
        </w:tc>
      </w:tr>
      <w:tr>
        <w:tc>
          <w:tcPr>
            <w:tcW w:type="dxa" w:w="2016"/>
            <w:vAlign w:val="center"/>
            <w:shd w:fill="F4F7FA"/>
          </w:tcPr>
          <w:p>
            <w:r>
              <w:t>0-23</w:t>
            </w:r>
          </w:p>
        </w:tc>
        <w:tc>
          <w:tcPr>
            <w:tcW w:type="dxa" w:w="7344"/>
            <w:vAlign w:val="center"/>
            <w:shd w:fill="F4F7FA"/>
          </w:tcPr>
          <w:p>
            <w:r>
              <w:t>Foundational remediation required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SRAI  |  Book 4  |  Production Unit PU B04 C01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AI and LLM Foundations Solutions</dc:title>
  <dc:subject>Instructor guide and marking framework for PU B04 C01</dc:subject>
  <dc:creator>Mbaye Kebe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