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Generative AI and LLM Foundations Executive Brief</w:t>
      </w:r>
    </w:p>
    <w:p>
      <w:pPr>
        <w:jc w:val="center"/>
      </w:pPr>
      <w:r>
        <w:rPr>
          <w:sz w:val="28"/>
        </w:rPr>
        <w:t>Decision guide for responsible institutional adoption</w:t>
      </w:r>
    </w:p>
    <w:p>
      <w:r>
        <w:t>Generative language models can accelerate drafting, summarization, extraction and knowledge work, but fluent output is not factual authority. Institutions should adopt them through bounded use cases, authorized evidence, measurable evaluation and accountable approval.</w:t>
      </w:r>
    </w:p>
    <w:p>
      <w:pPr>
        <w:pStyle w:val="Heading1"/>
      </w:pPr>
      <w:r>
        <w:t>What leaders need to understand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2880"/>
            <w:shd w:fill="1F4E79"/>
          </w:tcPr>
          <w:p>
            <w:r>
              <w:rPr>
                <w:b/>
                <w:color w:val="FFFFFF"/>
              </w:rPr>
              <w:t>Question</w:t>
            </w:r>
          </w:p>
        </w:tc>
        <w:tc>
          <w:tcPr>
            <w:tcW w:type="dxa" w:w="6480"/>
            <w:shd w:fill="1F4E79"/>
          </w:tcPr>
          <w:p>
            <w:r>
              <w:rPr>
                <w:b/>
                <w:color w:val="FFFFFF"/>
              </w:rPr>
              <w:t>Executive answer</w:t>
            </w:r>
          </w:p>
        </w:tc>
      </w:tr>
      <w:tr>
        <w:tc>
          <w:tcPr>
            <w:tcW w:type="dxa" w:w="2880"/>
            <w:vAlign w:val="center"/>
          </w:tcPr>
          <w:p>
            <w:r>
              <w:t>What does the model do?</w:t>
            </w:r>
          </w:p>
        </w:tc>
        <w:tc>
          <w:tcPr>
            <w:tcW w:type="dxa" w:w="6480"/>
            <w:vAlign w:val="center"/>
          </w:tcPr>
          <w:p>
            <w:r>
              <w:t>Generates probable continuations from learned patterns and retained context.</w:t>
            </w:r>
          </w:p>
        </w:tc>
      </w:tr>
      <w:tr>
        <w:tc>
          <w:tcPr>
            <w:tcW w:type="dxa" w:w="2880"/>
            <w:vAlign w:val="center"/>
            <w:shd w:fill="F4F7FA"/>
          </w:tcPr>
          <w:p>
            <w:r>
              <w:t>What can it support?</w:t>
            </w:r>
          </w:p>
        </w:tc>
        <w:tc>
          <w:tcPr>
            <w:tcW w:type="dxa" w:w="6480"/>
            <w:vAlign w:val="center"/>
            <w:shd w:fill="F4F7FA"/>
          </w:tcPr>
          <w:p>
            <w:r>
              <w:t>Drafting, summarization, extraction, classification, translation and code assistance.</w:t>
            </w:r>
          </w:p>
        </w:tc>
      </w:tr>
      <w:tr>
        <w:tc>
          <w:tcPr>
            <w:tcW w:type="dxa" w:w="2880"/>
            <w:vAlign w:val="center"/>
          </w:tcPr>
          <w:p>
            <w:r>
              <w:t>What can go wrong?</w:t>
            </w:r>
          </w:p>
        </w:tc>
        <w:tc>
          <w:tcPr>
            <w:tcW w:type="dxa" w:w="6480"/>
            <w:vAlign w:val="center"/>
          </w:tcPr>
          <w:p>
            <w:r>
              <w:t>Unsupported claims, altered numbers, disclosure, bias, prompt injection and excessive authority.</w:t>
            </w:r>
          </w:p>
        </w:tc>
      </w:tr>
      <w:tr>
        <w:tc>
          <w:tcPr>
            <w:tcW w:type="dxa" w:w="2880"/>
            <w:vAlign w:val="center"/>
            <w:shd w:fill="F4F7FA"/>
          </w:tcPr>
          <w:p>
            <w:r>
              <w:t>What establishes trust?</w:t>
            </w:r>
          </w:p>
        </w:tc>
        <w:tc>
          <w:tcPr>
            <w:tcW w:type="dxa" w:w="6480"/>
            <w:vAlign w:val="center"/>
            <w:shd w:fill="F4F7FA"/>
          </w:tcPr>
          <w:p>
            <w:r>
              <w:t>Use-case evidence, source traceability, controls, monitoring and accountable human decisions.</w:t>
            </w:r>
          </w:p>
        </w:tc>
      </w:tr>
    </w:tbl>
    <w:p/>
    <w:p>
      <w:pPr>
        <w:pStyle w:val="Heading1"/>
      </w:pPr>
      <w:r>
        <w:t>Immediate decision rules</w:t>
      </w:r>
    </w:p>
    <w:p>
      <w:r>
        <w:t>1. Start with a bounded, reversible and measurable workflow.</w:t>
      </w:r>
    </w:p>
    <w:p>
      <w:r>
        <w:t>2. Keep authoritative data and deterministic calculations outside the language model.</w:t>
      </w:r>
    </w:p>
    <w:p>
      <w:r>
        <w:t>3. Require claim-level verification for material facts.</w:t>
      </w:r>
    </w:p>
    <w:p>
      <w:r>
        <w:t>4. Prohibit unapproved confidential data and uncontrolled tool access.</w:t>
      </w:r>
    </w:p>
    <w:p>
      <w:r>
        <w:t>5. Measure accepted-output quality, incidents, reviewer effort, latency and total cost.</w:t>
      </w:r>
    </w:p>
    <w:p>
      <w:r>
        <w:t>6. Assign an accountable owner with authority to stop or roll back deployment.</w:t>
      </w:r>
    </w:p>
    <w:p>
      <w:r>
        <w:br w:type="page"/>
      </w:r>
    </w:p>
    <w:p>
      <w:pPr>
        <w:pStyle w:val="Heading1"/>
      </w:pPr>
      <w:r>
        <w:t>A practical control model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c>
          <w:tcPr>
            <w:tcW w:type="dxa" w:w="1584"/>
            <w:shd w:fill="1F4E79"/>
          </w:tcPr>
          <w:p>
            <w:r>
              <w:rPr>
                <w:b/>
                <w:color w:val="FFFFFF"/>
              </w:rPr>
              <w:t>Stage</w:t>
            </w:r>
          </w:p>
        </w:tc>
        <w:tc>
          <w:tcPr>
            <w:tcW w:type="dxa" w:w="3744"/>
            <w:shd w:fill="1F4E79"/>
          </w:tcPr>
          <w:p>
            <w:r>
              <w:rPr>
                <w:b/>
                <w:color w:val="FFFFFF"/>
              </w:rPr>
              <w:t>Required control</w:t>
            </w:r>
          </w:p>
        </w:tc>
        <w:tc>
          <w:tcPr>
            <w:tcW w:type="dxa" w:w="4032"/>
            <w:shd w:fill="1F4E79"/>
          </w:tcPr>
          <w:p>
            <w:r>
              <w:rPr>
                <w:b/>
                <w:color w:val="FFFFFF"/>
              </w:rPr>
              <w:t>Evidence retained</w:t>
            </w:r>
          </w:p>
        </w:tc>
      </w:tr>
      <w:tr>
        <w:tc>
          <w:tcPr>
            <w:tcW w:type="dxa" w:w="1584"/>
            <w:vAlign w:val="center"/>
          </w:tcPr>
          <w:p>
            <w:r>
              <w:t>Request</w:t>
            </w:r>
          </w:p>
        </w:tc>
        <w:tc>
          <w:tcPr>
            <w:tcW w:type="dxa" w:w="3744"/>
            <w:vAlign w:val="center"/>
          </w:tcPr>
          <w:p>
            <w:r>
              <w:t>Purpose and user authorization</w:t>
            </w:r>
          </w:p>
        </w:tc>
        <w:tc>
          <w:tcPr>
            <w:tcW w:type="dxa" w:w="4032"/>
            <w:vAlign w:val="center"/>
          </w:tcPr>
          <w:p>
            <w:r>
              <w:t>Task, user and intended audience</w:t>
            </w:r>
          </w:p>
        </w:tc>
      </w:tr>
      <w:tr>
        <w:tc>
          <w:tcPr>
            <w:tcW w:type="dxa" w:w="1584"/>
            <w:vAlign w:val="center"/>
            <w:shd w:fill="F4F7FA"/>
          </w:tcPr>
          <w:p>
            <w:r>
              <w:t>Context</w:t>
            </w:r>
          </w:p>
        </w:tc>
        <w:tc>
          <w:tcPr>
            <w:tcW w:type="dxa" w:w="3744"/>
            <w:vAlign w:val="center"/>
            <w:shd w:fill="F4F7FA"/>
          </w:tcPr>
          <w:p>
            <w:r>
              <w:t>Approved source and retrieval policy</w:t>
            </w:r>
          </w:p>
        </w:tc>
        <w:tc>
          <w:tcPr>
            <w:tcW w:type="dxa" w:w="4032"/>
            <w:vAlign w:val="center"/>
            <w:shd w:fill="F4F7FA"/>
          </w:tcPr>
          <w:p>
            <w:r>
              <w:t>Source IDs, versions and passages</w:t>
            </w:r>
          </w:p>
        </w:tc>
      </w:tr>
      <w:tr>
        <w:tc>
          <w:tcPr>
            <w:tcW w:type="dxa" w:w="1584"/>
            <w:vAlign w:val="center"/>
          </w:tcPr>
          <w:p>
            <w:r>
              <w:t>Generation</w:t>
            </w:r>
          </w:p>
        </w:tc>
        <w:tc>
          <w:tcPr>
            <w:tcW w:type="dxa" w:w="3744"/>
            <w:vAlign w:val="center"/>
          </w:tcPr>
          <w:p>
            <w:r>
              <w:t>Controlled configuration</w:t>
            </w:r>
          </w:p>
        </w:tc>
        <w:tc>
          <w:tcPr>
            <w:tcW w:type="dxa" w:w="4032"/>
            <w:vAlign w:val="center"/>
          </w:tcPr>
          <w:p>
            <w:r>
              <w:t>Model, prompt, tools and decoding settings</w:t>
            </w:r>
          </w:p>
        </w:tc>
      </w:tr>
      <w:tr>
        <w:tc>
          <w:tcPr>
            <w:tcW w:type="dxa" w:w="1584"/>
            <w:vAlign w:val="center"/>
            <w:shd w:fill="F4F7FA"/>
          </w:tcPr>
          <w:p>
            <w:r>
              <w:t>Verification</w:t>
            </w:r>
          </w:p>
        </w:tc>
        <w:tc>
          <w:tcPr>
            <w:tcW w:type="dxa" w:w="3744"/>
            <w:vAlign w:val="center"/>
            <w:shd w:fill="F4F7FA"/>
          </w:tcPr>
          <w:p>
            <w:r>
              <w:t>Claim and risk checks</w:t>
            </w:r>
          </w:p>
        </w:tc>
        <w:tc>
          <w:tcPr>
            <w:tcW w:type="dxa" w:w="4032"/>
            <w:vAlign w:val="center"/>
            <w:shd w:fill="F4F7FA"/>
          </w:tcPr>
          <w:p>
            <w:r>
              <w:t>Exceptions, corrections and reviewer evidence</w:t>
            </w:r>
          </w:p>
        </w:tc>
      </w:tr>
      <w:tr>
        <w:tc>
          <w:tcPr>
            <w:tcW w:type="dxa" w:w="1584"/>
            <w:vAlign w:val="center"/>
          </w:tcPr>
          <w:p>
            <w:r>
              <w:t>Decision</w:t>
            </w:r>
          </w:p>
        </w:tc>
        <w:tc>
          <w:tcPr>
            <w:tcW w:type="dxa" w:w="3744"/>
            <w:vAlign w:val="center"/>
          </w:tcPr>
          <w:p>
            <w:r>
              <w:t>Human authorization</w:t>
            </w:r>
          </w:p>
        </w:tc>
        <w:tc>
          <w:tcPr>
            <w:tcW w:type="dxa" w:w="4032"/>
            <w:vAlign w:val="center"/>
          </w:tcPr>
          <w:p>
            <w:r>
              <w:t>Approval, rejection or escalation</w:t>
            </w:r>
          </w:p>
        </w:tc>
      </w:tr>
      <w:tr>
        <w:tc>
          <w:tcPr>
            <w:tcW w:type="dxa" w:w="1584"/>
            <w:vAlign w:val="center"/>
            <w:shd w:fill="F4F7FA"/>
          </w:tcPr>
          <w:p>
            <w:r>
              <w:t>Operation</w:t>
            </w:r>
          </w:p>
        </w:tc>
        <w:tc>
          <w:tcPr>
            <w:tcW w:type="dxa" w:w="3744"/>
            <w:vAlign w:val="center"/>
            <w:shd w:fill="F4F7FA"/>
          </w:tcPr>
          <w:p>
            <w:r>
              <w:t>Monitoring and incident response</w:t>
            </w:r>
          </w:p>
        </w:tc>
        <w:tc>
          <w:tcPr>
            <w:tcW w:type="dxa" w:w="4032"/>
            <w:vAlign w:val="center"/>
            <w:shd w:fill="F4F7FA"/>
          </w:tcPr>
          <w:p>
            <w:r>
              <w:t>Performance, incidents and change record</w:t>
            </w:r>
          </w:p>
        </w:tc>
      </w:tr>
    </w:tbl>
    <w:p/>
    <w:p>
      <w:pPr>
        <w:pStyle w:val="Heading1"/>
      </w:pPr>
      <w:r>
        <w:t>Priority executive questions</w:t>
      </w:r>
    </w:p>
    <w:p>
      <w:r>
        <w:t>1. Which decisions may the system influence, and which are excluded?</w:t>
      </w:r>
    </w:p>
    <w:p>
      <w:r>
        <w:t>2. What source is authoritative when model text conflicts with institutional records?</w:t>
      </w:r>
    </w:p>
    <w:p>
      <w:r>
        <w:t>3. How will affected people obtain correction or recourse?</w:t>
      </w:r>
    </w:p>
    <w:p>
      <w:r>
        <w:t>4. Which changes trigger revalidation?</w:t>
      </w:r>
    </w:p>
    <w:p>
      <w:r>
        <w:t>5. Who owns residual risk and incident response?</w:t>
      </w:r>
    </w:p>
    <w:p>
      <w:r>
        <w:br w:type="page"/>
      </w:r>
    </w:p>
    <w:p>
      <w:pPr>
        <w:pStyle w:val="Heading1"/>
      </w:pPr>
      <w:r>
        <w:t>Learning and capability pathway</w:t>
      </w:r>
    </w:p>
    <w:p>
      <w:r>
        <w:t>Book 4 is designed as a cumulative pathway. Across 30 lessons, ambitious learners will progress from tokens and next-token prediction through retrieval, tools, agents, fine-tuning, evaluation, safety and production architecture. The capstone will integrate these foundations into a small educational GPT-style system.</w:t>
      </w:r>
    </w:p>
    <w:p>
      <w:r>
        <w:t>The promise is intentionally precise: learners can build and explain a compact decoder-only Transformer, train it on a modest corpus, generate text and evaluate its limitations. This is different from training a frontier model, which requires vastly larger datasets, compute, engineering teams and operational controls.</w:t>
      </w:r>
    </w:p>
    <w:p>
      <w:pPr>
        <w:pStyle w:val="Heading1"/>
      </w:pPr>
      <w:r>
        <w:t>Executive takeaway</w:t>
      </w:r>
    </w:p>
    <w:p>
      <w:r>
        <w:rPr>
          <w:b/>
        </w:rPr>
        <w:t>Adopt generative AI where evidence shows net value, preserve authoritative systems of record, and never confuse persuasive language with accountable institutional judgment.</w:t>
      </w:r>
    </w:p>
    <w:p>
      <w:pPr>
        <w:pStyle w:val="Heading1"/>
      </w:pPr>
      <w:r>
        <w:t>SRAI Principle Number 96</w:t>
      </w:r>
    </w:p>
    <w:p>
      <w:r>
        <w:t>A language model generates statistically plausible continuations; factual authority must come from evidence, validation and accountable human use.</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SRAI  |  Book 4  |  Production Unit PU B04 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6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and LLM Foundations Executive Brief</dc:title>
  <dc:subject>Decision guide for responsible institutional adoption</dc:subject>
  <dc:creator>Mbaye Kebe</dc:creator>
  <cp:keywords/>
  <dc:description>generated by python-docx</dc:description>
  <cp:lastModifiedBy/>
  <cp:revision>1</cp:revision>
  <dcterms:created xsi:type="dcterms:W3CDTF">2013-12-23T23:15:00Z</dcterms:created>
  <dcterms:modified xsi:type="dcterms:W3CDTF">2013-12-23T23:15:00Z</dcterms:modified>
  <cp:category/>
</cp:coreProperties>
</file>