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ssonLabel"/>
        <w:jc w:val="center"/>
      </w:pPr>
      <w:r>
        <w:t>SRAI BOOK 4</w:t>
      </w:r>
    </w:p>
    <w:p>
      <w:pPr>
        <w:pStyle w:val="Title"/>
        <w:jc w:val="center"/>
      </w:pPr>
      <w:r>
        <w:t>Generative AI and Large Language Model Foundations</w:t>
      </w:r>
    </w:p>
    <w:p>
      <w:pPr>
        <w:jc w:val="center"/>
      </w:pPr>
      <w:r>
        <w:rPr>
          <w:sz w:val="30"/>
        </w:rPr>
        <w:t>Controlled Lesson for Production Unit PU B04 C01</w:t>
      </w:r>
    </w:p>
    <w:p>
      <w:r>
        <w:br/>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Book</w:t>
            </w:r>
          </w:p>
        </w:tc>
        <w:tc>
          <w:tcPr>
            <w:tcW w:type="dxa" w:w="6480"/>
            <w:vAlign w:val="center"/>
          </w:tcPr>
          <w:p>
            <w:r>
              <w:t>Book 4  Generative AI and Large Language Models</w:t>
            </w:r>
          </w:p>
        </w:tc>
      </w:tr>
      <w:tr>
        <w:tc>
          <w:tcPr>
            <w:tcW w:type="dxa" w:w="3024"/>
            <w:shd w:fill="F4F7FA"/>
            <w:vAlign w:val="center"/>
          </w:tcPr>
          <w:p>
            <w:r>
              <w:t>Lesson</w:t>
            </w:r>
          </w:p>
        </w:tc>
        <w:tc>
          <w:tcPr>
            <w:tcW w:type="dxa" w:w="6480"/>
            <w:shd w:fill="F4F7FA"/>
            <w:vAlign w:val="center"/>
          </w:tcPr>
          <w:p>
            <w:r>
              <w:t>Lesson 1  Generative AI and LLM Foundations</w:t>
            </w:r>
          </w:p>
        </w:tc>
      </w:tr>
      <w:tr>
        <w:tc>
          <w:tcPr>
            <w:tcW w:type="dxa" w:w="3024"/>
            <w:vAlign w:val="center"/>
          </w:tcPr>
          <w:p>
            <w:r>
              <w:t>Notebook</w:t>
            </w:r>
          </w:p>
        </w:tc>
        <w:tc>
          <w:tcPr>
            <w:tcW w:type="dxa" w:w="6480"/>
            <w:vAlign w:val="center"/>
          </w:tcPr>
          <w:p>
            <w:r>
              <w:t>PU-B04-C01_Generative_AI_LLM_Foundations_v0.1.ipynb</w:t>
            </w:r>
          </w:p>
        </w:tc>
      </w:tr>
      <w:tr>
        <w:tc>
          <w:tcPr>
            <w:tcW w:type="dxa" w:w="3024"/>
            <w:shd w:fill="F4F7FA"/>
            <w:vAlign w:val="center"/>
          </w:tcPr>
          <w:p>
            <w:r>
              <w:t>Status</w:t>
            </w:r>
          </w:p>
        </w:tc>
        <w:tc>
          <w:tcPr>
            <w:tcW w:type="dxa" w:w="6480"/>
            <w:shd w:fill="F4F7FA"/>
            <w:vAlign w:val="center"/>
          </w:tcPr>
          <w:p>
            <w:r>
              <w:t>Candidate controlled edition v0.1</w:t>
            </w:r>
          </w:p>
        </w:tc>
      </w:tr>
      <w:tr>
        <w:tc>
          <w:tcPr>
            <w:tcW w:type="dxa" w:w="3024"/>
            <w:vAlign w:val="center"/>
          </w:tcPr>
          <w:p>
            <w:r>
              <w:t>Audience</w:t>
            </w:r>
          </w:p>
        </w:tc>
        <w:tc>
          <w:tcPr>
            <w:tcW w:type="dxa" w:w="6480"/>
            <w:vAlign w:val="center"/>
          </w:tcPr>
          <w:p>
            <w:r>
              <w:t>Technical practitioners, analysts, evaluators, managers and executive learners</w:t>
            </w:r>
          </w:p>
        </w:tc>
      </w:tr>
    </w:tbl>
    <w:p/>
    <w:p>
      <w:r>
        <w:t>This lesson explains what generative language models do, how their outputs arise, why fluent text is not factual authority, and what evidence institutions need before generated content influences decisions.</w:t>
      </w:r>
    </w:p>
    <w:p>
      <w:r>
        <w:t>Author and project lead: Mbaye Kebe</w:t>
      </w:r>
    </w:p>
    <w:p>
      <w:r>
        <w:br w:type="page"/>
      </w:r>
    </w:p>
    <w:p>
      <w:pPr>
        <w:pStyle w:val="LessonLabel"/>
      </w:pPr>
      <w:r>
        <w:t>LESSON ORIENTATION</w:t>
      </w:r>
    </w:p>
    <w:p>
      <w:pPr>
        <w:pStyle w:val="Heading1"/>
      </w:pPr>
      <w:r>
        <w:t>Purpose and Reader Guidance</w:t>
      </w:r>
    </w:p>
    <w:p>
      <w:r>
        <w:rPr>
          <w:b/>
        </w:rPr>
        <w:t>The central conclusion is simple: language generation is probabilistic prediction embedded in a larger sociotechnical system.</w:t>
      </w:r>
    </w:p>
    <w:p>
      <w:r>
        <w:t>The lesson begins with transparent mechanisms—tokens, conditional probability, decoding and attention—then connects them to retrieval, evaluation, governance and accountable use. Mathematical notation is kept interpretable, and each technical idea is paired with an operational consequence.</w:t>
      </w:r>
    </w:p>
    <w:p>
      <w:r>
        <w:t>Readers do not need to train a large model. The companion notebook uses small deterministic examples to reveal mechanisms that are otherwise hidden inside large systems. The examples support reasoning; they do not claim to reproduce frontier-scale performance.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Technical pathway</w:t>
            </w:r>
          </w:p>
        </w:tc>
        <w:tc>
          <w:tcPr>
            <w:tcW w:type="dxa" w:w="6480"/>
            <w:vAlign w:val="center"/>
          </w:tcPr>
          <w:p>
            <w:r>
              <w:t>Study mechanisms, equations, code experiments and evaluation measures.</w:t>
            </w:r>
          </w:p>
        </w:tc>
      </w:tr>
      <w:tr>
        <w:tc>
          <w:tcPr>
            <w:tcW w:type="dxa" w:w="3024"/>
            <w:shd w:fill="F4F7FA"/>
            <w:vAlign w:val="center"/>
          </w:tcPr>
          <w:p>
            <w:r>
              <w:t>Executive pathway</w:t>
            </w:r>
          </w:p>
        </w:tc>
        <w:tc>
          <w:tcPr>
            <w:tcW w:type="dxa" w:w="6480"/>
            <w:shd w:fill="F4F7FA"/>
            <w:vAlign w:val="center"/>
          </w:tcPr>
          <w:p>
            <w:r>
              <w:t>Focus on decision boundaries, evidence, risk ownership and authorization.</w:t>
            </w:r>
          </w:p>
        </w:tc>
      </w:tr>
      <w:tr>
        <w:tc>
          <w:tcPr>
            <w:tcW w:type="dxa" w:w="3024"/>
            <w:vAlign w:val="center"/>
          </w:tcPr>
          <w:p>
            <w:r>
              <w:t>Shared outcome</w:t>
            </w:r>
          </w:p>
        </w:tc>
        <w:tc>
          <w:tcPr>
            <w:tcW w:type="dxa" w:w="6480"/>
            <w:vAlign w:val="center"/>
          </w:tcPr>
          <w:p>
            <w:r>
              <w:t>Recognize when an output is useful, unsupported, unsafe or unfit for a decision.</w:t>
            </w:r>
          </w:p>
        </w:tc>
      </w:tr>
    </w:tbl>
    <w:p/>
    <w:p>
      <w:r>
        <w:rPr>
          <w:b/>
          <w:color w:val="1F4E79"/>
        </w:rPr>
        <w:t xml:space="preserve">How to use the lesson: </w:t>
      </w:r>
      <w:r>
        <w:t>Read sections 1–12 in order, run the notebook laboratories, complete the exercises, and use the assessment to test independent understanding.</w:t>
      </w:r>
    </w:p>
    <w:p>
      <w:r>
        <w:br w:type="page"/>
      </w:r>
    </w:p>
    <w:p>
      <w:pPr>
        <w:pStyle w:val="LessonLabel"/>
      </w:pPr>
      <w:r>
        <w:t>COMPETENCY MAP</w:t>
      </w:r>
    </w:p>
    <w:p>
      <w:pPr>
        <w:pStyle w:val="Heading1"/>
      </w:pPr>
      <w:r>
        <w:t>Learning Objectives</w:t>
      </w:r>
    </w:p>
    <w:p>
      <w:pPr>
        <w:pStyle w:val="ListBullet"/>
      </w:pPr>
      <w:r>
        <w:t>Distinguish generative, discriminative and representation-learning objectives.</w:t>
      </w:r>
    </w:p>
    <w:p>
      <w:pPr>
        <w:pStyle w:val="ListBullet"/>
      </w:pPr>
      <w:r>
        <w:t>Explain tokenization, embeddings, context and next-token prediction.</w:t>
      </w:r>
    </w:p>
    <w:p>
      <w:pPr>
        <w:pStyle w:val="ListBullet"/>
      </w:pPr>
      <w:r>
        <w:t>Interpret autoregressive factorization and scaled dot-product attention.</w:t>
      </w:r>
    </w:p>
    <w:p>
      <w:pPr>
        <w:pStyle w:val="ListBullet"/>
      </w:pPr>
      <w:r>
        <w:t>Compare deterministic and stochastic decoding policies.</w:t>
      </w:r>
    </w:p>
    <w:p>
      <w:pPr>
        <w:pStyle w:val="ListBullet"/>
      </w:pPr>
      <w:r>
        <w:t>Separate parametric memory from retrieved evidence and tool results.</w:t>
      </w:r>
    </w:p>
    <w:p>
      <w:pPr>
        <w:pStyle w:val="ListBullet"/>
      </w:pPr>
      <w:r>
        <w:t>Evaluate fluency, groundedness, correctness, robustness, safety and decision fitness.</w:t>
      </w:r>
    </w:p>
    <w:p>
      <w:pPr>
        <w:pStyle w:val="ListBullet"/>
      </w:pPr>
      <w:r>
        <w:t>Specify an auditable evidence chain for institutional deployment.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Competency</w:t>
            </w:r>
          </w:p>
        </w:tc>
        <w:tc>
          <w:tcPr>
            <w:tcW w:type="dxa" w:w="4939"/>
            <w:shd w:fill="1F4E79"/>
            <w:vAlign w:val="center"/>
          </w:tcPr>
          <w:p>
            <w:r>
              <w:rPr>
                <w:b/>
                <w:color w:val="FFFFFF"/>
              </w:rPr>
              <w:t>Observable performance</w:t>
            </w:r>
          </w:p>
        </w:tc>
      </w:tr>
      <w:tr>
        <w:tc>
          <w:tcPr>
            <w:tcW w:type="dxa" w:w="3024"/>
            <w:vAlign w:val="center"/>
          </w:tcPr>
          <w:p>
            <w:r>
              <w:t>Explain</w:t>
            </w:r>
          </w:p>
        </w:tc>
        <w:tc>
          <w:tcPr>
            <w:tcW w:type="dxa" w:w="6480"/>
            <w:vAlign w:val="center"/>
          </w:tcPr>
          <w:p>
            <w:r>
              <w:t>Describe mechanisms accurately without anthropomorphism.</w:t>
            </w:r>
          </w:p>
        </w:tc>
      </w:tr>
      <w:tr>
        <w:tc>
          <w:tcPr>
            <w:tcW w:type="dxa" w:w="3024"/>
            <w:shd w:fill="F4F7FA"/>
            <w:vAlign w:val="center"/>
          </w:tcPr>
          <w:p>
            <w:r>
              <w:t>Demonstrate</w:t>
            </w:r>
          </w:p>
        </w:tc>
        <w:tc>
          <w:tcPr>
            <w:tcW w:type="dxa" w:w="6480"/>
            <w:shd w:fill="F4F7FA"/>
            <w:vAlign w:val="center"/>
          </w:tcPr>
          <w:p>
            <w:r>
              <w:t>Run transparent experiments and interpret outputs.</w:t>
            </w:r>
          </w:p>
        </w:tc>
      </w:tr>
      <w:tr>
        <w:tc>
          <w:tcPr>
            <w:tcW w:type="dxa" w:w="3024"/>
            <w:vAlign w:val="center"/>
          </w:tcPr>
          <w:p>
            <w:r>
              <w:t>Evaluate</w:t>
            </w:r>
          </w:p>
        </w:tc>
        <w:tc>
          <w:tcPr>
            <w:tcW w:type="dxa" w:w="6480"/>
            <w:vAlign w:val="center"/>
          </w:tcPr>
          <w:p>
            <w:r>
              <w:t>Test claims against authorized evidence and use-case requirements.</w:t>
            </w:r>
          </w:p>
        </w:tc>
      </w:tr>
      <w:tr>
        <w:tc>
          <w:tcPr>
            <w:tcW w:type="dxa" w:w="3024"/>
            <w:shd w:fill="F4F7FA"/>
            <w:vAlign w:val="center"/>
          </w:tcPr>
          <w:p>
            <w:r>
              <w:t>Govern</w:t>
            </w:r>
          </w:p>
        </w:tc>
        <w:tc>
          <w:tcPr>
            <w:tcW w:type="dxa" w:w="6480"/>
            <w:shd w:fill="F4F7FA"/>
            <w:vAlign w:val="center"/>
          </w:tcPr>
          <w:p>
            <w:r>
              <w:t>Assign controls, records, escalation and accountable approval.</w:t>
            </w:r>
          </w:p>
        </w:tc>
      </w:tr>
    </w:tbl>
    <w:p/>
    <w:p>
      <w:r>
        <w:br w:type="page"/>
      </w:r>
    </w:p>
    <w:p>
      <w:pPr>
        <w:pStyle w:val="LessonLabel"/>
      </w:pPr>
      <w:r>
        <w:t>MOTIVATING CASE</w:t>
      </w:r>
    </w:p>
    <w:p>
      <w:pPr>
        <w:pStyle w:val="Heading1"/>
      </w:pPr>
      <w:r>
        <w:t>The Brief That Sounded Certain</w:t>
      </w:r>
    </w:p>
    <w:p>
      <w:r>
        <w:t>A public-enterprise analyst asks a language model to summarize a quarterly report. The response is fluent, concise and wrong about one financial figure. It also silently converts a provisional estimate into an audited result. Because the prose sounds confident, the error travels into an executive briefing.</w:t>
      </w:r>
    </w:p>
    <w:p>
      <w:r>
        <w:t>The failure cannot be reduced to one bad number. The workflow did not preserve source authority, provisional status, model settings, claim-level verification or accountable approval. A better prompt might reduce error, but it cannot replace the evidence and control system.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Observed symptom</w:t>
            </w:r>
          </w:p>
        </w:tc>
        <w:tc>
          <w:tcPr>
            <w:tcW w:type="dxa" w:w="6480"/>
            <w:vAlign w:val="center"/>
          </w:tcPr>
          <w:p>
            <w:r>
              <w:t>Confident but unsupported financial statement</w:t>
            </w:r>
          </w:p>
        </w:tc>
      </w:tr>
      <w:tr>
        <w:tc>
          <w:tcPr>
            <w:tcW w:type="dxa" w:w="3024"/>
            <w:shd w:fill="F4F7FA"/>
            <w:vAlign w:val="center"/>
          </w:tcPr>
          <w:p>
            <w:r>
              <w:t>Technical cause</w:t>
            </w:r>
          </w:p>
        </w:tc>
        <w:tc>
          <w:tcPr>
            <w:tcW w:type="dxa" w:w="6480"/>
            <w:shd w:fill="F4F7FA"/>
            <w:vAlign w:val="center"/>
          </w:tcPr>
          <w:p>
            <w:r>
              <w:t>Generation optimized plausible continuation, not source fidelity</w:t>
            </w:r>
          </w:p>
        </w:tc>
      </w:tr>
      <w:tr>
        <w:tc>
          <w:tcPr>
            <w:tcW w:type="dxa" w:w="3024"/>
            <w:vAlign w:val="center"/>
          </w:tcPr>
          <w:p>
            <w:r>
              <w:t>Process cause</w:t>
            </w:r>
          </w:p>
        </w:tc>
        <w:tc>
          <w:tcPr>
            <w:tcW w:type="dxa" w:w="6480"/>
            <w:vAlign w:val="center"/>
          </w:tcPr>
          <w:p>
            <w:r>
              <w:t>No claim-to-source verification before reuse</w:t>
            </w:r>
          </w:p>
        </w:tc>
      </w:tr>
      <w:tr>
        <w:tc>
          <w:tcPr>
            <w:tcW w:type="dxa" w:w="3024"/>
            <w:shd w:fill="F4F7FA"/>
            <w:vAlign w:val="center"/>
          </w:tcPr>
          <w:p>
            <w:r>
              <w:t>Decision risk</w:t>
            </w:r>
          </w:p>
        </w:tc>
        <w:tc>
          <w:tcPr>
            <w:tcW w:type="dxa" w:w="6480"/>
            <w:shd w:fill="F4F7FA"/>
            <w:vAlign w:val="center"/>
          </w:tcPr>
          <w:p>
            <w:r>
              <w:t>Management acts on a materially altered statement</w:t>
            </w:r>
          </w:p>
        </w:tc>
      </w:tr>
      <w:tr>
        <w:tc>
          <w:tcPr>
            <w:tcW w:type="dxa" w:w="3024"/>
            <w:vAlign w:val="center"/>
          </w:tcPr>
          <w:p>
            <w:r>
              <w:t>Required response</w:t>
            </w:r>
          </w:p>
        </w:tc>
        <w:tc>
          <w:tcPr>
            <w:tcW w:type="dxa" w:w="6480"/>
            <w:vAlign w:val="center"/>
          </w:tcPr>
          <w:p>
            <w:r>
              <w:t>Trace, correct, document, assess impact and strengthen controls</w:t>
            </w:r>
          </w:p>
        </w:tc>
      </w:tr>
    </w:tbl>
    <w:p/>
    <w:p>
      <w:r>
        <w:rPr>
          <w:b/>
          <w:color w:val="1F4E79"/>
        </w:rPr>
        <w:t xml:space="preserve">Reasoning question: </w:t>
      </w:r>
      <w:r>
        <w:t>If the final number happens to be correct, what evidence would still be missing?</w:t>
      </w:r>
    </w:p>
    <w:p>
      <w:r>
        <w:br w:type="page"/>
      </w:r>
    </w:p>
    <w:p>
      <w:pPr>
        <w:pStyle w:val="LessonLabel"/>
      </w:pPr>
      <w:r>
        <w:t>FOUNDATIONS</w:t>
      </w:r>
    </w:p>
    <w:p>
      <w:pPr>
        <w:pStyle w:val="Heading1"/>
      </w:pPr>
      <w:r>
        <w:t>Generative and Discriminative Learning</w:t>
      </w:r>
    </w:p>
    <w:p>
      <w:r>
        <w:t>A discriminative model estimates an outcome or label from observed features. A generative model learns a distribution over data, or a conditional distribution, from which new samples can be produced. The distinction concerns the modelling objective, not whether one system is intelligent and another is not.</w:t>
      </w:r>
    </w:p>
    <w:p>
      <w:pPr>
        <w:jc w:val="center"/>
      </w:pPr>
      <m:oMathPara>
        <m:oMath>
          <m:r>
            <m:t>Discriminative:  p(y | x)        Generative:  p(x)  or  p(x | c)</m:t>
          </m:r>
        </m:oMath>
      </m:oMathPara>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Classification</w:t>
            </w:r>
          </w:p>
        </w:tc>
        <w:tc>
          <w:tcPr>
            <w:tcW w:type="dxa" w:w="6480"/>
            <w:vAlign w:val="center"/>
          </w:tcPr>
          <w:p>
            <w:r>
              <w:t>Estimate the probability of a label from features.</w:t>
            </w:r>
          </w:p>
        </w:tc>
      </w:tr>
      <w:tr>
        <w:tc>
          <w:tcPr>
            <w:tcW w:type="dxa" w:w="3024"/>
            <w:shd w:fill="F4F7FA"/>
            <w:vAlign w:val="center"/>
          </w:tcPr>
          <w:p>
            <w:r>
              <w:t>Regression</w:t>
            </w:r>
          </w:p>
        </w:tc>
        <w:tc>
          <w:tcPr>
            <w:tcW w:type="dxa" w:w="6480"/>
            <w:shd w:fill="F4F7FA"/>
            <w:vAlign w:val="center"/>
          </w:tcPr>
          <w:p>
            <w:r>
              <w:t>Estimate a numeric outcome or conditional expectation.</w:t>
            </w:r>
          </w:p>
        </w:tc>
      </w:tr>
      <w:tr>
        <w:tc>
          <w:tcPr>
            <w:tcW w:type="dxa" w:w="3024"/>
            <w:vAlign w:val="center"/>
          </w:tcPr>
          <w:p>
            <w:r>
              <w:t>Unconditional generation</w:t>
            </w:r>
          </w:p>
        </w:tc>
        <w:tc>
          <w:tcPr>
            <w:tcW w:type="dxa" w:w="6480"/>
            <w:vAlign w:val="center"/>
          </w:tcPr>
          <w:p>
            <w:r>
              <w:t>Produce samples from a learned data distribution.</w:t>
            </w:r>
          </w:p>
        </w:tc>
      </w:tr>
      <w:tr>
        <w:tc>
          <w:tcPr>
            <w:tcW w:type="dxa" w:w="3024"/>
            <w:shd w:fill="F4F7FA"/>
            <w:vAlign w:val="center"/>
          </w:tcPr>
          <w:p>
            <w:r>
              <w:t>Conditional generation</w:t>
            </w:r>
          </w:p>
        </w:tc>
        <w:tc>
          <w:tcPr>
            <w:tcW w:type="dxa" w:w="6480"/>
            <w:shd w:fill="F4F7FA"/>
            <w:vAlign w:val="center"/>
          </w:tcPr>
          <w:p>
            <w:r>
              <w:t>Produce samples given a prompt, class, image, instruction or other context.</w:t>
            </w:r>
          </w:p>
        </w:tc>
      </w:tr>
    </w:tbl>
    <w:p/>
    <w:p>
      <w:r>
        <w:t>Modern applications often combine these functions. A language model may generate text, classify intent through prompting, retrieve documents through an external component and call a deterministic tool. System analysis must identify which component produced each material claim.</w:t>
      </w:r>
    </w:p>
    <w:p>
      <w:r>
        <w:br w:type="page"/>
      </w:r>
    </w:p>
    <w:p>
      <w:pPr>
        <w:pStyle w:val="LessonLabel"/>
      </w:pPr>
      <w:r>
        <w:t>FOUNDATIONS</w:t>
      </w:r>
    </w:p>
    <w:p>
      <w:pPr>
        <w:pStyle w:val="Heading1"/>
      </w:pPr>
      <w:r>
        <w:t>What Generative AI Can Produce</w:t>
      </w:r>
    </w:p>
    <w:p>
      <w:r>
        <w:t>Generative AI covers systems that produce derived synthetic content such as text, images, audio, video, code and structured records. A foundation model is trained broadly and then adapted or instructed for many downstream tasks. Not every generative model is a large language model, and not every AI system generates content.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Text</w:t>
            </w:r>
          </w:p>
        </w:tc>
        <w:tc>
          <w:tcPr>
            <w:tcW w:type="dxa" w:w="6480"/>
            <w:vAlign w:val="center"/>
          </w:tcPr>
          <w:p>
            <w:r>
              <w:t>Drafting, summarization, translation, extraction and dialogue</w:t>
            </w:r>
          </w:p>
        </w:tc>
      </w:tr>
      <w:tr>
        <w:tc>
          <w:tcPr>
            <w:tcW w:type="dxa" w:w="3024"/>
            <w:shd w:fill="F4F7FA"/>
            <w:vAlign w:val="center"/>
          </w:tcPr>
          <w:p>
            <w:r>
              <w:t>Code</w:t>
            </w:r>
          </w:p>
        </w:tc>
        <w:tc>
          <w:tcPr>
            <w:tcW w:type="dxa" w:w="6480"/>
            <w:shd w:fill="F4F7FA"/>
            <w:vAlign w:val="center"/>
          </w:tcPr>
          <w:p>
            <w:r>
              <w:t>Completion, transformation, tests and explanation</w:t>
            </w:r>
          </w:p>
        </w:tc>
      </w:tr>
      <w:tr>
        <w:tc>
          <w:tcPr>
            <w:tcW w:type="dxa" w:w="3024"/>
            <w:vAlign w:val="center"/>
          </w:tcPr>
          <w:p>
            <w:r>
              <w:t>Image and video</w:t>
            </w:r>
          </w:p>
        </w:tc>
        <w:tc>
          <w:tcPr>
            <w:tcW w:type="dxa" w:w="6480"/>
            <w:vAlign w:val="center"/>
          </w:tcPr>
          <w:p>
            <w:r>
              <w:t>Creation, editing, synthesis and multimodal reasoning</w:t>
            </w:r>
          </w:p>
        </w:tc>
      </w:tr>
      <w:tr>
        <w:tc>
          <w:tcPr>
            <w:tcW w:type="dxa" w:w="3024"/>
            <w:shd w:fill="F4F7FA"/>
            <w:vAlign w:val="center"/>
          </w:tcPr>
          <w:p>
            <w:r>
              <w:t>Audio</w:t>
            </w:r>
          </w:p>
        </w:tc>
        <w:tc>
          <w:tcPr>
            <w:tcW w:type="dxa" w:w="6480"/>
            <w:shd w:fill="F4F7FA"/>
            <w:vAlign w:val="center"/>
          </w:tcPr>
          <w:p>
            <w:r>
              <w:t>Speech generation, transcription support and transformation</w:t>
            </w:r>
          </w:p>
        </w:tc>
      </w:tr>
      <w:tr>
        <w:tc>
          <w:tcPr>
            <w:tcW w:type="dxa" w:w="3024"/>
            <w:vAlign w:val="center"/>
          </w:tcPr>
          <w:p>
            <w:r>
              <w:t>Structured output</w:t>
            </w:r>
          </w:p>
        </w:tc>
        <w:tc>
          <w:tcPr>
            <w:tcW w:type="dxa" w:w="6480"/>
            <w:vAlign w:val="center"/>
          </w:tcPr>
          <w:p>
            <w:r>
              <w:t>JSON, tables, classifications and workflow actions</w:t>
            </w:r>
          </w:p>
        </w:tc>
      </w:tr>
    </w:tbl>
    <w:p/>
    <w:p>
      <w:r>
        <w:t>Capability descriptions must include conditions. Performance depends on language, domain, task definition, model version, retained context, tools, decoding policy and evaluation method. A benchmark score is not a universal certificate for every population or workflow.</w:t>
      </w:r>
    </w:p>
    <w:p>
      <w:r>
        <w:br w:type="page"/>
      </w:r>
    </w:p>
    <w:p>
      <w:pPr>
        <w:pStyle w:val="LessonLabel"/>
      </w:pPr>
      <w:r>
        <w:t>REPRESENTATION</w:t>
      </w:r>
    </w:p>
    <w:p>
      <w:pPr>
        <w:pStyle w:val="Heading1"/>
      </w:pPr>
      <w:r>
        <w:t>From Text to Tokens</w:t>
      </w:r>
    </w:p>
    <w:p>
      <w:r>
        <w:t>Models operate on token identifiers rather than directly on words or human meaning. A tokenizer segments input according to a fixed vocabulary and algorithm. The same sentence can consume different numbers of tokens under different tokenizers, particularly across languages, scripts, names and technical terminology.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Word tokens</w:t>
            </w:r>
          </w:p>
        </w:tc>
        <w:tc>
          <w:tcPr>
            <w:tcW w:type="dxa" w:w="6480"/>
            <w:vAlign w:val="center"/>
          </w:tcPr>
          <w:p>
            <w:r>
              <w:t>Intuitive but brittle for rare forms and multilingual text</w:t>
            </w:r>
          </w:p>
        </w:tc>
      </w:tr>
      <w:tr>
        <w:tc>
          <w:tcPr>
            <w:tcW w:type="dxa" w:w="3024"/>
            <w:shd w:fill="F4F7FA"/>
            <w:vAlign w:val="center"/>
          </w:tcPr>
          <w:p>
            <w:r>
              <w:t>Character tokens</w:t>
            </w:r>
          </w:p>
        </w:tc>
        <w:tc>
          <w:tcPr>
            <w:tcW w:type="dxa" w:w="6480"/>
            <w:shd w:fill="F4F7FA"/>
            <w:vAlign w:val="center"/>
          </w:tcPr>
          <w:p>
            <w:r>
              <w:t>Broad coverage but long sequences</w:t>
            </w:r>
          </w:p>
        </w:tc>
      </w:tr>
      <w:tr>
        <w:tc>
          <w:tcPr>
            <w:tcW w:type="dxa" w:w="3024"/>
            <w:vAlign w:val="center"/>
          </w:tcPr>
          <w:p>
            <w:r>
              <w:t>Subword tokens</w:t>
            </w:r>
          </w:p>
        </w:tc>
        <w:tc>
          <w:tcPr>
            <w:tcW w:type="dxa" w:w="6480"/>
            <w:vAlign w:val="center"/>
          </w:tcPr>
          <w:p>
            <w:r>
              <w:t>Reusable fragments balancing coverage and sequence length</w:t>
            </w:r>
          </w:p>
        </w:tc>
      </w:tr>
      <w:tr>
        <w:tc>
          <w:tcPr>
            <w:tcW w:type="dxa" w:w="3024"/>
            <w:shd w:fill="F4F7FA"/>
            <w:vAlign w:val="center"/>
          </w:tcPr>
          <w:p>
            <w:r>
              <w:t>Byte-level tokens</w:t>
            </w:r>
          </w:p>
        </w:tc>
        <w:tc>
          <w:tcPr>
            <w:tcW w:type="dxa" w:w="6480"/>
            <w:shd w:fill="F4F7FA"/>
            <w:vAlign w:val="center"/>
          </w:tcPr>
          <w:p>
            <w:r>
              <w:t>Very broad coverage with potentially uneven efficiency</w:t>
            </w:r>
          </w:p>
        </w:tc>
      </w:tr>
    </w:tbl>
    <w:p/>
    <w:p>
      <w:r>
        <w:t>Tokenization affects context capacity, latency, cost and representational equity. Institutions should measure actual documents in the languages they serve. English-only estimates are insufficient for a multilingual public service.</w:t>
      </w:r>
    </w:p>
    <w:p>
      <w:r>
        <w:rPr>
          <w:b/>
          <w:color w:val="1F4E79"/>
        </w:rPr>
        <w:t xml:space="preserve">Notebook link: </w:t>
      </w:r>
      <w:r>
        <w:t>Part A constructs a visible tokenizer, vocabulary and encoding process, then examines a French agricultural-statistics sentence.</w:t>
      </w:r>
    </w:p>
    <w:p>
      <w:r>
        <w:br w:type="page"/>
      </w:r>
    </w:p>
    <w:p>
      <w:pPr>
        <w:pStyle w:val="LessonLabel"/>
      </w:pPr>
      <w:r>
        <w:t>REPRESENTATION</w:t>
      </w:r>
    </w:p>
    <w:p>
      <w:pPr>
        <w:pStyle w:val="Heading1"/>
      </w:pPr>
      <w:r>
        <w:t>Embeddings and Contextual Representation</w:t>
      </w:r>
    </w:p>
    <w:p>
      <w:r>
        <w:t>A token identifier is an index, not a semantic measurement. An embedding table maps identifiers to vectors. Transformer layers then update token representations by combining information from the retained sequence. The resulting vector is contextual: the representation of a word can change with surrounding text.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Identifier</w:t>
            </w:r>
          </w:p>
        </w:tc>
        <w:tc>
          <w:tcPr>
            <w:tcW w:type="dxa" w:w="6480"/>
            <w:vAlign w:val="center"/>
          </w:tcPr>
          <w:p>
            <w:r>
              <w:t>Integer referring to one tokenizer entry</w:t>
            </w:r>
          </w:p>
        </w:tc>
      </w:tr>
      <w:tr>
        <w:tc>
          <w:tcPr>
            <w:tcW w:type="dxa" w:w="3024"/>
            <w:shd w:fill="F4F7FA"/>
            <w:vAlign w:val="center"/>
          </w:tcPr>
          <w:p>
            <w:r>
              <w:t>Embedding</w:t>
            </w:r>
          </w:p>
        </w:tc>
        <w:tc>
          <w:tcPr>
            <w:tcW w:type="dxa" w:w="6480"/>
            <w:shd w:fill="F4F7FA"/>
            <w:vAlign w:val="center"/>
          </w:tcPr>
          <w:p>
            <w:r>
              <w:t>Learned vector associated with an identifier</w:t>
            </w:r>
          </w:p>
        </w:tc>
      </w:tr>
      <w:tr>
        <w:tc>
          <w:tcPr>
            <w:tcW w:type="dxa" w:w="3024"/>
            <w:vAlign w:val="center"/>
          </w:tcPr>
          <w:p>
            <w:r>
              <w:t>Position</w:t>
            </w:r>
          </w:p>
        </w:tc>
        <w:tc>
          <w:tcPr>
            <w:tcW w:type="dxa" w:w="6480"/>
            <w:vAlign w:val="center"/>
          </w:tcPr>
          <w:p>
            <w:r>
              <w:t>Information representing token order</w:t>
            </w:r>
          </w:p>
        </w:tc>
      </w:tr>
      <w:tr>
        <w:tc>
          <w:tcPr>
            <w:tcW w:type="dxa" w:w="3024"/>
            <w:shd w:fill="F4F7FA"/>
            <w:vAlign w:val="center"/>
          </w:tcPr>
          <w:p>
            <w:r>
              <w:t>Contextual state</w:t>
            </w:r>
          </w:p>
        </w:tc>
        <w:tc>
          <w:tcPr>
            <w:tcW w:type="dxa" w:w="6480"/>
            <w:shd w:fill="F4F7FA"/>
            <w:vAlign w:val="center"/>
          </w:tcPr>
          <w:p>
            <w:r>
              <w:t>Layer output after information has been mixed across positions</w:t>
            </w:r>
          </w:p>
        </w:tc>
      </w:tr>
      <w:tr>
        <w:tc>
          <w:tcPr>
            <w:tcW w:type="dxa" w:w="3024"/>
            <w:vAlign w:val="center"/>
          </w:tcPr>
          <w:p>
            <w:r>
              <w:t>Logits</w:t>
            </w:r>
          </w:p>
        </w:tc>
        <w:tc>
          <w:tcPr>
            <w:tcW w:type="dxa" w:w="6480"/>
            <w:vAlign w:val="center"/>
          </w:tcPr>
          <w:p>
            <w:r>
              <w:t>Unnormalized scores for possible next tokens</w:t>
            </w:r>
          </w:p>
        </w:tc>
      </w:tr>
    </w:tbl>
    <w:p/>
    <w:p>
      <w:r>
        <w:t>Vector proximity can encode useful statistical regularities, but it does not automatically establish truth, fairness or causal meaning. Embeddings may reproduce patterns and exclusions present in training data.</w:t>
      </w:r>
    </w:p>
    <w:p>
      <w:r>
        <w:br w:type="page"/>
      </w:r>
    </w:p>
    <w:p>
      <w:pPr>
        <w:pStyle w:val="LessonLabel"/>
      </w:pPr>
      <w:r>
        <w:t>REPRESENTATION</w:t>
      </w:r>
    </w:p>
    <w:p>
      <w:pPr>
        <w:pStyle w:val="Heading1"/>
      </w:pPr>
      <w:r>
        <w:t>The Context Window as an Information Boundary</w:t>
      </w:r>
    </w:p>
    <w:p>
      <w:r>
        <w:t>The context window contains the tokens available for the current computation: system and developer instructions, conversation history, retrieved passages, user input and reserved output. Material outside this boundary cannot directly support the current generation unless another component retrieves or reintroduces it.</w:t>
      </w:r>
    </w:p>
    <w:p>
      <w:pPr>
        <w:jc w:val="center"/>
      </w:pPr>
      <m:oMathPara>
        <m:oMath>
          <m:r>
            <m:t>n_instructions + n_history + n_sources + n_input + n_output reserve  ≤  C</m:t>
          </m:r>
        </m:oMath>
      </m:oMathPara>
    </w:p>
    <w:p>
      <w:r>
        <w:t>A longer context window increases capacity but does not guarantee that every retained statement will influence the answer correctly. Position, redundancy, conflicts, prompt structure and model behaviour still matter.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Include</w:t>
            </w:r>
          </w:p>
        </w:tc>
        <w:tc>
          <w:tcPr>
            <w:tcW w:type="dxa" w:w="6480"/>
            <w:vAlign w:val="center"/>
          </w:tcPr>
          <w:p>
            <w:r>
              <w:t>Authorized, relevant and current evidence</w:t>
            </w:r>
          </w:p>
        </w:tc>
      </w:tr>
      <w:tr>
        <w:tc>
          <w:tcPr>
            <w:tcW w:type="dxa" w:w="3024"/>
            <w:shd w:fill="F4F7FA"/>
            <w:vAlign w:val="center"/>
          </w:tcPr>
          <w:p>
            <w:r>
              <w:t>Exclude</w:t>
            </w:r>
          </w:p>
        </w:tc>
        <w:tc>
          <w:tcPr>
            <w:tcW w:type="dxa" w:w="6480"/>
            <w:shd w:fill="F4F7FA"/>
            <w:vAlign w:val="center"/>
          </w:tcPr>
          <w:p>
            <w:r>
              <w:t>Sensitive, irrelevant, prohibited or stale content</w:t>
            </w:r>
          </w:p>
        </w:tc>
      </w:tr>
      <w:tr>
        <w:tc>
          <w:tcPr>
            <w:tcW w:type="dxa" w:w="3024"/>
            <w:vAlign w:val="center"/>
          </w:tcPr>
          <w:p>
            <w:r>
              <w:t>Reserve</w:t>
            </w:r>
          </w:p>
        </w:tc>
        <w:tc>
          <w:tcPr>
            <w:tcW w:type="dxa" w:w="6480"/>
            <w:vAlign w:val="center"/>
          </w:tcPr>
          <w:p>
            <w:r>
              <w:t>Enough tokens for the required response</w:t>
            </w:r>
          </w:p>
        </w:tc>
      </w:tr>
      <w:tr>
        <w:tc>
          <w:tcPr>
            <w:tcW w:type="dxa" w:w="3024"/>
            <w:shd w:fill="F4F7FA"/>
            <w:vAlign w:val="center"/>
          </w:tcPr>
          <w:p>
            <w:r>
              <w:t>Disclose</w:t>
            </w:r>
          </w:p>
        </w:tc>
        <w:tc>
          <w:tcPr>
            <w:tcW w:type="dxa" w:w="6480"/>
            <w:shd w:fill="F4F7FA"/>
            <w:vAlign w:val="center"/>
          </w:tcPr>
          <w:p>
            <w:r>
              <w:t>Material evidence omitted through truncation or retrieval limits</w:t>
            </w:r>
          </w:p>
        </w:tc>
      </w:tr>
    </w:tbl>
    <w:p/>
    <w:p>
      <w:r>
        <w:br w:type="page"/>
      </w:r>
    </w:p>
    <w:p>
      <w:pPr>
        <w:pStyle w:val="LessonLabel"/>
      </w:pPr>
      <w:r>
        <w:t>GENERATION</w:t>
      </w:r>
    </w:p>
    <w:p>
      <w:pPr>
        <w:pStyle w:val="Heading1"/>
      </w:pPr>
      <w:r>
        <w:t>Autoregressive Sequence Probability</w:t>
      </w:r>
    </w:p>
    <w:p>
      <w:r>
        <w:t>An autoregressive language model represents a sequence as a product of conditional next-token probabilities. At generation time, it repeatedly predicts a distribution, chooses one token, appends it to context and calculates the next distribution.</w:t>
      </w:r>
    </w:p>
    <w:p>
      <w:pPr>
        <w:jc w:val="center"/>
      </w:pPr>
      <m:oMathPara>
        <m:oMath>
          <m:r>
            <m:t>p(x₁, …, x_T) = ∏ from t=1 to T  p(x_t | x₁, …, x_{t−1})</m:t>
          </m:r>
        </m:oMath>
      </m:oMathPara>
    </w:p>
    <w:p>
      <w:r>
        <w:t>This factorization explains both power and limitation. Complex paragraphs emerge from many local conditional steps, but the objective does not contain a built-in guarantee that a sentence is current, supported or institutionally authorized.</w:t>
      </w:r>
    </w:p>
    <w:p>
      <w:r>
        <w:rPr>
          <w:b/>
          <w:color w:val="1F4E79"/>
        </w:rPr>
        <w:t xml:space="preserve">Interpretation boundary: </w:t>
      </w:r>
      <w:r>
        <w:t>High probability means compatibility with the learned model and context. It does not mean factual truth.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Likelihood</w:t>
            </w:r>
          </w:p>
        </w:tc>
        <w:tc>
          <w:tcPr>
            <w:tcW w:type="dxa" w:w="6480"/>
            <w:vAlign w:val="center"/>
          </w:tcPr>
          <w:p>
            <w:r>
              <w:t>Probability assigned by the model</w:t>
            </w:r>
          </w:p>
        </w:tc>
      </w:tr>
      <w:tr>
        <w:tc>
          <w:tcPr>
            <w:tcW w:type="dxa" w:w="3024"/>
            <w:shd w:fill="F4F7FA"/>
            <w:vAlign w:val="center"/>
          </w:tcPr>
          <w:p>
            <w:r>
              <w:t>Factuality</w:t>
            </w:r>
          </w:p>
        </w:tc>
        <w:tc>
          <w:tcPr>
            <w:tcW w:type="dxa" w:w="6480"/>
            <w:shd w:fill="F4F7FA"/>
            <w:vAlign w:val="center"/>
          </w:tcPr>
          <w:p>
            <w:r>
              <w:t>Agreement with verified reality</w:t>
            </w:r>
          </w:p>
        </w:tc>
      </w:tr>
      <w:tr>
        <w:tc>
          <w:tcPr>
            <w:tcW w:type="dxa" w:w="3024"/>
            <w:vAlign w:val="center"/>
          </w:tcPr>
          <w:p>
            <w:r>
              <w:t>Groundedness</w:t>
            </w:r>
          </w:p>
        </w:tc>
        <w:tc>
          <w:tcPr>
            <w:tcW w:type="dxa" w:w="6480"/>
            <w:vAlign w:val="center"/>
          </w:tcPr>
          <w:p>
            <w:r>
              <w:t>Support from identified authorized evidence</w:t>
            </w:r>
          </w:p>
        </w:tc>
      </w:tr>
      <w:tr>
        <w:tc>
          <w:tcPr>
            <w:tcW w:type="dxa" w:w="3024"/>
            <w:shd w:fill="F4F7FA"/>
            <w:vAlign w:val="center"/>
          </w:tcPr>
          <w:p>
            <w:r>
              <w:t>Decision fitness</w:t>
            </w:r>
          </w:p>
        </w:tc>
        <w:tc>
          <w:tcPr>
            <w:tcW w:type="dxa" w:w="6480"/>
            <w:shd w:fill="F4F7FA"/>
            <w:vAlign w:val="center"/>
          </w:tcPr>
          <w:p>
            <w:r>
              <w:t>Suitability for an accountable workflow</w:t>
            </w:r>
          </w:p>
        </w:tc>
      </w:tr>
    </w:tbl>
    <w:p/>
    <w:p>
      <w:r>
        <w:br w:type="page"/>
      </w:r>
    </w:p>
    <w:p>
      <w:pPr>
        <w:pStyle w:val="LessonLabel"/>
      </w:pPr>
      <w:r>
        <w:t>MODEL LIFECYCLE</w:t>
      </w:r>
    </w:p>
    <w:p>
      <w:pPr>
        <w:pStyle w:val="Heading1"/>
      </w:pPr>
      <w:r>
        <w:t>Pretraining and Learned Parameters</w:t>
      </w:r>
    </w:p>
    <w:p>
      <w:r>
        <w:t>During pretraining, a model updates parameters to improve a predictive objective over large datasets. Parameters compress statistical structure; they are not a transparent catalogue of source documents. The model may reproduce patterns, combine fragments, generalize, omit qualifications or generate unsupported continuations.</w:t>
      </w:r>
    </w:p>
    <w:p>
      <w:pPr>
        <w:pStyle w:val="ListBullet"/>
      </w:pPr>
      <w:r>
        <w:t>Define data sources, rights and exclusions.</w:t>
      </w:r>
    </w:p>
    <w:p>
      <w:pPr>
        <w:pStyle w:val="ListBullet"/>
      </w:pPr>
      <w:r>
        <w:t>Filter and document quality and safety decisions.</w:t>
      </w:r>
    </w:p>
    <w:p>
      <w:pPr>
        <w:pStyle w:val="ListBullet"/>
      </w:pPr>
      <w:r>
        <w:t>Specify objective, architecture and optimization controls.</w:t>
      </w:r>
    </w:p>
    <w:p>
      <w:pPr>
        <w:pStyle w:val="ListBullet"/>
      </w:pPr>
      <w:r>
        <w:t>Measure performance across relevant languages and subgroups.</w:t>
      </w:r>
    </w:p>
    <w:p>
      <w:pPr>
        <w:pStyle w:val="ListBullet"/>
      </w:pPr>
      <w:r>
        <w:t>Retain lineage, version and evaluation records.</w:t>
      </w:r>
    </w:p>
    <w:p>
      <w:r>
        <w:t>A model’s internal knowledge can be incomplete, outdated or conflicting. For current institutional claims, training-time exposure is not a sufficient provenance mechanism.</w:t>
      </w:r>
    </w:p>
    <w:p>
      <w:r>
        <w:br w:type="page"/>
      </w:r>
    </w:p>
    <w:p>
      <w:pPr>
        <w:pStyle w:val="LessonLabel"/>
      </w:pPr>
      <w:r>
        <w:t>MODEL LIFECYCLE</w:t>
      </w:r>
    </w:p>
    <w:p>
      <w:pPr>
        <w:pStyle w:val="Heading1"/>
      </w:pPr>
      <w:r>
        <w:t>Instruction Tuning Alignment and Adaptation</w:t>
      </w:r>
    </w:p>
    <w:p>
      <w:r>
        <w:t>Pretrained models are commonly adapted to follow instructions and preferred behaviours. Supervised instruction tuning uses demonstrations. Preference-based methods compare or score outputs. Parameter-efficient methods update a small subset of parameters or adapters. Prompting and retrieval can change behaviour without parameter updates.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Prompting</w:t>
            </w:r>
          </w:p>
        </w:tc>
        <w:tc>
          <w:tcPr>
            <w:tcW w:type="dxa" w:w="6480"/>
            <w:vAlign w:val="center"/>
          </w:tcPr>
          <w:p>
            <w:r>
              <w:t>Changes current instructions and context; no parameter update</w:t>
            </w:r>
          </w:p>
        </w:tc>
      </w:tr>
      <w:tr>
        <w:tc>
          <w:tcPr>
            <w:tcW w:type="dxa" w:w="3024"/>
            <w:shd w:fill="F4F7FA"/>
            <w:vAlign w:val="center"/>
          </w:tcPr>
          <w:p>
            <w:r>
              <w:t>Retrieval</w:t>
            </w:r>
          </w:p>
        </w:tc>
        <w:tc>
          <w:tcPr>
            <w:tcW w:type="dxa" w:w="6480"/>
            <w:shd w:fill="F4F7FA"/>
            <w:vAlign w:val="center"/>
          </w:tcPr>
          <w:p>
            <w:r>
              <w:t>Adds external evidence to the current context</w:t>
            </w:r>
          </w:p>
        </w:tc>
      </w:tr>
      <w:tr>
        <w:tc>
          <w:tcPr>
            <w:tcW w:type="dxa" w:w="3024"/>
            <w:vAlign w:val="center"/>
          </w:tcPr>
          <w:p>
            <w:r>
              <w:t>Fine-tuning</w:t>
            </w:r>
          </w:p>
        </w:tc>
        <w:tc>
          <w:tcPr>
            <w:tcW w:type="dxa" w:w="6480"/>
            <w:vAlign w:val="center"/>
          </w:tcPr>
          <w:p>
            <w:r>
              <w:t>Updates model parameters using task or domain data</w:t>
            </w:r>
          </w:p>
        </w:tc>
      </w:tr>
      <w:tr>
        <w:tc>
          <w:tcPr>
            <w:tcW w:type="dxa" w:w="3024"/>
            <w:shd w:fill="F4F7FA"/>
            <w:vAlign w:val="center"/>
          </w:tcPr>
          <w:p>
            <w:r>
              <w:t>Preference optimization</w:t>
            </w:r>
          </w:p>
        </w:tc>
        <w:tc>
          <w:tcPr>
            <w:tcW w:type="dxa" w:w="6480"/>
            <w:shd w:fill="F4F7FA"/>
            <w:vAlign w:val="center"/>
          </w:tcPr>
          <w:p>
            <w:r>
              <w:t>Shapes behaviour using comparative or reward signals</w:t>
            </w:r>
          </w:p>
        </w:tc>
      </w:tr>
      <w:tr>
        <w:tc>
          <w:tcPr>
            <w:tcW w:type="dxa" w:w="3024"/>
            <w:vAlign w:val="center"/>
          </w:tcPr>
          <w:p>
            <w:r>
              <w:t>Tool integration</w:t>
            </w:r>
          </w:p>
        </w:tc>
        <w:tc>
          <w:tcPr>
            <w:tcW w:type="dxa" w:w="6480"/>
            <w:vAlign w:val="center"/>
          </w:tcPr>
          <w:p>
            <w:r>
              <w:t>Delegates actions or calculations to external systems</w:t>
            </w:r>
          </w:p>
        </w:tc>
      </w:tr>
    </w:tbl>
    <w:p/>
    <w:p>
      <w:r>
        <w:t>Each method creates different evidence and risks. A workflow must not describe retrieval as training, tool output as model knowledge, or prompt examples as parameter updates.</w:t>
      </w:r>
    </w:p>
    <w:p>
      <w:r>
        <w:br w:type="page"/>
      </w:r>
    </w:p>
    <w:p>
      <w:pPr>
        <w:pStyle w:val="LessonLabel"/>
      </w:pPr>
      <w:r>
        <w:t>TRANSFORMERS</w:t>
      </w:r>
    </w:p>
    <w:p>
      <w:pPr>
        <w:pStyle w:val="Heading1"/>
      </w:pPr>
      <w:r>
        <w:t>Why Attention Matters</w:t>
      </w:r>
    </w:p>
    <w:p>
      <w:r>
        <w:t>The Transformer architecture replaced recurrence with attention-based sequence processing, enabling parallel computation during training and flexible interaction among token positions. Contemporary language models extend and modify this foundation, but scaled dot-product attention remains a central conceptual building block.</w:t>
      </w:r>
    </w:p>
    <w:p>
      <w:pPr>
        <w:jc w:val="center"/>
      </w:pPr>
      <m:oMathPara>
        <m:oMath>
          <m:r>
            <m:t>Attention(Q, K, V) = softmax(QKᵀ / √d_k) V</m:t>
          </m:r>
        </m:oMath>
      </m:oMathPara>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Query</w:t>
            </w:r>
          </w:p>
        </w:tc>
        <w:tc>
          <w:tcPr>
            <w:tcW w:type="dxa" w:w="6480"/>
            <w:vAlign w:val="center"/>
          </w:tcPr>
          <w:p>
            <w:r>
              <w:t>What the current position seeks</w:t>
            </w:r>
          </w:p>
        </w:tc>
      </w:tr>
      <w:tr>
        <w:tc>
          <w:tcPr>
            <w:tcW w:type="dxa" w:w="3024"/>
            <w:shd w:fill="F4F7FA"/>
            <w:vAlign w:val="center"/>
          </w:tcPr>
          <w:p>
            <w:r>
              <w:t>Key</w:t>
            </w:r>
          </w:p>
        </w:tc>
        <w:tc>
          <w:tcPr>
            <w:tcW w:type="dxa" w:w="6480"/>
            <w:shd w:fill="F4F7FA"/>
            <w:vAlign w:val="center"/>
          </w:tcPr>
          <w:p>
            <w:r>
              <w:t>How another position can be matched</w:t>
            </w:r>
          </w:p>
        </w:tc>
      </w:tr>
      <w:tr>
        <w:tc>
          <w:tcPr>
            <w:tcW w:type="dxa" w:w="3024"/>
            <w:vAlign w:val="center"/>
          </w:tcPr>
          <w:p>
            <w:r>
              <w:t>Value</w:t>
            </w:r>
          </w:p>
        </w:tc>
        <w:tc>
          <w:tcPr>
            <w:tcW w:type="dxa" w:w="6480"/>
            <w:vAlign w:val="center"/>
          </w:tcPr>
          <w:p>
            <w:r>
              <w:t>Information contributed after weighting</w:t>
            </w:r>
          </w:p>
        </w:tc>
      </w:tr>
      <w:tr>
        <w:tc>
          <w:tcPr>
            <w:tcW w:type="dxa" w:w="3024"/>
            <w:shd w:fill="F4F7FA"/>
            <w:vAlign w:val="center"/>
          </w:tcPr>
          <w:p>
            <w:r>
              <w:t>Scale</w:t>
            </w:r>
          </w:p>
        </w:tc>
        <w:tc>
          <w:tcPr>
            <w:tcW w:type="dxa" w:w="6480"/>
            <w:shd w:fill="F4F7FA"/>
            <w:vAlign w:val="center"/>
          </w:tcPr>
          <w:p>
            <w:r>
              <w:t>Controls score magnitude using key dimension</w:t>
            </w:r>
          </w:p>
        </w:tc>
      </w:tr>
      <w:tr>
        <w:tc>
          <w:tcPr>
            <w:tcW w:type="dxa" w:w="3024"/>
            <w:vAlign w:val="center"/>
          </w:tcPr>
          <w:p>
            <w:r>
              <w:t>Softmax</w:t>
            </w:r>
          </w:p>
        </w:tc>
        <w:tc>
          <w:tcPr>
            <w:tcW w:type="dxa" w:w="6480"/>
            <w:vAlign w:val="center"/>
          </w:tcPr>
          <w:p>
            <w:r>
              <w:t>Converts scores into row-wise weights</w:t>
            </w:r>
          </w:p>
        </w:tc>
      </w:tr>
    </w:tbl>
    <w:p/>
    <w:p>
      <w:r>
        <w:rPr>
          <w:b/>
          <w:color w:val="1F4E79"/>
        </w:rPr>
        <w:t xml:space="preserve">Notebook link: </w:t>
      </w:r>
      <w:r>
        <w:t>Part D calculates attention with three small vectors and displays the resulting weight matrix.</w:t>
      </w:r>
    </w:p>
    <w:p>
      <w:r>
        <w:br w:type="page"/>
      </w:r>
    </w:p>
    <w:p>
      <w:pPr>
        <w:pStyle w:val="LessonLabel"/>
      </w:pPr>
      <w:r>
        <w:t>TRANSFORMERS</w:t>
      </w:r>
    </w:p>
    <w:p>
      <w:pPr>
        <w:pStyle w:val="Heading1"/>
      </w:pPr>
      <w:r>
        <w:t>Attention Is Not a Complete Explanation</w:t>
      </w:r>
    </w:p>
    <w:p>
      <w:r>
        <w:t>Attention weights describe one internal mixing operation. They do not automatically identify causal reasoning, source provenance or the human meaning of a decision. Multiple layers, heads, residual connections, nonlinear transformations and decoding steps contribute to the final output.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Valid observation</w:t>
            </w:r>
          </w:p>
        </w:tc>
        <w:tc>
          <w:tcPr>
            <w:tcW w:type="dxa" w:w="6480"/>
            <w:vAlign w:val="center"/>
          </w:tcPr>
          <w:p>
            <w:r>
              <w:t>A position assigned a particular weight in a defined layer and head</w:t>
            </w:r>
          </w:p>
        </w:tc>
      </w:tr>
      <w:tr>
        <w:tc>
          <w:tcPr>
            <w:tcW w:type="dxa" w:w="3024"/>
            <w:shd w:fill="F4F7FA"/>
            <w:vAlign w:val="center"/>
          </w:tcPr>
          <w:p>
            <w:r>
              <w:t>Invalid leap</w:t>
            </w:r>
          </w:p>
        </w:tc>
        <w:tc>
          <w:tcPr>
            <w:tcW w:type="dxa" w:w="6480"/>
            <w:shd w:fill="F4F7FA"/>
            <w:vAlign w:val="center"/>
          </w:tcPr>
          <w:p>
            <w:r>
              <w:t>The weight proves why the system reached its final conclusion</w:t>
            </w:r>
          </w:p>
        </w:tc>
      </w:tr>
      <w:tr>
        <w:tc>
          <w:tcPr>
            <w:tcW w:type="dxa" w:w="3024"/>
            <w:vAlign w:val="center"/>
          </w:tcPr>
          <w:p>
            <w:r>
              <w:t>Required evidence</w:t>
            </w:r>
          </w:p>
        </w:tc>
        <w:tc>
          <w:tcPr>
            <w:tcW w:type="dxa" w:w="6480"/>
            <w:vAlign w:val="center"/>
          </w:tcPr>
          <w:p>
            <w:r>
              <w:t>Controlled interventions, evaluation, traces and external verification</w:t>
            </w:r>
          </w:p>
        </w:tc>
      </w:tr>
      <w:tr>
        <w:tc>
          <w:tcPr>
            <w:tcW w:type="dxa" w:w="3024"/>
            <w:shd w:fill="F4F7FA"/>
            <w:vAlign w:val="center"/>
          </w:tcPr>
          <w:p>
            <w:r>
              <w:t>Communication rule</w:t>
            </w:r>
          </w:p>
        </w:tc>
        <w:tc>
          <w:tcPr>
            <w:tcW w:type="dxa" w:w="6480"/>
            <w:shd w:fill="F4F7FA"/>
            <w:vAlign w:val="center"/>
          </w:tcPr>
          <w:p>
            <w:r>
              <w:t>Describe measured internal behaviour without anthropomorphic certainty</w:t>
            </w:r>
          </w:p>
        </w:tc>
      </w:tr>
    </w:tbl>
    <w:p/>
    <w:p>
      <w:r>
        <w:t>Interpretability evidence should be matched to the decision. Debugging a model component, explaining an administrative action and proving factual support require different methods.</w:t>
      </w:r>
    </w:p>
    <w:p>
      <w:r>
        <w:br w:type="page"/>
      </w:r>
    </w:p>
    <w:p>
      <w:pPr>
        <w:pStyle w:val="LessonLabel"/>
      </w:pPr>
      <w:r>
        <w:t>INFERENCE</w:t>
      </w:r>
    </w:p>
    <w:p>
      <w:pPr>
        <w:pStyle w:val="Heading1"/>
      </w:pPr>
      <w:r>
        <w:t>Prompts Instructions and Retained Context</w:t>
      </w:r>
    </w:p>
    <w:p>
      <w:r>
        <w:t>A prompt is not merely the user’s final question. Applications often assemble system rules, developer instructions, history, retrieved evidence, templates and tool descriptions. The assembled request forms an information and authority boundary for the current inference.</w:t>
      </w:r>
    </w:p>
    <w:p>
      <w:pPr>
        <w:pStyle w:val="ListBullet"/>
      </w:pPr>
      <w:r>
        <w:t>State the task and intended audience.</w:t>
      </w:r>
    </w:p>
    <w:p>
      <w:pPr>
        <w:pStyle w:val="ListBullet"/>
      </w:pPr>
      <w:r>
        <w:t>Provide authorized context and preserve source labels.</w:t>
      </w:r>
    </w:p>
    <w:p>
      <w:pPr>
        <w:pStyle w:val="ListBullet"/>
      </w:pPr>
      <w:r>
        <w:t>Define output structure and uncertainty requirements.</w:t>
      </w:r>
    </w:p>
    <w:p>
      <w:pPr>
        <w:pStyle w:val="ListBullet"/>
      </w:pPr>
      <w:r>
        <w:t>Specify prohibited actions and escalation conditions.</w:t>
      </w:r>
    </w:p>
    <w:p>
      <w:pPr>
        <w:pStyle w:val="ListBullet"/>
      </w:pPr>
      <w:r>
        <w:t>Require claim-level support when facts matter.</w:t>
      </w:r>
    </w:p>
    <w:p>
      <w:r>
        <w:t>Prompt quality matters, but prompts cannot guarantee compliance or factuality. Treat them as one control within a layered system of access restrictions, retrieval policy, validation, monitoring and human authorization.</w:t>
      </w:r>
    </w:p>
    <w:p>
      <w:r>
        <w:br w:type="page"/>
      </w:r>
    </w:p>
    <w:p>
      <w:pPr>
        <w:pStyle w:val="LessonLabel"/>
      </w:pPr>
      <w:r>
        <w:t>INFERENCE</w:t>
      </w:r>
    </w:p>
    <w:p>
      <w:pPr>
        <w:pStyle w:val="Heading1"/>
      </w:pPr>
      <w:r>
        <w:t>Greedy and Stochastic Decoding</w:t>
      </w:r>
    </w:p>
    <w:p>
      <w:r>
        <w:t>Greedy decoding selects the highest-probability token at every step. Sampling draws from a probability distribution. Beam search retains several partial candidates. No decoding method converts probability into factual authority; each manages trade-offs among determinism, diversity, repetition and computational cost.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Greedy</w:t>
            </w:r>
          </w:p>
        </w:tc>
        <w:tc>
          <w:tcPr>
            <w:tcW w:type="dxa" w:w="6480"/>
            <w:vAlign w:val="center"/>
          </w:tcPr>
          <w:p>
            <w:r>
              <w:t>Repeatable for fixed model and context; may be rigid or locally suboptimal</w:t>
            </w:r>
          </w:p>
        </w:tc>
      </w:tr>
      <w:tr>
        <w:tc>
          <w:tcPr>
            <w:tcW w:type="dxa" w:w="3024"/>
            <w:shd w:fill="F4F7FA"/>
            <w:vAlign w:val="center"/>
          </w:tcPr>
          <w:p>
            <w:r>
              <w:t>Temperature</w:t>
            </w:r>
          </w:p>
        </w:tc>
        <w:tc>
          <w:tcPr>
            <w:tcW w:type="dxa" w:w="6480"/>
            <w:shd w:fill="F4F7FA"/>
            <w:vAlign w:val="center"/>
          </w:tcPr>
          <w:p>
            <w:r>
              <w:t>Flattens or sharpens the distribution</w:t>
            </w:r>
          </w:p>
        </w:tc>
      </w:tr>
      <w:tr>
        <w:tc>
          <w:tcPr>
            <w:tcW w:type="dxa" w:w="3024"/>
            <w:vAlign w:val="center"/>
          </w:tcPr>
          <w:p>
            <w:r>
              <w:t>Top-k</w:t>
            </w:r>
          </w:p>
        </w:tc>
        <w:tc>
          <w:tcPr>
            <w:tcW w:type="dxa" w:w="6480"/>
            <w:vAlign w:val="center"/>
          </w:tcPr>
          <w:p>
            <w:r>
              <w:t>Samples from the k highest-probability candidates</w:t>
            </w:r>
          </w:p>
        </w:tc>
      </w:tr>
      <w:tr>
        <w:tc>
          <w:tcPr>
            <w:tcW w:type="dxa" w:w="3024"/>
            <w:shd w:fill="F4F7FA"/>
            <w:vAlign w:val="center"/>
          </w:tcPr>
          <w:p>
            <w:r>
              <w:t>Top-p</w:t>
            </w:r>
          </w:p>
        </w:tc>
        <w:tc>
          <w:tcPr>
            <w:tcW w:type="dxa" w:w="6480"/>
            <w:shd w:fill="F4F7FA"/>
            <w:vAlign w:val="center"/>
          </w:tcPr>
          <w:p>
            <w:r>
              <w:t>Samples from the smallest set reaching cumulative probability p</w:t>
            </w:r>
          </w:p>
        </w:tc>
      </w:tr>
      <w:tr>
        <w:tc>
          <w:tcPr>
            <w:tcW w:type="dxa" w:w="3024"/>
            <w:vAlign w:val="center"/>
          </w:tcPr>
          <w:p>
            <w:r>
              <w:t>Beam search</w:t>
            </w:r>
          </w:p>
        </w:tc>
        <w:tc>
          <w:tcPr>
            <w:tcW w:type="dxa" w:w="6480"/>
            <w:vAlign w:val="center"/>
          </w:tcPr>
          <w:p>
            <w:r>
              <w:t>Tracks several high-scoring partial sequences</w:t>
            </w:r>
          </w:p>
        </w:tc>
      </w:tr>
    </w:tbl>
    <w:p/>
    <w:p>
      <w:r>
        <w:t>Model version, prompt, context and decoding settings belong in the operational record when outputs are material.</w:t>
      </w:r>
    </w:p>
    <w:p>
      <w:r>
        <w:br w:type="page"/>
      </w:r>
    </w:p>
    <w:p>
      <w:pPr>
        <w:pStyle w:val="LessonLabel"/>
      </w:pPr>
      <w:r>
        <w:t>INFERENCE</w:t>
      </w:r>
    </w:p>
    <w:p>
      <w:pPr>
        <w:pStyle w:val="Heading1"/>
      </w:pPr>
      <w:r>
        <w:t>Temperature Top K and Top P</w:t>
      </w:r>
    </w:p>
    <w:p>
      <w:r>
        <w:t>Temperature divides logits before softmax. Values below one concentrate probability mass; values above one flatten it. Top-k fixes the number of candidates, while top-p adapts the candidate count to the shape of the distribution.</w:t>
      </w:r>
    </w:p>
    <w:p>
      <w:pPr>
        <w:jc w:val="center"/>
      </w:pPr>
      <m:oMathPara>
        <m:oMath>
          <m:r>
            <m:t>P_T(i) = exp(z_i / T) / Σ_j exp(z_j / T)</m:t>
          </m:r>
        </m:oMath>
      </m:oMathPara>
    </w:p>
    <w:p>
      <w:pPr>
        <w:pStyle w:val="ListBullet"/>
      </w:pPr>
      <w:r>
        <w:t>Use lower variability when consistency matters.</w:t>
      </w:r>
    </w:p>
    <w:p>
      <w:pPr>
        <w:pStyle w:val="ListBullet"/>
      </w:pPr>
      <w:r>
        <w:t>Test rather than assume the safest setting.</w:t>
      </w:r>
    </w:p>
    <w:p>
      <w:pPr>
        <w:pStyle w:val="ListBullet"/>
      </w:pPr>
      <w:r>
        <w:t>Evaluate rare but material failures across repeated runs.</w:t>
      </w:r>
    </w:p>
    <w:p>
      <w:pPr>
        <w:pStyle w:val="ListBullet"/>
      </w:pPr>
      <w:r>
        <w:t>Record settings and random seeds in experiments.</w:t>
      </w:r>
    </w:p>
    <w:p>
      <w:pPr>
        <w:pStyle w:val="ListBullet"/>
      </w:pPr>
      <w:r>
        <w:t>Do not treat temperature zero as a universal reproducibility guarantee across services or versions.</w:t>
      </w:r>
    </w:p>
    <w:p>
      <w:r>
        <w:rPr>
          <w:b/>
          <w:color w:val="1F4E79"/>
        </w:rPr>
        <w:t xml:space="preserve">Practice: </w:t>
      </w:r>
      <w:r>
        <w:t>The notebook compares distributions at three temperatures and samples with greedy, top-k and top-p policies.</w:t>
      </w:r>
    </w:p>
    <w:p>
      <w:r>
        <w:br w:type="page"/>
      </w:r>
    </w:p>
    <w:p>
      <w:pPr>
        <w:pStyle w:val="LessonLabel"/>
      </w:pPr>
      <w:r>
        <w:t>CAPABILITY</w:t>
      </w:r>
    </w:p>
    <w:p>
      <w:pPr>
        <w:pStyle w:val="Heading1"/>
      </w:pPr>
      <w:r>
        <w:t>Useful Functions and Conditional Performance</w:t>
      </w:r>
    </w:p>
    <w:p>
      <w:r>
        <w:t>Language models can summarize, transform, classify, translate, extract, draft and support software work. Performance is conditional on the task, language, domain, evidence, model version, context construction and evaluation design.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Summarization</w:t>
            </w:r>
          </w:p>
        </w:tc>
        <w:tc>
          <w:tcPr>
            <w:tcW w:type="dxa" w:w="6480"/>
            <w:vAlign w:val="center"/>
          </w:tcPr>
          <w:p>
            <w:r>
              <w:t>Preserve material facts, qualifications and source boundaries</w:t>
            </w:r>
          </w:p>
        </w:tc>
      </w:tr>
      <w:tr>
        <w:tc>
          <w:tcPr>
            <w:tcW w:type="dxa" w:w="3024"/>
            <w:shd w:fill="F4F7FA"/>
            <w:vAlign w:val="center"/>
          </w:tcPr>
          <w:p>
            <w:r>
              <w:t>Extraction</w:t>
            </w:r>
          </w:p>
        </w:tc>
        <w:tc>
          <w:tcPr>
            <w:tcW w:type="dxa" w:w="6480"/>
            <w:shd w:fill="F4F7FA"/>
            <w:vAlign w:val="center"/>
          </w:tcPr>
          <w:p>
            <w:r>
              <w:t>Validate schema, omissions and transcription accuracy</w:t>
            </w:r>
          </w:p>
        </w:tc>
      </w:tr>
      <w:tr>
        <w:tc>
          <w:tcPr>
            <w:tcW w:type="dxa" w:w="3024"/>
            <w:vAlign w:val="center"/>
          </w:tcPr>
          <w:p>
            <w:r>
              <w:t>Drafting</w:t>
            </w:r>
          </w:p>
        </w:tc>
        <w:tc>
          <w:tcPr>
            <w:tcW w:type="dxa" w:w="6480"/>
            <w:vAlign w:val="center"/>
          </w:tcPr>
          <w:p>
            <w:r>
              <w:t>Separate generated wording from approved institutional positions</w:t>
            </w:r>
          </w:p>
        </w:tc>
      </w:tr>
      <w:tr>
        <w:tc>
          <w:tcPr>
            <w:tcW w:type="dxa" w:w="3024"/>
            <w:shd w:fill="F4F7FA"/>
            <w:vAlign w:val="center"/>
          </w:tcPr>
          <w:p>
            <w:r>
              <w:t>Classification</w:t>
            </w:r>
          </w:p>
        </w:tc>
        <w:tc>
          <w:tcPr>
            <w:tcW w:type="dxa" w:w="6480"/>
            <w:shd w:fill="F4F7FA"/>
            <w:vAlign w:val="center"/>
          </w:tcPr>
          <w:p>
            <w:r>
              <w:t>Measure error by class and affected subgroup</w:t>
            </w:r>
          </w:p>
        </w:tc>
      </w:tr>
      <w:tr>
        <w:tc>
          <w:tcPr>
            <w:tcW w:type="dxa" w:w="3024"/>
            <w:vAlign w:val="center"/>
          </w:tcPr>
          <w:p>
            <w:r>
              <w:t>Code support</w:t>
            </w:r>
          </w:p>
        </w:tc>
        <w:tc>
          <w:tcPr>
            <w:tcW w:type="dxa" w:w="6480"/>
            <w:vAlign w:val="center"/>
          </w:tcPr>
          <w:p>
            <w:r>
              <w:t>Test correctness, security and license implications</w:t>
            </w:r>
          </w:p>
        </w:tc>
      </w:tr>
    </w:tbl>
    <w:p/>
    <w:p>
      <w:r>
        <w:t>A successful demonstration is evidence about one defined setting. It is not authorization for another population, dataset or consequential workflow.</w:t>
      </w:r>
    </w:p>
    <w:p>
      <w:r>
        <w:br w:type="page"/>
      </w:r>
    </w:p>
    <w:p>
      <w:pPr>
        <w:pStyle w:val="LessonLabel"/>
      </w:pPr>
      <w:r>
        <w:t>LIMITATIONS</w:t>
      </w:r>
    </w:p>
    <w:p>
      <w:pPr>
        <w:pStyle w:val="Heading1"/>
      </w:pPr>
      <w:r>
        <w:t>Confabulation and Unsupported Specificity</w:t>
      </w:r>
    </w:p>
    <w:p>
      <w:r>
        <w:t>A model can generate a plausible statement not supported by the available evidence. NIST uses confabulation to describe confidently stated but erroneous or false content. The term keeps attention on observable output rather than implying a human mental state.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Fabricated citation</w:t>
            </w:r>
          </w:p>
        </w:tc>
        <w:tc>
          <w:tcPr>
            <w:tcW w:type="dxa" w:w="6480"/>
            <w:vAlign w:val="center"/>
          </w:tcPr>
          <w:p>
            <w:r>
              <w:t>Reference does not exist or does not support the claim</w:t>
            </w:r>
          </w:p>
        </w:tc>
      </w:tr>
      <w:tr>
        <w:tc>
          <w:tcPr>
            <w:tcW w:type="dxa" w:w="3024"/>
            <w:shd w:fill="F4F7FA"/>
            <w:vAlign w:val="center"/>
          </w:tcPr>
          <w:p>
            <w:r>
              <w:t>Altered number</w:t>
            </w:r>
          </w:p>
        </w:tc>
        <w:tc>
          <w:tcPr>
            <w:tcW w:type="dxa" w:w="6480"/>
            <w:shd w:fill="F4F7FA"/>
            <w:vAlign w:val="center"/>
          </w:tcPr>
          <w:p>
            <w:r>
              <w:t>Value, unit, period or status changes</w:t>
            </w:r>
          </w:p>
        </w:tc>
      </w:tr>
      <w:tr>
        <w:tc>
          <w:tcPr>
            <w:tcW w:type="dxa" w:w="3024"/>
            <w:vAlign w:val="center"/>
          </w:tcPr>
          <w:p>
            <w:r>
              <w:t>False completion</w:t>
            </w:r>
          </w:p>
        </w:tc>
        <w:tc>
          <w:tcPr>
            <w:tcW w:type="dxa" w:w="6480"/>
            <w:vAlign w:val="center"/>
          </w:tcPr>
          <w:p>
            <w:r>
              <w:t>Missing evidence is filled with a plausible detail</w:t>
            </w:r>
          </w:p>
        </w:tc>
      </w:tr>
      <w:tr>
        <w:tc>
          <w:tcPr>
            <w:tcW w:type="dxa" w:w="3024"/>
            <w:shd w:fill="F4F7FA"/>
            <w:vAlign w:val="center"/>
          </w:tcPr>
          <w:p>
            <w:r>
              <w:t>Source blending</w:t>
            </w:r>
          </w:p>
        </w:tc>
        <w:tc>
          <w:tcPr>
            <w:tcW w:type="dxa" w:w="6480"/>
            <w:shd w:fill="F4F7FA"/>
            <w:vAlign w:val="center"/>
          </w:tcPr>
          <w:p>
            <w:r>
              <w:t>Claims from different documents are combined incorrectly</w:t>
            </w:r>
          </w:p>
        </w:tc>
      </w:tr>
      <w:tr>
        <w:tc>
          <w:tcPr>
            <w:tcW w:type="dxa" w:w="3024"/>
            <w:vAlign w:val="center"/>
          </w:tcPr>
          <w:p>
            <w:r>
              <w:t>Overclaim</w:t>
            </w:r>
          </w:p>
        </w:tc>
        <w:tc>
          <w:tcPr>
            <w:tcW w:type="dxa" w:w="6480"/>
            <w:vAlign w:val="center"/>
          </w:tcPr>
          <w:p>
            <w:r>
              <w:t>Uncertainty or limitation disappears in the summary</w:t>
            </w:r>
          </w:p>
        </w:tc>
      </w:tr>
    </w:tbl>
    <w:p/>
    <w:p>
      <w:r>
        <w:t>Controls include retrieval from authorized sources, claim decomposition, citations, deterministic calculations, review thresholds and refusal or escalation when evidence is insufficient.</w:t>
      </w:r>
    </w:p>
    <w:p>
      <w:r>
        <w:br w:type="page"/>
      </w:r>
    </w:p>
    <w:p>
      <w:pPr>
        <w:pStyle w:val="LessonLabel"/>
      </w:pPr>
      <w:r>
        <w:t>LIMITATIONS</w:t>
      </w:r>
    </w:p>
    <w:p>
      <w:pPr>
        <w:pStyle w:val="Heading1"/>
      </w:pPr>
      <w:r>
        <w:t>Output Agreement Does Not Prove Reasoning</w:t>
      </w:r>
    </w:p>
    <w:p>
      <w:r>
        <w:t>A correct answer on one case does not reveal the internal route, reliability under variation or behaviour on the next case. The model may exploit shortcuts, memorize patterns, infer correctly or arrive at the answer through an unstable sequence of steps.</w:t>
      </w:r>
    </w:p>
    <w:p>
      <w:pPr>
        <w:pStyle w:val="ListBullet"/>
      </w:pPr>
      <w:r>
        <w:t>Vary surface form while preserving meaning.</w:t>
      </w:r>
    </w:p>
    <w:p>
      <w:pPr>
        <w:pStyle w:val="ListBullet"/>
      </w:pPr>
      <w:r>
        <w:t>Test counterexamples and boundary cases.</w:t>
      </w:r>
    </w:p>
    <w:p>
      <w:pPr>
        <w:pStyle w:val="ListBullet"/>
      </w:pPr>
      <w:r>
        <w:t>Separate final-answer scoring from evidence and process checks.</w:t>
      </w:r>
    </w:p>
    <w:p>
      <w:pPr>
        <w:pStyle w:val="ListBullet"/>
      </w:pPr>
      <w:r>
        <w:t>Compare repeated runs when sampling is enabled.</w:t>
      </w:r>
    </w:p>
    <w:p>
      <w:pPr>
        <w:pStyle w:val="ListBullet"/>
      </w:pPr>
      <w:r>
        <w:t>Use external tools for calculations that require exactness.</w:t>
      </w:r>
    </w:p>
    <w:p>
      <w:r>
        <w:rPr>
          <w:b/>
          <w:color w:val="1F4E79"/>
        </w:rPr>
        <w:t xml:space="preserve">Thinking box: </w:t>
      </w:r>
      <w:r>
        <w:t>What additional evidence would you require if the output affected payment, eligibility, official publication or safety?</w:t>
      </w:r>
    </w:p>
    <w:p>
      <w:r>
        <w:br w:type="page"/>
      </w:r>
    </w:p>
    <w:p>
      <w:pPr>
        <w:pStyle w:val="LessonLabel"/>
      </w:pPr>
      <w:r>
        <w:t>GROUNDING</w:t>
      </w:r>
    </w:p>
    <w:p>
      <w:pPr>
        <w:pStyle w:val="Heading1"/>
      </w:pPr>
      <w:r>
        <w:t>Parametric Memory and Retrieval</w:t>
      </w:r>
    </w:p>
    <w:p>
      <w:r>
        <w:t>Parametric memory is encoded in learned weights. Retrieval introduces external records at inference time. Retrieval-augmented generation can improve specificity, updateability and provenance, but only if retrieval finds authoritative passages and the generator uses them faithfully.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Indexing</w:t>
            </w:r>
          </w:p>
        </w:tc>
        <w:tc>
          <w:tcPr>
            <w:tcW w:type="dxa" w:w="6480"/>
            <w:vAlign w:val="center"/>
          </w:tcPr>
          <w:p>
            <w:r>
              <w:t>Represent and organize eligible sources</w:t>
            </w:r>
          </w:p>
        </w:tc>
      </w:tr>
      <w:tr>
        <w:tc>
          <w:tcPr>
            <w:tcW w:type="dxa" w:w="3024"/>
            <w:shd w:fill="F4F7FA"/>
            <w:vAlign w:val="center"/>
          </w:tcPr>
          <w:p>
            <w:r>
              <w:t>Retrieval</w:t>
            </w:r>
          </w:p>
        </w:tc>
        <w:tc>
          <w:tcPr>
            <w:tcW w:type="dxa" w:w="6480"/>
            <w:shd w:fill="F4F7FA"/>
            <w:vAlign w:val="center"/>
          </w:tcPr>
          <w:p>
            <w:r>
              <w:t>Select passages for the current request</w:t>
            </w:r>
          </w:p>
        </w:tc>
      </w:tr>
      <w:tr>
        <w:tc>
          <w:tcPr>
            <w:tcW w:type="dxa" w:w="3024"/>
            <w:vAlign w:val="center"/>
          </w:tcPr>
          <w:p>
            <w:r>
              <w:t>Reranking</w:t>
            </w:r>
          </w:p>
        </w:tc>
        <w:tc>
          <w:tcPr>
            <w:tcW w:type="dxa" w:w="6480"/>
            <w:vAlign w:val="center"/>
          </w:tcPr>
          <w:p>
            <w:r>
              <w:t>Reorder candidates using stronger relevance evidence</w:t>
            </w:r>
          </w:p>
        </w:tc>
      </w:tr>
      <w:tr>
        <w:tc>
          <w:tcPr>
            <w:tcW w:type="dxa" w:w="3024"/>
            <w:shd w:fill="F4F7FA"/>
            <w:vAlign w:val="center"/>
          </w:tcPr>
          <w:p>
            <w:r>
              <w:t>Generation</w:t>
            </w:r>
          </w:p>
        </w:tc>
        <w:tc>
          <w:tcPr>
            <w:tcW w:type="dxa" w:w="6480"/>
            <w:shd w:fill="F4F7FA"/>
            <w:vAlign w:val="center"/>
          </w:tcPr>
          <w:p>
            <w:r>
              <w:t>Produce an answer conditioned on retained passages</w:t>
            </w:r>
          </w:p>
        </w:tc>
      </w:tr>
      <w:tr>
        <w:tc>
          <w:tcPr>
            <w:tcW w:type="dxa" w:w="3024"/>
            <w:vAlign w:val="center"/>
          </w:tcPr>
          <w:p>
            <w:r>
              <w:t>Verification</w:t>
            </w:r>
          </w:p>
        </w:tc>
        <w:tc>
          <w:tcPr>
            <w:tcW w:type="dxa" w:w="6480"/>
            <w:vAlign w:val="center"/>
          </w:tcPr>
          <w:p>
            <w:r>
              <w:t>Check each material claim against its cited support</w:t>
            </w:r>
          </w:p>
        </w:tc>
      </w:tr>
    </w:tbl>
    <w:p/>
    <w:p>
      <w:r>
        <w:t>Retrieval failure and generation failure must be measured separately. A perfect answer is impossible when the decisive source was never retrieved, but retrieved evidence can also be ignored or contradicted.</w:t>
      </w:r>
    </w:p>
    <w:p>
      <w:r>
        <w:br w:type="page"/>
      </w:r>
    </w:p>
    <w:p>
      <w:pPr>
        <w:pStyle w:val="LessonLabel"/>
      </w:pPr>
      <w:r>
        <w:t>GROUNDING</w:t>
      </w:r>
    </w:p>
    <w:p>
      <w:pPr>
        <w:pStyle w:val="Heading1"/>
      </w:pPr>
      <w:r>
        <w:t>Claim Level Evidence and Citation Discipline</w:t>
      </w:r>
    </w:p>
    <w:p>
      <w:r>
        <w:t>Groundedness asks whether material claims are supported by identified evidence. A document-level citation may be insufficient when one sentence combines several values, periods or qualifications. Claim-level tracing makes verification and correction faster.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Claim</w:t>
            </w:r>
          </w:p>
        </w:tc>
        <w:tc>
          <w:tcPr>
            <w:tcW w:type="dxa" w:w="6480"/>
            <w:vAlign w:val="center"/>
          </w:tcPr>
          <w:p>
            <w:r>
              <w:t>Quarterly revenue was USD 12.4 million</w:t>
            </w:r>
          </w:p>
        </w:tc>
      </w:tr>
      <w:tr>
        <w:tc>
          <w:tcPr>
            <w:tcW w:type="dxa" w:w="3024"/>
            <w:shd w:fill="F4F7FA"/>
            <w:vAlign w:val="center"/>
          </w:tcPr>
          <w:p>
            <w:r>
              <w:t>Source span</w:t>
            </w:r>
          </w:p>
        </w:tc>
        <w:tc>
          <w:tcPr>
            <w:tcW w:type="dxa" w:w="6480"/>
            <w:shd w:fill="F4F7FA"/>
            <w:vAlign w:val="center"/>
          </w:tcPr>
          <w:p>
            <w:r>
              <w:t>Authorized table cell and associated note</w:t>
            </w:r>
          </w:p>
        </w:tc>
      </w:tr>
      <w:tr>
        <w:tc>
          <w:tcPr>
            <w:tcW w:type="dxa" w:w="3024"/>
            <w:vAlign w:val="center"/>
          </w:tcPr>
          <w:p>
            <w:r>
              <w:t>Qualifier</w:t>
            </w:r>
          </w:p>
        </w:tc>
        <w:tc>
          <w:tcPr>
            <w:tcW w:type="dxa" w:w="6480"/>
            <w:vAlign w:val="center"/>
          </w:tcPr>
          <w:p>
            <w:r>
              <w:t>Provisional pending audit</w:t>
            </w:r>
          </w:p>
        </w:tc>
      </w:tr>
      <w:tr>
        <w:tc>
          <w:tcPr>
            <w:tcW w:type="dxa" w:w="3024"/>
            <w:shd w:fill="F4F7FA"/>
            <w:vAlign w:val="center"/>
          </w:tcPr>
          <w:p>
            <w:r>
              <w:t>Verification</w:t>
            </w:r>
          </w:p>
        </w:tc>
        <w:tc>
          <w:tcPr>
            <w:tcW w:type="dxa" w:w="6480"/>
            <w:shd w:fill="F4F7FA"/>
            <w:vAlign w:val="center"/>
          </w:tcPr>
          <w:p>
            <w:r>
              <w:t>Value, unit, period and status all match</w:t>
            </w:r>
          </w:p>
        </w:tc>
      </w:tr>
      <w:tr>
        <w:tc>
          <w:tcPr>
            <w:tcW w:type="dxa" w:w="3024"/>
            <w:vAlign w:val="center"/>
          </w:tcPr>
          <w:p>
            <w:r>
              <w:t>Disposition</w:t>
            </w:r>
          </w:p>
        </w:tc>
        <w:tc>
          <w:tcPr>
            <w:tcW w:type="dxa" w:w="6480"/>
            <w:vAlign w:val="center"/>
          </w:tcPr>
          <w:p>
            <w:r>
              <w:t>Approve, revise, reject or escalate</w:t>
            </w:r>
          </w:p>
        </w:tc>
      </w:tr>
    </w:tbl>
    <w:p/>
    <w:p>
      <w:r>
        <w:t>A citation is not proof by itself. The cited passage must exist, be authoritative for the claim, and support the meaning attributed to it.</w:t>
      </w:r>
    </w:p>
    <w:p>
      <w:r>
        <w:br w:type="page"/>
      </w:r>
    </w:p>
    <w:p>
      <w:pPr>
        <w:pStyle w:val="LessonLabel"/>
      </w:pPr>
      <w:r>
        <w:t>SYSTEMS</w:t>
      </w:r>
    </w:p>
    <w:p>
      <w:pPr>
        <w:pStyle w:val="Heading1"/>
      </w:pPr>
      <w:r>
        <w:t>Tools Functions and Deterministic Computation</w:t>
      </w:r>
    </w:p>
    <w:p>
      <w:r>
        <w:t>An application may allow a model to call a database, calculator, search service or business function. The model proposes a structured action; the surrounding system validates permissions and executes it. Tool integration can improve accuracy but creates security and authorization risks.</w:t>
      </w:r>
    </w:p>
    <w:p>
      <w:pPr>
        <w:pStyle w:val="ListBullet"/>
      </w:pPr>
      <w:r>
        <w:t>Validate arguments against a strict schema.</w:t>
      </w:r>
    </w:p>
    <w:p>
      <w:pPr>
        <w:pStyle w:val="ListBullet"/>
      </w:pPr>
      <w:r>
        <w:t>Apply least-privilege access independently of model text.</w:t>
      </w:r>
    </w:p>
    <w:p>
      <w:pPr>
        <w:pStyle w:val="ListBullet"/>
      </w:pPr>
      <w:r>
        <w:t>Require confirmation for consequential or irreversible actions.</w:t>
      </w:r>
    </w:p>
    <w:p>
      <w:pPr>
        <w:pStyle w:val="ListBullet"/>
      </w:pPr>
      <w:r>
        <w:t>Treat retrieved content as untrusted input.</w:t>
      </w:r>
    </w:p>
    <w:p>
      <w:pPr>
        <w:pStyle w:val="ListBullet"/>
      </w:pPr>
      <w:r>
        <w:t>Log tool requests, results, errors and human approvals.</w:t>
      </w:r>
    </w:p>
    <w:p>
      <w:r>
        <w:t>Never assume that because a model can describe an action it is authorized to perform it.</w:t>
      </w:r>
    </w:p>
    <w:p>
      <w:r>
        <w:br w:type="page"/>
      </w:r>
    </w:p>
    <w:p>
      <w:pPr>
        <w:pStyle w:val="LessonLabel"/>
      </w:pPr>
      <w:r>
        <w:t>SYSTEMS</w:t>
      </w:r>
    </w:p>
    <w:p>
      <w:pPr>
        <w:pStyle w:val="Heading1"/>
      </w:pPr>
      <w:r>
        <w:t>Agentic Loops and Control Boundaries</w:t>
      </w:r>
    </w:p>
    <w:p>
      <w:r>
        <w:t>Agentic systems iterate among planning, tool use, observation and revision. Each additional step can improve task completion while expanding the opportunity for compounding error, prompt injection, excessive access and unclear responsibility.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Plan</w:t>
            </w:r>
          </w:p>
        </w:tc>
        <w:tc>
          <w:tcPr>
            <w:tcW w:type="dxa" w:w="6480"/>
            <w:vAlign w:val="center"/>
          </w:tcPr>
          <w:p>
            <w:r>
              <w:t>Decompose a goal within allowed scope</w:t>
            </w:r>
          </w:p>
        </w:tc>
      </w:tr>
      <w:tr>
        <w:tc>
          <w:tcPr>
            <w:tcW w:type="dxa" w:w="3024"/>
            <w:shd w:fill="F4F7FA"/>
            <w:vAlign w:val="center"/>
          </w:tcPr>
          <w:p>
            <w:r>
              <w:t>Act</w:t>
            </w:r>
          </w:p>
        </w:tc>
        <w:tc>
          <w:tcPr>
            <w:tcW w:type="dxa" w:w="6480"/>
            <w:shd w:fill="F4F7FA"/>
            <w:vAlign w:val="center"/>
          </w:tcPr>
          <w:p>
            <w:r>
              <w:t>Invoke an authorized tool with validated arguments</w:t>
            </w:r>
          </w:p>
        </w:tc>
      </w:tr>
      <w:tr>
        <w:tc>
          <w:tcPr>
            <w:tcW w:type="dxa" w:w="3024"/>
            <w:vAlign w:val="center"/>
          </w:tcPr>
          <w:p>
            <w:r>
              <w:t>Observe</w:t>
            </w:r>
          </w:p>
        </w:tc>
        <w:tc>
          <w:tcPr>
            <w:tcW w:type="dxa" w:w="6480"/>
            <w:vAlign w:val="center"/>
          </w:tcPr>
          <w:p>
            <w:r>
              <w:t>Receive and classify results or errors</w:t>
            </w:r>
          </w:p>
        </w:tc>
      </w:tr>
      <w:tr>
        <w:tc>
          <w:tcPr>
            <w:tcW w:type="dxa" w:w="3024"/>
            <w:shd w:fill="F4F7FA"/>
            <w:vAlign w:val="center"/>
          </w:tcPr>
          <w:p>
            <w:r>
              <w:t>Revise</w:t>
            </w:r>
          </w:p>
        </w:tc>
        <w:tc>
          <w:tcPr>
            <w:tcW w:type="dxa" w:w="6480"/>
            <w:shd w:fill="F4F7FA"/>
            <w:vAlign w:val="center"/>
          </w:tcPr>
          <w:p>
            <w:r>
              <w:t>Update the plan without silently expanding authority</w:t>
            </w:r>
          </w:p>
        </w:tc>
      </w:tr>
      <w:tr>
        <w:tc>
          <w:tcPr>
            <w:tcW w:type="dxa" w:w="3024"/>
            <w:vAlign w:val="center"/>
          </w:tcPr>
          <w:p>
            <w:r>
              <w:t>Stop</w:t>
            </w:r>
          </w:p>
        </w:tc>
        <w:tc>
          <w:tcPr>
            <w:tcW w:type="dxa" w:w="6480"/>
            <w:vAlign w:val="center"/>
          </w:tcPr>
          <w:p>
            <w:r>
              <w:t>Complete, refuse or escalate using explicit criteria</w:t>
            </w:r>
          </w:p>
        </w:tc>
      </w:tr>
    </w:tbl>
    <w:p/>
    <w:p>
      <w:r>
        <w:t>Bound autonomy by budget, time, tools, data, side effects and approval gates. The accountable institution—not the model—owns the decision to deploy and the consequences of operation.</w:t>
      </w:r>
    </w:p>
    <w:p>
      <w:r>
        <w:br w:type="page"/>
      </w:r>
    </w:p>
    <w:p>
      <w:pPr>
        <w:pStyle w:val="LessonLabel"/>
      </w:pPr>
      <w:r>
        <w:t>EVALUATION</w:t>
      </w:r>
    </w:p>
    <w:p>
      <w:pPr>
        <w:pStyle w:val="Heading1"/>
      </w:pPr>
      <w:r>
        <w:t>Separate the Dimensions That Matter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Dimension</w:t>
            </w:r>
          </w:p>
        </w:tc>
        <w:tc>
          <w:tcPr>
            <w:tcW w:type="dxa" w:w="4939"/>
            <w:shd w:fill="1F4E79"/>
            <w:vAlign w:val="center"/>
          </w:tcPr>
          <w:p>
            <w:r>
              <w:rPr>
                <w:b/>
                <w:color w:val="FFFFFF"/>
              </w:rPr>
              <w:t>Evaluation question</w:t>
            </w:r>
          </w:p>
        </w:tc>
      </w:tr>
      <w:tr>
        <w:tc>
          <w:tcPr>
            <w:tcW w:type="dxa" w:w="3024"/>
            <w:vAlign w:val="center"/>
          </w:tcPr>
          <w:p>
            <w:r>
              <w:t>Fluency</w:t>
            </w:r>
          </w:p>
        </w:tc>
        <w:tc>
          <w:tcPr>
            <w:tcW w:type="dxa" w:w="6480"/>
            <w:vAlign w:val="center"/>
          </w:tcPr>
          <w:p>
            <w:r>
              <w:t>Coherence, readability and relevance</w:t>
            </w:r>
          </w:p>
        </w:tc>
      </w:tr>
      <w:tr>
        <w:tc>
          <w:tcPr>
            <w:tcW w:type="dxa" w:w="3024"/>
            <w:shd w:fill="F4F7FA"/>
            <w:vAlign w:val="center"/>
          </w:tcPr>
          <w:p>
            <w:r>
              <w:t>Groundedness</w:t>
            </w:r>
          </w:p>
        </w:tc>
        <w:tc>
          <w:tcPr>
            <w:tcW w:type="dxa" w:w="6480"/>
            <w:shd w:fill="F4F7FA"/>
            <w:vAlign w:val="center"/>
          </w:tcPr>
          <w:p>
            <w:r>
              <w:t>Support from authorized evidence</w:t>
            </w:r>
          </w:p>
        </w:tc>
      </w:tr>
      <w:tr>
        <w:tc>
          <w:tcPr>
            <w:tcW w:type="dxa" w:w="3024"/>
            <w:vAlign w:val="center"/>
          </w:tcPr>
          <w:p>
            <w:r>
              <w:t>Correctness</w:t>
            </w:r>
          </w:p>
        </w:tc>
        <w:tc>
          <w:tcPr>
            <w:tcW w:type="dxa" w:w="6480"/>
            <w:vAlign w:val="center"/>
          </w:tcPr>
          <w:p>
            <w:r>
              <w:t>Agreement with verified reality</w:t>
            </w:r>
          </w:p>
        </w:tc>
      </w:tr>
      <w:tr>
        <w:tc>
          <w:tcPr>
            <w:tcW w:type="dxa" w:w="3024"/>
            <w:shd w:fill="F4F7FA"/>
            <w:vAlign w:val="center"/>
          </w:tcPr>
          <w:p>
            <w:r>
              <w:t>Robustness</w:t>
            </w:r>
          </w:p>
        </w:tc>
        <w:tc>
          <w:tcPr>
            <w:tcW w:type="dxa" w:w="6480"/>
            <w:shd w:fill="F4F7FA"/>
            <w:vAlign w:val="center"/>
          </w:tcPr>
          <w:p>
            <w:r>
              <w:t>Stability across valid variation and perturbation</w:t>
            </w:r>
          </w:p>
        </w:tc>
      </w:tr>
      <w:tr>
        <w:tc>
          <w:tcPr>
            <w:tcW w:type="dxa" w:w="3024"/>
            <w:vAlign w:val="center"/>
          </w:tcPr>
          <w:p>
            <w:r>
              <w:t>Safety</w:t>
            </w:r>
          </w:p>
        </w:tc>
        <w:tc>
          <w:tcPr>
            <w:tcW w:type="dxa" w:w="6480"/>
            <w:vAlign w:val="center"/>
          </w:tcPr>
          <w:p>
            <w:r>
              <w:t>Avoidance of prohibited or harmful behaviour</w:t>
            </w:r>
          </w:p>
        </w:tc>
      </w:tr>
      <w:tr>
        <w:tc>
          <w:tcPr>
            <w:tcW w:type="dxa" w:w="3024"/>
            <w:shd w:fill="F4F7FA"/>
            <w:vAlign w:val="center"/>
          </w:tcPr>
          <w:p>
            <w:r>
              <w:t>Decision fitness</w:t>
            </w:r>
          </w:p>
        </w:tc>
        <w:tc>
          <w:tcPr>
            <w:tcW w:type="dxa" w:w="6480"/>
            <w:shd w:fill="F4F7FA"/>
            <w:vAlign w:val="center"/>
          </w:tcPr>
          <w:p>
            <w:r>
              <w:t>Suitability for the actual accountable workflow</w:t>
            </w:r>
          </w:p>
        </w:tc>
      </w:tr>
    </w:tbl>
    <w:p/>
    <w:p>
      <w:r>
        <w:t>A single composite score can hide a material failure. Report dimensions separately, define thresholds in advance and preserve failure examples. Evaluation should reflect the intended languages, populations, document types and consequences.</w:t>
      </w:r>
    </w:p>
    <w:p>
      <w:r>
        <w:rPr>
          <w:b/>
          <w:color w:val="1F4E79"/>
        </w:rPr>
        <w:t xml:space="preserve">Key distinction: </w:t>
      </w:r>
      <w:r>
        <w:t>A fluent answer can be wrong; a grounded answer can be incomplete; a correct answer can still be unauthorized.</w:t>
      </w:r>
    </w:p>
    <w:p>
      <w:r>
        <w:br w:type="page"/>
      </w:r>
    </w:p>
    <w:p>
      <w:pPr>
        <w:pStyle w:val="LessonLabel"/>
      </w:pPr>
      <w:r>
        <w:t>EVALUATION</w:t>
      </w:r>
    </w:p>
    <w:p>
      <w:pPr>
        <w:pStyle w:val="Heading1"/>
      </w:pPr>
      <w:r>
        <w:t>Designing Credible Evaluation</w:t>
      </w:r>
    </w:p>
    <w:p>
      <w:pPr>
        <w:pStyle w:val="ListBullet"/>
      </w:pPr>
      <w:r>
        <w:t>Define intended and excluded uses before selecting metrics.</w:t>
      </w:r>
    </w:p>
    <w:p>
      <w:pPr>
        <w:pStyle w:val="ListBullet"/>
      </w:pPr>
      <w:r>
        <w:t>Build representative and challenge sets without test contamination.</w:t>
      </w:r>
    </w:p>
    <w:p>
      <w:pPr>
        <w:pStyle w:val="ListBullet"/>
      </w:pPr>
      <w:r>
        <w:t>Preserve reference answers, source evidence and scoring rubrics.</w:t>
      </w:r>
    </w:p>
    <w:p>
      <w:pPr>
        <w:pStyle w:val="ListBullet"/>
      </w:pPr>
      <w:r>
        <w:t>Use qualified human review where judgment is necessary.</w:t>
      </w:r>
    </w:p>
    <w:p>
      <w:pPr>
        <w:pStyle w:val="ListBullet"/>
      </w:pPr>
      <w:r>
        <w:t>Measure subgroup and language performance when impacts differ.</w:t>
      </w:r>
    </w:p>
    <w:p>
      <w:pPr>
        <w:pStyle w:val="ListBullet"/>
      </w:pPr>
      <w:r>
        <w:t>Record model, prompt, retrieval and decoding versions.</w:t>
      </w:r>
    </w:p>
    <w:p>
      <w:pPr>
        <w:pStyle w:val="ListBullet"/>
      </w:pPr>
      <w:r>
        <w:t>Retest after material system changes.</w:t>
      </w:r>
    </w:p>
    <w:p>
      <w:r>
        <w:t>Evaluation evidence has an information boundary. Results support claims only for the tested configuration and distribution. Moving from a pilot to production changes users, incentives, data and failure consequences.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Offline</w:t>
            </w:r>
          </w:p>
        </w:tc>
        <w:tc>
          <w:tcPr>
            <w:tcW w:type="dxa" w:w="6480"/>
            <w:vAlign w:val="center"/>
          </w:tcPr>
          <w:p>
            <w:r>
              <w:t>Controlled datasets, scenarios and red-team cases</w:t>
            </w:r>
          </w:p>
        </w:tc>
      </w:tr>
      <w:tr>
        <w:tc>
          <w:tcPr>
            <w:tcW w:type="dxa" w:w="3024"/>
            <w:shd w:fill="F4F7FA"/>
            <w:vAlign w:val="center"/>
          </w:tcPr>
          <w:p>
            <w:r>
              <w:t>Pilot</w:t>
            </w:r>
          </w:p>
        </w:tc>
        <w:tc>
          <w:tcPr>
            <w:tcW w:type="dxa" w:w="6480"/>
            <w:shd w:fill="F4F7FA"/>
            <w:vAlign w:val="center"/>
          </w:tcPr>
          <w:p>
            <w:r>
              <w:t>Limited users and monitored workflows</w:t>
            </w:r>
          </w:p>
        </w:tc>
      </w:tr>
      <w:tr>
        <w:tc>
          <w:tcPr>
            <w:tcW w:type="dxa" w:w="3024"/>
            <w:vAlign w:val="center"/>
          </w:tcPr>
          <w:p>
            <w:r>
              <w:t>Production</w:t>
            </w:r>
          </w:p>
        </w:tc>
        <w:tc>
          <w:tcPr>
            <w:tcW w:type="dxa" w:w="6480"/>
            <w:vAlign w:val="center"/>
          </w:tcPr>
          <w:p>
            <w:r>
              <w:t>Live performance, incidents, drift and human outcomes</w:t>
            </w:r>
          </w:p>
        </w:tc>
      </w:tr>
    </w:tbl>
    <w:p/>
    <w:p>
      <w:r>
        <w:br w:type="page"/>
      </w:r>
    </w:p>
    <w:p>
      <w:pPr>
        <w:pStyle w:val="LessonLabel"/>
      </w:pPr>
      <w:r>
        <w:t>EVALUATION</w:t>
      </w:r>
    </w:p>
    <w:p>
      <w:pPr>
        <w:pStyle w:val="Heading1"/>
      </w:pPr>
      <w:r>
        <w:t>Human Review Without False Assurance</w:t>
      </w:r>
    </w:p>
    <w:p>
      <w:r>
        <w:t>Human review is effective only when reviewers have time, authority, evidence and a clear rubric. Asking a person to approve large volumes of plausible text can create automation bias and rubber-stamping.</w:t>
      </w:r>
    </w:p>
    <w:p>
      <w:pPr>
        <w:pStyle w:val="ListBullet"/>
      </w:pPr>
      <w:r>
        <w:t>Display source evidence beside generated claims.</w:t>
      </w:r>
    </w:p>
    <w:p>
      <w:pPr>
        <w:pStyle w:val="ListBullet"/>
      </w:pPr>
      <w:r>
        <w:t>Highlight uncertainty and missing evidence.</w:t>
      </w:r>
    </w:p>
    <w:p>
      <w:pPr>
        <w:pStyle w:val="ListBullet"/>
      </w:pPr>
      <w:r>
        <w:t>Prioritize high-impact differences rather than cosmetic edits.</w:t>
      </w:r>
    </w:p>
    <w:p>
      <w:pPr>
        <w:pStyle w:val="ListBullet"/>
      </w:pPr>
      <w:r>
        <w:t>Allow rejection and escalation without productivity penalties.</w:t>
      </w:r>
    </w:p>
    <w:p>
      <w:pPr>
        <w:pStyle w:val="ListBullet"/>
      </w:pPr>
      <w:r>
        <w:t>Sample approved outputs for independent quality assurance.</w:t>
      </w:r>
    </w:p>
    <w:p>
      <w:pPr>
        <w:pStyle w:val="ListBullet"/>
      </w:pPr>
      <w:r>
        <w:t>Measure reviewer agreement and correction rates.</w:t>
      </w:r>
    </w:p>
    <w:p>
      <w:r>
        <w:rPr>
          <w:b/>
          <w:color w:val="1F4E79"/>
        </w:rPr>
        <w:t xml:space="preserve">Operational test: </w:t>
      </w:r>
      <w:r>
        <w:t>If a reviewer cannot reconstruct why a claim was approved, the workflow is not adequately auditable.</w:t>
      </w:r>
    </w:p>
    <w:p>
      <w:r>
        <w:br w:type="page"/>
      </w:r>
    </w:p>
    <w:p>
      <w:pPr>
        <w:pStyle w:val="LessonLabel"/>
      </w:pPr>
      <w:r>
        <w:t>RISK AND CONTROL</w:t>
      </w:r>
    </w:p>
    <w:p>
      <w:pPr>
        <w:pStyle w:val="Heading1"/>
      </w:pPr>
      <w:r>
        <w:t>Privacy Confidentiality and Data Minimization</w:t>
      </w:r>
    </w:p>
    <w:p>
      <w:r>
        <w:t>Prompts, attachments, retrieved passages, outputs and logs can contain personal, commercial or security-sensitive information. Data protection must cover the complete application path, including vendors, plugins, caches, monitoring systems and human review queues.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Minimize</w:t>
            </w:r>
          </w:p>
        </w:tc>
        <w:tc>
          <w:tcPr>
            <w:tcW w:type="dxa" w:w="6480"/>
            <w:vAlign w:val="center"/>
          </w:tcPr>
          <w:p>
            <w:r>
              <w:t>Send only information necessary for the defined task</w:t>
            </w:r>
          </w:p>
        </w:tc>
      </w:tr>
      <w:tr>
        <w:tc>
          <w:tcPr>
            <w:tcW w:type="dxa" w:w="3024"/>
            <w:shd w:fill="F4F7FA"/>
            <w:vAlign w:val="center"/>
          </w:tcPr>
          <w:p>
            <w:r>
              <w:t>Authorize</w:t>
            </w:r>
          </w:p>
        </w:tc>
        <w:tc>
          <w:tcPr>
            <w:tcW w:type="dxa" w:w="6480"/>
            <w:shd w:fill="F4F7FA"/>
            <w:vAlign w:val="center"/>
          </w:tcPr>
          <w:p>
            <w:r>
              <w:t>Enforce purpose, role and source permissions</w:t>
            </w:r>
          </w:p>
        </w:tc>
      </w:tr>
      <w:tr>
        <w:tc>
          <w:tcPr>
            <w:tcW w:type="dxa" w:w="3024"/>
            <w:vAlign w:val="center"/>
          </w:tcPr>
          <w:p>
            <w:r>
              <w:t>Protect</w:t>
            </w:r>
          </w:p>
        </w:tc>
        <w:tc>
          <w:tcPr>
            <w:tcW w:type="dxa" w:w="6480"/>
            <w:vAlign w:val="center"/>
          </w:tcPr>
          <w:p>
            <w:r>
              <w:t>Apply encryption, isolation and secret management</w:t>
            </w:r>
          </w:p>
        </w:tc>
      </w:tr>
      <w:tr>
        <w:tc>
          <w:tcPr>
            <w:tcW w:type="dxa" w:w="3024"/>
            <w:shd w:fill="F4F7FA"/>
            <w:vAlign w:val="center"/>
          </w:tcPr>
          <w:p>
            <w:r>
              <w:t>Retain</w:t>
            </w:r>
          </w:p>
        </w:tc>
        <w:tc>
          <w:tcPr>
            <w:tcW w:type="dxa" w:w="6480"/>
            <w:shd w:fill="F4F7FA"/>
            <w:vAlign w:val="center"/>
          </w:tcPr>
          <w:p>
            <w:r>
              <w:t>Define justified periods for prompts, outputs and traces</w:t>
            </w:r>
          </w:p>
        </w:tc>
      </w:tr>
      <w:tr>
        <w:tc>
          <w:tcPr>
            <w:tcW w:type="dxa" w:w="3024"/>
            <w:vAlign w:val="center"/>
          </w:tcPr>
          <w:p>
            <w:r>
              <w:t>Delete</w:t>
            </w:r>
          </w:p>
        </w:tc>
        <w:tc>
          <w:tcPr>
            <w:tcW w:type="dxa" w:w="6480"/>
            <w:vAlign w:val="center"/>
          </w:tcPr>
          <w:p>
            <w:r>
              <w:t>Verify deletion obligations across components and providers</w:t>
            </w:r>
          </w:p>
        </w:tc>
      </w:tr>
    </w:tbl>
    <w:p/>
    <w:p>
      <w:r>
        <w:t>Do not paste sensitive records into an unapproved service merely because the interface is convenient.</w:t>
      </w:r>
    </w:p>
    <w:p>
      <w:r>
        <w:br w:type="page"/>
      </w:r>
    </w:p>
    <w:p>
      <w:pPr>
        <w:pStyle w:val="LessonLabel"/>
      </w:pPr>
      <w:r>
        <w:t>RISK AND CONTROL</w:t>
      </w:r>
    </w:p>
    <w:p>
      <w:pPr>
        <w:pStyle w:val="Heading1"/>
      </w:pPr>
      <w:r>
        <w:t>Prompt Injection and Untrusted Content</w:t>
      </w:r>
    </w:p>
    <w:p>
      <w:r>
        <w:t>Retrieved documents and webpages may contain instructions designed to redirect the model, disclose information or misuse tools. Because models process instructions and data through the same representational channel, application controls must distinguish authority outside the model.</w:t>
      </w:r>
    </w:p>
    <w:p>
      <w:pPr>
        <w:pStyle w:val="ListBullet"/>
      </w:pPr>
      <w:r>
        <w:t>Treat external content as data, not instructions.</w:t>
      </w:r>
    </w:p>
    <w:p>
      <w:pPr>
        <w:pStyle w:val="ListBullet"/>
      </w:pPr>
      <w:r>
        <w:t>Separate trusted policy from untrusted retrieved text.</w:t>
      </w:r>
    </w:p>
    <w:p>
      <w:pPr>
        <w:pStyle w:val="ListBullet"/>
      </w:pPr>
      <w:r>
        <w:t>Restrict tools and data through conventional access controls.</w:t>
      </w:r>
    </w:p>
    <w:p>
      <w:pPr>
        <w:pStyle w:val="ListBullet"/>
      </w:pPr>
      <w:r>
        <w:t>Validate outputs before they enter commands, queries or messages.</w:t>
      </w:r>
    </w:p>
    <w:p>
      <w:pPr>
        <w:pStyle w:val="ListBullet"/>
      </w:pPr>
      <w:r>
        <w:t>Test indirect prompt injection and data-exfiltration scenarios.</w:t>
      </w:r>
    </w:p>
    <w:p>
      <w:pPr>
        <w:pStyle w:val="ListBullet"/>
      </w:pPr>
      <w:r>
        <w:t>Escalate anomalous requests and tool sequences.</w:t>
      </w:r>
    </w:p>
    <w:p>
      <w:r>
        <w:br w:type="page"/>
      </w:r>
    </w:p>
    <w:p>
      <w:pPr>
        <w:pStyle w:val="LessonLabel"/>
      </w:pPr>
      <w:r>
        <w:t>RISK AND CONTROL</w:t>
      </w:r>
    </w:p>
    <w:p>
      <w:pPr>
        <w:pStyle w:val="Heading1"/>
      </w:pPr>
      <w:r>
        <w:t>Bias Language and Unequal Performance</w:t>
      </w:r>
    </w:p>
    <w:p>
      <w:r>
        <w:t>Training data, tokenization, evaluation coverage and deployment context can produce unequal performance. Lower-resource languages, local names and specialized institutional terminology may fragment differently or be underrepresented in evaluation sets.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Representation</w:t>
            </w:r>
          </w:p>
        </w:tc>
        <w:tc>
          <w:tcPr>
            <w:tcW w:type="dxa" w:w="6480"/>
            <w:vAlign w:val="center"/>
          </w:tcPr>
          <w:p>
            <w:r>
              <w:t>Who and which languages appear in data</w:t>
            </w:r>
          </w:p>
        </w:tc>
      </w:tr>
      <w:tr>
        <w:tc>
          <w:tcPr>
            <w:tcW w:type="dxa" w:w="3024"/>
            <w:shd w:fill="F4F7FA"/>
            <w:vAlign w:val="center"/>
          </w:tcPr>
          <w:p>
            <w:r>
              <w:t>Measurement</w:t>
            </w:r>
          </w:p>
        </w:tc>
        <w:tc>
          <w:tcPr>
            <w:tcW w:type="dxa" w:w="6480"/>
            <w:shd w:fill="F4F7FA"/>
            <w:vAlign w:val="center"/>
          </w:tcPr>
          <w:p>
            <w:r>
              <w:t>Whether metrics capture relevant harms</w:t>
            </w:r>
          </w:p>
        </w:tc>
      </w:tr>
      <w:tr>
        <w:tc>
          <w:tcPr>
            <w:tcW w:type="dxa" w:w="3024"/>
            <w:vAlign w:val="center"/>
          </w:tcPr>
          <w:p>
            <w:r>
              <w:t>Allocation</w:t>
            </w:r>
          </w:p>
        </w:tc>
        <w:tc>
          <w:tcPr>
            <w:tcW w:type="dxa" w:w="6480"/>
            <w:vAlign w:val="center"/>
          </w:tcPr>
          <w:p>
            <w:r>
              <w:t>Who receives benefits, burdens or errors</w:t>
            </w:r>
          </w:p>
        </w:tc>
      </w:tr>
      <w:tr>
        <w:tc>
          <w:tcPr>
            <w:tcW w:type="dxa" w:w="3024"/>
            <w:shd w:fill="F4F7FA"/>
            <w:vAlign w:val="center"/>
          </w:tcPr>
          <w:p>
            <w:r>
              <w:t>Feedback</w:t>
            </w:r>
          </w:p>
        </w:tc>
        <w:tc>
          <w:tcPr>
            <w:tcW w:type="dxa" w:w="6480"/>
            <w:shd w:fill="F4F7FA"/>
            <w:vAlign w:val="center"/>
          </w:tcPr>
          <w:p>
            <w:r>
              <w:t>How deployed outcomes alter future data</w:t>
            </w:r>
          </w:p>
        </w:tc>
      </w:tr>
      <w:tr>
        <w:tc>
          <w:tcPr>
            <w:tcW w:type="dxa" w:w="3024"/>
            <w:vAlign w:val="center"/>
          </w:tcPr>
          <w:p>
            <w:r>
              <w:t>Recourse</w:t>
            </w:r>
          </w:p>
        </w:tc>
        <w:tc>
          <w:tcPr>
            <w:tcW w:type="dxa" w:w="6480"/>
            <w:vAlign w:val="center"/>
          </w:tcPr>
          <w:p>
            <w:r>
              <w:t>How affected people challenge or correct results</w:t>
            </w:r>
          </w:p>
        </w:tc>
      </w:tr>
    </w:tbl>
    <w:p/>
    <w:p>
      <w:r>
        <w:t>Test the actual populations and languages served. Aggregate accuracy can conceal severe failure for a smaller group.</w:t>
      </w:r>
    </w:p>
    <w:p>
      <w:r>
        <w:br w:type="page"/>
      </w:r>
    </w:p>
    <w:p>
      <w:pPr>
        <w:pStyle w:val="LessonLabel"/>
      </w:pPr>
      <w:r>
        <w:t>RISK AND CONTROL</w:t>
      </w:r>
    </w:p>
    <w:p>
      <w:pPr>
        <w:pStyle w:val="Heading1"/>
      </w:pPr>
      <w:r>
        <w:t>Rights Provenance and Content Integrity</w:t>
      </w:r>
    </w:p>
    <w:p>
      <w:r>
        <w:t>Generative workflows raise questions about training-data rights, licensed inputs, confidential material, attribution and generated similarity. Institutions need a rights-aware process appropriate to jurisdiction, contract and use case.</w:t>
      </w:r>
    </w:p>
    <w:p>
      <w:pPr>
        <w:pStyle w:val="ListBullet"/>
      </w:pPr>
      <w:r>
        <w:t>Document source and license conditions for supplied material.</w:t>
      </w:r>
    </w:p>
    <w:p>
      <w:pPr>
        <w:pStyle w:val="ListBullet"/>
      </w:pPr>
      <w:r>
        <w:t>Avoid requesting long reproductions of protected content.</w:t>
      </w:r>
    </w:p>
    <w:p>
      <w:pPr>
        <w:pStyle w:val="ListBullet"/>
      </w:pPr>
      <w:r>
        <w:t>Review generated outputs for inappropriate copying or disclosure.</w:t>
      </w:r>
    </w:p>
    <w:p>
      <w:pPr>
        <w:pStyle w:val="ListBullet"/>
      </w:pPr>
      <w:r>
        <w:t>Preserve attribution when source material requires it.</w:t>
      </w:r>
    </w:p>
    <w:p>
      <w:pPr>
        <w:pStyle w:val="ListBullet"/>
      </w:pPr>
      <w:r>
        <w:t>Define approval routes for public release and reuse.</w:t>
      </w:r>
    </w:p>
    <w:p>
      <w:r>
        <w:t>Synthetic content should not be presented as an observed fact, authentic record or verified quotation without appropriate disclosure and validation.</w:t>
      </w:r>
    </w:p>
    <w:p>
      <w:r>
        <w:br w:type="page"/>
      </w:r>
    </w:p>
    <w:p>
      <w:pPr>
        <w:pStyle w:val="LessonLabel"/>
      </w:pPr>
      <w:r>
        <w:t>OPERATIONS</w:t>
      </w:r>
    </w:p>
    <w:p>
      <w:pPr>
        <w:pStyle w:val="Heading1"/>
      </w:pPr>
      <w:r>
        <w:t>Latency Cost and Environmental Resources</w:t>
      </w:r>
    </w:p>
    <w:p>
      <w:r>
        <w:t>Model choice, prompt length, output length, retrieval, tool use and repeated retries affect latency and cost. Larger is not automatically better. A smaller model or deterministic method may meet the requirement with lower risk and resource demand.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Task routing</w:t>
            </w:r>
          </w:p>
        </w:tc>
        <w:tc>
          <w:tcPr>
            <w:tcW w:type="dxa" w:w="6480"/>
            <w:vAlign w:val="center"/>
          </w:tcPr>
          <w:p>
            <w:r>
              <w:t>Use the simplest capable method</w:t>
            </w:r>
          </w:p>
        </w:tc>
      </w:tr>
      <w:tr>
        <w:tc>
          <w:tcPr>
            <w:tcW w:type="dxa" w:w="3024"/>
            <w:shd w:fill="F4F7FA"/>
            <w:vAlign w:val="center"/>
          </w:tcPr>
          <w:p>
            <w:r>
              <w:t>Context control</w:t>
            </w:r>
          </w:p>
        </w:tc>
        <w:tc>
          <w:tcPr>
            <w:tcW w:type="dxa" w:w="6480"/>
            <w:shd w:fill="F4F7FA"/>
            <w:vAlign w:val="center"/>
          </w:tcPr>
          <w:p>
            <w:r>
              <w:t>Remove duplication while preserving necessary evidence</w:t>
            </w:r>
          </w:p>
        </w:tc>
      </w:tr>
      <w:tr>
        <w:tc>
          <w:tcPr>
            <w:tcW w:type="dxa" w:w="3024"/>
            <w:vAlign w:val="center"/>
          </w:tcPr>
          <w:p>
            <w:r>
              <w:t>Caching</w:t>
            </w:r>
          </w:p>
        </w:tc>
        <w:tc>
          <w:tcPr>
            <w:tcW w:type="dxa" w:w="6480"/>
            <w:vAlign w:val="center"/>
          </w:tcPr>
          <w:p>
            <w:r>
              <w:t>Reuse approved stable results with version controls</w:t>
            </w:r>
          </w:p>
        </w:tc>
      </w:tr>
      <w:tr>
        <w:tc>
          <w:tcPr>
            <w:tcW w:type="dxa" w:w="3024"/>
            <w:shd w:fill="F4F7FA"/>
            <w:vAlign w:val="center"/>
          </w:tcPr>
          <w:p>
            <w:r>
              <w:t>Batching</w:t>
            </w:r>
          </w:p>
        </w:tc>
        <w:tc>
          <w:tcPr>
            <w:tcW w:type="dxa" w:w="6480"/>
            <w:shd w:fill="F4F7FA"/>
            <w:vAlign w:val="center"/>
          </w:tcPr>
          <w:p>
            <w:r>
              <w:t>Group suitable workloads without mixing authorization contexts</w:t>
            </w:r>
          </w:p>
        </w:tc>
      </w:tr>
      <w:tr>
        <w:tc>
          <w:tcPr>
            <w:tcW w:type="dxa" w:w="3024"/>
            <w:vAlign w:val="center"/>
          </w:tcPr>
          <w:p>
            <w:r>
              <w:t>Monitoring</w:t>
            </w:r>
          </w:p>
        </w:tc>
        <w:tc>
          <w:tcPr>
            <w:tcW w:type="dxa" w:w="6480"/>
            <w:vAlign w:val="center"/>
          </w:tcPr>
          <w:p>
            <w:r>
              <w:t>Track cost per accepted output, not only cost per call</w:t>
            </w:r>
          </w:p>
        </w:tc>
      </w:tr>
    </w:tbl>
    <w:p/>
    <w:p>
      <w:r>
        <w:rPr>
          <w:b/>
          <w:color w:val="1F4E79"/>
        </w:rPr>
        <w:t xml:space="preserve">Decision rule: </w:t>
      </w:r>
      <w:r>
        <w:t>Compare quality, risk, latency and total operating cost against a credible non-LLM baseline.</w:t>
      </w:r>
    </w:p>
    <w:p>
      <w:r>
        <w:br w:type="page"/>
      </w:r>
    </w:p>
    <w:p>
      <w:pPr>
        <w:pStyle w:val="LessonLabel"/>
      </w:pPr>
      <w:r>
        <w:t>OPERATIONS</w:t>
      </w:r>
    </w:p>
    <w:p>
      <w:pPr>
        <w:pStyle w:val="Heading1"/>
      </w:pPr>
      <w:r>
        <w:t>Observability Incidents and Change Control</w:t>
      </w:r>
    </w:p>
    <w:p>
      <w:r>
        <w:t>Production monitoring should connect technical events to user and institutional outcomes. Model-provider changes, prompt revisions, retrieval updates and tool modifications can alter behaviour even when the user interface appears unchanged.</w:t>
      </w:r>
    </w:p>
    <w:p>
      <w:pPr>
        <w:pStyle w:val="ListBullet"/>
      </w:pPr>
      <w:r>
        <w:t>Version prompts, models, indexes, policies and tool schemas.</w:t>
      </w:r>
    </w:p>
    <w:p>
      <w:pPr>
        <w:pStyle w:val="ListBullet"/>
      </w:pPr>
      <w:r>
        <w:t>Monitor refusals, unsupported claims, latency, cost and escalation.</w:t>
      </w:r>
    </w:p>
    <w:p>
      <w:pPr>
        <w:pStyle w:val="ListBullet"/>
      </w:pPr>
      <w:r>
        <w:t>Retain representative failure cases subject to privacy limits.</w:t>
      </w:r>
    </w:p>
    <w:p>
      <w:pPr>
        <w:pStyle w:val="ListBullet"/>
      </w:pPr>
      <w:r>
        <w:t>Define incident severity, ownership and notification routes.</w:t>
      </w:r>
    </w:p>
    <w:p>
      <w:pPr>
        <w:pStyle w:val="ListBullet"/>
      </w:pPr>
      <w:r>
        <w:t>Revalidate after material configuration or data changes.</w:t>
      </w:r>
    </w:p>
    <w:p>
      <w:pPr>
        <w:pStyle w:val="ListBullet"/>
      </w:pPr>
      <w:r>
        <w:t>Maintain rollback or service-disable procedures.</w:t>
      </w:r>
    </w:p>
    <w:p>
      <w:r>
        <w:br w:type="page"/>
      </w:r>
    </w:p>
    <w:p>
      <w:pPr>
        <w:pStyle w:val="LessonLabel"/>
      </w:pPr>
      <w:r>
        <w:t>SRAI CONTROL</w:t>
      </w:r>
    </w:p>
    <w:p>
      <w:pPr>
        <w:pStyle w:val="Heading1"/>
      </w:pPr>
      <w:r>
        <w:t>The Generative AI Evidence Chain</w:t>
      </w:r>
    </w:p>
    <w:p>
      <w:r>
        <w:t>For every consequential output, connect the request to authorized context, the exact system configuration, the unedited generated output, verification evidence and the accountable human decision.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Request</w:t>
            </w:r>
          </w:p>
        </w:tc>
        <w:tc>
          <w:tcPr>
            <w:tcW w:type="dxa" w:w="6480"/>
            <w:vAlign w:val="center"/>
          </w:tcPr>
          <w:p>
            <w:r>
              <w:t>Task, user, purpose and intended audience</w:t>
            </w:r>
          </w:p>
        </w:tc>
      </w:tr>
      <w:tr>
        <w:tc>
          <w:tcPr>
            <w:tcW w:type="dxa" w:w="3024"/>
            <w:shd w:fill="F4F7FA"/>
            <w:vAlign w:val="center"/>
          </w:tcPr>
          <w:p>
            <w:r>
              <w:t>Authorized context</w:t>
            </w:r>
          </w:p>
        </w:tc>
        <w:tc>
          <w:tcPr>
            <w:tcW w:type="dxa" w:w="6480"/>
            <w:shd w:fill="F4F7FA"/>
            <w:vAlign w:val="center"/>
          </w:tcPr>
          <w:p>
            <w:r>
              <w:t>Sources, versions, permissions and retrieval record</w:t>
            </w:r>
          </w:p>
        </w:tc>
      </w:tr>
      <w:tr>
        <w:tc>
          <w:tcPr>
            <w:tcW w:type="dxa" w:w="3024"/>
            <w:vAlign w:val="center"/>
          </w:tcPr>
          <w:p>
            <w:r>
              <w:t>System</w:t>
            </w:r>
          </w:p>
        </w:tc>
        <w:tc>
          <w:tcPr>
            <w:tcW w:type="dxa" w:w="6480"/>
            <w:vAlign w:val="center"/>
          </w:tcPr>
          <w:p>
            <w:r>
              <w:t>Model, prompt, tools and decoding settings</w:t>
            </w:r>
          </w:p>
        </w:tc>
      </w:tr>
      <w:tr>
        <w:tc>
          <w:tcPr>
            <w:tcW w:type="dxa" w:w="3024"/>
            <w:shd w:fill="F4F7FA"/>
            <w:vAlign w:val="center"/>
          </w:tcPr>
          <w:p>
            <w:r>
              <w:t>Output</w:t>
            </w:r>
          </w:p>
        </w:tc>
        <w:tc>
          <w:tcPr>
            <w:tcW w:type="dxa" w:w="6480"/>
            <w:shd w:fill="F4F7FA"/>
            <w:vAlign w:val="center"/>
          </w:tcPr>
          <w:p>
            <w:r>
              <w:t>Original response and structured actions</w:t>
            </w:r>
          </w:p>
        </w:tc>
      </w:tr>
      <w:tr>
        <w:tc>
          <w:tcPr>
            <w:tcW w:type="dxa" w:w="3024"/>
            <w:vAlign w:val="center"/>
          </w:tcPr>
          <w:p>
            <w:r>
              <w:t>Verification</w:t>
            </w:r>
          </w:p>
        </w:tc>
        <w:tc>
          <w:tcPr>
            <w:tcW w:type="dxa" w:w="6480"/>
            <w:vAlign w:val="center"/>
          </w:tcPr>
          <w:p>
            <w:r>
              <w:t>Claim checks, exceptions and reviewer evidence</w:t>
            </w:r>
          </w:p>
        </w:tc>
      </w:tr>
      <w:tr>
        <w:tc>
          <w:tcPr>
            <w:tcW w:type="dxa" w:w="3024"/>
            <w:shd w:fill="F4F7FA"/>
            <w:vAlign w:val="center"/>
          </w:tcPr>
          <w:p>
            <w:r>
              <w:t>Decision</w:t>
            </w:r>
          </w:p>
        </w:tc>
        <w:tc>
          <w:tcPr>
            <w:tcW w:type="dxa" w:w="6480"/>
            <w:shd w:fill="F4F7FA"/>
            <w:vAlign w:val="center"/>
          </w:tcPr>
          <w:p>
            <w:r>
              <w:t>Approval, revision, rejection or escalation</w:t>
            </w:r>
          </w:p>
        </w:tc>
      </w:tr>
    </w:tbl>
    <w:p/>
    <w:p>
      <w:r>
        <w:t>Retain enough information to reproduce and audit the chain without retaining more sensitive information than necessary.</w:t>
      </w:r>
    </w:p>
    <w:p>
      <w:r>
        <w:br w:type="page"/>
      </w:r>
    </w:p>
    <w:p>
      <w:pPr>
        <w:pStyle w:val="LessonLabel"/>
      </w:pPr>
      <w:r>
        <w:t>SRAI CONTROL</w:t>
      </w:r>
    </w:p>
    <w:p>
      <w:pPr>
        <w:pStyle w:val="Heading1"/>
      </w:pPr>
      <w:r>
        <w:t>SRAI Principle Number 96</w:t>
      </w:r>
    </w:p>
    <w:p>
      <w:pPr>
        <w:jc w:val="center"/>
      </w:pPr>
      <w:r>
        <w:rPr>
          <w:b/>
          <w:sz w:val="32"/>
        </w:rPr>
        <w:t>A language model generates statistically plausible continuations; factual authority must come from evidence, validation and accountable human use.</w:t>
      </w:r>
    </w:p>
    <w:p>
      <w:r>
        <w:t>The principle does not deny model capability. It locates authority correctly. Models can transform and synthesize information, but institutional claims require sources, controls and responsibility that exist outside the probability distribution.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Plausibility</w:t>
            </w:r>
          </w:p>
        </w:tc>
        <w:tc>
          <w:tcPr>
            <w:tcW w:type="dxa" w:w="6480"/>
            <w:vAlign w:val="center"/>
          </w:tcPr>
          <w:p>
            <w:r>
              <w:t>A property of generation</w:t>
            </w:r>
          </w:p>
        </w:tc>
      </w:tr>
      <w:tr>
        <w:tc>
          <w:tcPr>
            <w:tcW w:type="dxa" w:w="3024"/>
            <w:shd w:fill="F4F7FA"/>
            <w:vAlign w:val="center"/>
          </w:tcPr>
          <w:p>
            <w:r>
              <w:t>Evidence</w:t>
            </w:r>
          </w:p>
        </w:tc>
        <w:tc>
          <w:tcPr>
            <w:tcW w:type="dxa" w:w="6480"/>
            <w:shd w:fill="F4F7FA"/>
            <w:vAlign w:val="center"/>
          </w:tcPr>
          <w:p>
            <w:r>
              <w:t>Support for a claim</w:t>
            </w:r>
          </w:p>
        </w:tc>
      </w:tr>
      <w:tr>
        <w:tc>
          <w:tcPr>
            <w:tcW w:type="dxa" w:w="3024"/>
            <w:vAlign w:val="center"/>
          </w:tcPr>
          <w:p>
            <w:r>
              <w:t>Validation</w:t>
            </w:r>
          </w:p>
        </w:tc>
        <w:tc>
          <w:tcPr>
            <w:tcW w:type="dxa" w:w="6480"/>
            <w:vAlign w:val="center"/>
          </w:tcPr>
          <w:p>
            <w:r>
              <w:t>Testing against defined requirements</w:t>
            </w:r>
          </w:p>
        </w:tc>
      </w:tr>
      <w:tr>
        <w:tc>
          <w:tcPr>
            <w:tcW w:type="dxa" w:w="3024"/>
            <w:shd w:fill="F4F7FA"/>
            <w:vAlign w:val="center"/>
          </w:tcPr>
          <w:p>
            <w:r>
              <w:t>Authority</w:t>
            </w:r>
          </w:p>
        </w:tc>
        <w:tc>
          <w:tcPr>
            <w:tcW w:type="dxa" w:w="6480"/>
            <w:shd w:fill="F4F7FA"/>
            <w:vAlign w:val="center"/>
          </w:tcPr>
          <w:p>
            <w:r>
              <w:t>Legitimate institutional basis for action</w:t>
            </w:r>
          </w:p>
        </w:tc>
      </w:tr>
      <w:tr>
        <w:tc>
          <w:tcPr>
            <w:tcW w:type="dxa" w:w="3024"/>
            <w:vAlign w:val="center"/>
          </w:tcPr>
          <w:p>
            <w:r>
              <w:t>Accountability</w:t>
            </w:r>
          </w:p>
        </w:tc>
        <w:tc>
          <w:tcPr>
            <w:tcW w:type="dxa" w:w="6480"/>
            <w:vAlign w:val="center"/>
          </w:tcPr>
          <w:p>
            <w:r>
              <w:t>Human and organizational responsibility</w:t>
            </w:r>
          </w:p>
        </w:tc>
      </w:tr>
    </w:tbl>
    <w:p/>
    <w:p>
      <w:r>
        <w:br w:type="page"/>
      </w:r>
    </w:p>
    <w:p>
      <w:pPr>
        <w:pStyle w:val="LessonLabel"/>
      </w:pPr>
      <w:r>
        <w:t>APPLIED CASE</w:t>
      </w:r>
    </w:p>
    <w:p>
      <w:pPr>
        <w:pStyle w:val="Heading1"/>
      </w:pPr>
      <w:r>
        <w:t>Official Statistics Narrative Generation</w:t>
      </w:r>
    </w:p>
    <w:p>
      <w:r>
        <w:t>An agricultural-statistics office uses an LLM to draft commentary from validated tables. A defensible workflow preserves indicator definition, unit, geography, reference period, population, revision status, uncertainty and disclosure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Input</w:t>
            </w:r>
          </w:p>
        </w:tc>
        <w:tc>
          <w:tcPr>
            <w:tcW w:type="dxa" w:w="6480"/>
            <w:vAlign w:val="center"/>
          </w:tcPr>
          <w:p>
            <w:r>
              <w:t>Approved table, metadata and disclosure status</w:t>
            </w:r>
          </w:p>
        </w:tc>
      </w:tr>
      <w:tr>
        <w:tc>
          <w:tcPr>
            <w:tcW w:type="dxa" w:w="3024"/>
            <w:shd w:fill="F4F7FA"/>
            <w:vAlign w:val="center"/>
          </w:tcPr>
          <w:p>
            <w:r>
              <w:t>Generation</w:t>
            </w:r>
          </w:p>
        </w:tc>
        <w:tc>
          <w:tcPr>
            <w:tcW w:type="dxa" w:w="6480"/>
            <w:shd w:fill="F4F7FA"/>
            <w:vAlign w:val="center"/>
          </w:tcPr>
          <w:p>
            <w:r>
              <w:t>Draft narrative with source identifiers</w:t>
            </w:r>
          </w:p>
        </w:tc>
      </w:tr>
      <w:tr>
        <w:tc>
          <w:tcPr>
            <w:tcW w:type="dxa" w:w="3024"/>
            <w:vAlign w:val="center"/>
          </w:tcPr>
          <w:p>
            <w:r>
              <w:t>Validation</w:t>
            </w:r>
          </w:p>
        </w:tc>
        <w:tc>
          <w:tcPr>
            <w:tcW w:type="dxa" w:w="6480"/>
            <w:vAlign w:val="center"/>
          </w:tcPr>
          <w:p>
            <w:r>
              <w:t>Numeric, semantic and disclosure checks</w:t>
            </w:r>
          </w:p>
        </w:tc>
      </w:tr>
      <w:tr>
        <w:tc>
          <w:tcPr>
            <w:tcW w:type="dxa" w:w="3024"/>
            <w:shd w:fill="F4F7FA"/>
            <w:vAlign w:val="center"/>
          </w:tcPr>
          <w:p>
            <w:r>
              <w:t>Review</w:t>
            </w:r>
          </w:p>
        </w:tc>
        <w:tc>
          <w:tcPr>
            <w:tcW w:type="dxa" w:w="6480"/>
            <w:shd w:fill="F4F7FA"/>
            <w:vAlign w:val="center"/>
          </w:tcPr>
          <w:p>
            <w:r>
              <w:t>Subject-matter statistician compares claims to evidence</w:t>
            </w:r>
          </w:p>
        </w:tc>
      </w:tr>
      <w:tr>
        <w:tc>
          <w:tcPr>
            <w:tcW w:type="dxa" w:w="3024"/>
            <w:vAlign w:val="center"/>
          </w:tcPr>
          <w:p>
            <w:r>
              <w:t>Release</w:t>
            </w:r>
          </w:p>
        </w:tc>
        <w:tc>
          <w:tcPr>
            <w:tcW w:type="dxa" w:w="6480"/>
            <w:vAlign w:val="center"/>
          </w:tcPr>
          <w:p>
            <w:r>
              <w:t>Authorized publication with version record</w:t>
            </w:r>
          </w:p>
        </w:tc>
      </w:tr>
    </w:tbl>
    <w:p/>
    <w:p>
      <w:r>
        <w:t>A correct number can still mislead if detached from its unit, denominator, population, period or provisional status. For official statistics, metadata is part of the fact.</w:t>
      </w:r>
    </w:p>
    <w:p>
      <w:r>
        <w:rPr>
          <w:b/>
          <w:color w:val="1F4E79"/>
        </w:rPr>
        <w:t xml:space="preserve">Control preference: </w:t>
      </w:r>
      <w:r>
        <w:t>Use deterministic code to calculate values and changes; use the model to draft language around verified results.</w:t>
      </w:r>
    </w:p>
    <w:p>
      <w:r>
        <w:br w:type="page"/>
      </w:r>
    </w:p>
    <w:p>
      <w:pPr>
        <w:pStyle w:val="LessonLabel"/>
      </w:pPr>
      <w:r>
        <w:t>APPLIED CASE</w:t>
      </w:r>
    </w:p>
    <w:p>
      <w:pPr>
        <w:pStyle w:val="Heading1"/>
      </w:pPr>
      <w:r>
        <w:t>Public Enterprise Quarterly Reporting</w:t>
      </w:r>
    </w:p>
    <w:p>
      <w:r>
        <w:t>A reporting system receives structured financial data from public enterprises through database exchange, scheduled files or controlled templates. The LLM may explain exceptions and draft summaries, but source systems remain authoritative for amounts and statuses.</w:t>
      </w:r>
    </w:p>
    <w:p>
      <w:pPr>
        <w:pStyle w:val="ListBullet"/>
      </w:pPr>
      <w:r>
        <w:t>Retrieve only the approved reporting period and entity.</w:t>
      </w:r>
    </w:p>
    <w:p>
      <w:pPr>
        <w:pStyle w:val="ListBullet"/>
      </w:pPr>
      <w:r>
        <w:t>Calculate ratios and totals in deterministic services.</w:t>
      </w:r>
    </w:p>
    <w:p>
      <w:pPr>
        <w:pStyle w:val="ListBullet"/>
      </w:pPr>
      <w:r>
        <w:t>Preserve currency, scale, consolidation and audit status.</w:t>
      </w:r>
    </w:p>
    <w:p>
      <w:pPr>
        <w:pStyle w:val="ListBullet"/>
      </w:pPr>
      <w:r>
        <w:t>Require citations for material narrative claims.</w:t>
      </w:r>
    </w:p>
    <w:p>
      <w:pPr>
        <w:pStyle w:val="ListBullet"/>
      </w:pPr>
      <w:r>
        <w:t>Route anomalies and missing submissions to named reviewers.</w:t>
      </w:r>
    </w:p>
    <w:p>
      <w:pPr>
        <w:pStyle w:val="ListBullet"/>
      </w:pPr>
      <w:r>
        <w:t>Prevent the model from directly posting or altering ledger records.</w:t>
      </w:r>
    </w:p>
    <w:p>
      <w:r>
        <w:t>This separation allows useful language assistance without confusing a generative interface with the financial system of record.</w:t>
      </w:r>
    </w:p>
    <w:p>
      <w:r>
        <w:br w:type="page"/>
      </w:r>
    </w:p>
    <w:p>
      <w:pPr>
        <w:pStyle w:val="LessonLabel"/>
      </w:pPr>
      <w:r>
        <w:t>NOTEBOOK LABORATORY</w:t>
      </w:r>
    </w:p>
    <w:p>
      <w:pPr>
        <w:pStyle w:val="Heading1"/>
      </w:pPr>
      <w:r>
        <w:t>Practical Work and Interpretation</w:t>
      </w:r>
    </w:p>
    <w:p>
      <w:r>
        <w:t>The companion notebook contains 41 cells: 21 executable code cells and 20 instructional cells. It runs independently in VS Code and Google Colab and does not require private SRAI packages or external APIs.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Concept</w:t>
            </w:r>
          </w:p>
        </w:tc>
        <w:tc>
          <w:tcPr>
            <w:tcW w:type="dxa" w:w="4939"/>
            <w:shd w:fill="1F4E79"/>
            <w:vAlign w:val="center"/>
          </w:tcPr>
          <w:p>
            <w:r>
              <w:rPr>
                <w:b/>
                <w:color w:val="FFFFFF"/>
              </w:rPr>
              <w:t>Operational meaning</w:t>
            </w:r>
          </w:p>
        </w:tc>
      </w:tr>
      <w:tr>
        <w:tc>
          <w:tcPr>
            <w:tcW w:type="dxa" w:w="3024"/>
            <w:vAlign w:val="center"/>
          </w:tcPr>
          <w:p>
            <w:r>
              <w:t>Part A</w:t>
            </w:r>
          </w:p>
        </w:tc>
        <w:tc>
          <w:tcPr>
            <w:tcW w:type="dxa" w:w="6480"/>
            <w:vAlign w:val="center"/>
          </w:tcPr>
          <w:p>
            <w:r>
              <w:t>Tokenizer, vocabulary, encoding and multilingual behaviour</w:t>
            </w:r>
          </w:p>
        </w:tc>
      </w:tr>
      <w:tr>
        <w:tc>
          <w:tcPr>
            <w:tcW w:type="dxa" w:w="3024"/>
            <w:shd w:fill="F4F7FA"/>
            <w:vAlign w:val="center"/>
          </w:tcPr>
          <w:p>
            <w:r>
              <w:t>Part B</w:t>
            </w:r>
          </w:p>
        </w:tc>
        <w:tc>
          <w:tcPr>
            <w:tcW w:type="dxa" w:w="6480"/>
            <w:shd w:fill="F4F7FA"/>
            <w:vAlign w:val="center"/>
          </w:tcPr>
          <w:p>
            <w:r>
              <w:t>Bigram next-token probabilities and sequence log probability</w:t>
            </w:r>
          </w:p>
        </w:tc>
      </w:tr>
      <w:tr>
        <w:tc>
          <w:tcPr>
            <w:tcW w:type="dxa" w:w="3024"/>
            <w:vAlign w:val="center"/>
          </w:tcPr>
          <w:p>
            <w:r>
              <w:t>Part C</w:t>
            </w:r>
          </w:p>
        </w:tc>
        <w:tc>
          <w:tcPr>
            <w:tcW w:type="dxa" w:w="6480"/>
            <w:vAlign w:val="center"/>
          </w:tcPr>
          <w:p>
            <w:r>
              <w:t>Temperature, greedy, top-k and top-p decoding</w:t>
            </w:r>
          </w:p>
        </w:tc>
      </w:tr>
      <w:tr>
        <w:tc>
          <w:tcPr>
            <w:tcW w:type="dxa" w:w="3024"/>
            <w:shd w:fill="F4F7FA"/>
            <w:vAlign w:val="center"/>
          </w:tcPr>
          <w:p>
            <w:r>
              <w:t>Part D</w:t>
            </w:r>
          </w:p>
        </w:tc>
        <w:tc>
          <w:tcPr>
            <w:tcW w:type="dxa" w:w="6480"/>
            <w:shd w:fill="F4F7FA"/>
            <w:vAlign w:val="center"/>
          </w:tcPr>
          <w:p>
            <w:r>
              <w:t>Transparent NumPy self-attention</w:t>
            </w:r>
          </w:p>
        </w:tc>
      </w:tr>
      <w:tr>
        <w:tc>
          <w:tcPr>
            <w:tcW w:type="dxa" w:w="3024"/>
            <w:vAlign w:val="center"/>
          </w:tcPr>
          <w:p>
            <w:r>
              <w:t>Part E</w:t>
            </w:r>
          </w:p>
        </w:tc>
        <w:tc>
          <w:tcPr>
            <w:tcW w:type="dxa" w:w="6480"/>
            <w:vAlign w:val="center"/>
          </w:tcPr>
          <w:p>
            <w:r>
              <w:t>Grounding and multidimensional evaluation</w:t>
            </w:r>
          </w:p>
        </w:tc>
      </w:tr>
      <w:tr>
        <w:tc>
          <w:tcPr>
            <w:tcW w:type="dxa" w:w="3024"/>
            <w:shd w:fill="F4F7FA"/>
            <w:vAlign w:val="center"/>
          </w:tcPr>
          <w:p>
            <w:r>
              <w:t>Part F</w:t>
            </w:r>
          </w:p>
        </w:tc>
        <w:tc>
          <w:tcPr>
            <w:tcW w:type="dxa" w:w="6480"/>
            <w:shd w:fill="F4F7FA"/>
            <w:vAlign w:val="center"/>
          </w:tcPr>
          <w:p>
            <w:r>
              <w:t>Evidence chain and decision-fitness controls</w:t>
            </w:r>
          </w:p>
        </w:tc>
      </w:tr>
    </w:tbl>
    <w:p/>
    <w:p>
      <w:r>
        <w:t>Interpret results at the level the demonstration supports. The notebook reveals mechanisms; it does not validate a production model or institutional application.</w:t>
      </w:r>
    </w:p>
    <w:p>
      <w:r>
        <w:br w:type="page"/>
      </w:r>
    </w:p>
    <w:p>
      <w:pPr>
        <w:pStyle w:val="LessonLabel"/>
      </w:pPr>
      <w:r>
        <w:t>PRACTICE</w:t>
      </w:r>
    </w:p>
    <w:p>
      <w:pPr>
        <w:pStyle w:val="Heading1"/>
      </w:pPr>
      <w:r>
        <w:t>Exercises</w:t>
      </w:r>
    </w:p>
    <w:p>
      <w:pPr>
        <w:pStyle w:val="ListNumber"/>
      </w:pPr>
      <w:r>
        <w:t>Contrast discriminative conditional probability with autoregressive sequence probability.</w:t>
      </w:r>
    </w:p>
    <w:p>
      <w:pPr>
        <w:pStyle w:val="ListNumber"/>
      </w:pPr>
      <w:r>
        <w:t>Trace one sentence through tokenization, identifiers, embeddings and next-token logits.</w:t>
      </w:r>
    </w:p>
    <w:p>
      <w:pPr>
        <w:pStyle w:val="ListNumber"/>
      </w:pPr>
      <w:r>
        <w:t>Explain why temperature changes variability but not factual authority.</w:t>
      </w:r>
    </w:p>
    <w:p>
      <w:pPr>
        <w:pStyle w:val="ListNumber"/>
      </w:pPr>
      <w:r>
        <w:t>Design a context budget for a multilingual quarterly report.</w:t>
      </w:r>
    </w:p>
    <w:p>
      <w:pPr>
        <w:pStyle w:val="ListNumber"/>
      </w:pPr>
      <w:r>
        <w:t>Create a claim-to-source verification table for an official statistic.</w:t>
      </w:r>
    </w:p>
    <w:p>
      <w:pPr>
        <w:pStyle w:val="ListNumber"/>
      </w:pPr>
      <w:r>
        <w:t>Identify three prompt-injection paths in a retrieval-and-tool application.</w:t>
      </w:r>
    </w:p>
    <w:p>
      <w:pPr>
        <w:pStyle w:val="ListNumber"/>
      </w:pPr>
      <w:r>
        <w:t>Separate retrieval failure from generation failure in an evaluation design.</w:t>
      </w:r>
    </w:p>
    <w:p>
      <w:pPr>
        <w:pStyle w:val="ListNumber"/>
      </w:pPr>
      <w:r>
        <w:t>Define an escalation rule for an unsupported high-impact claim.</w:t>
      </w:r>
    </w:p>
    <w:p>
      <w:pPr>
        <w:pStyle w:val="ListNumber"/>
      </w:pPr>
      <w:r>
        <w:t>Specify the records needed to reproduce a consequential output.</w:t>
      </w:r>
    </w:p>
    <w:p>
      <w:pPr>
        <w:pStyle w:val="ListNumber"/>
      </w:pPr>
      <w:r>
        <w:t>Compare an LLM workflow with a credible deterministic baseline.</w:t>
      </w:r>
    </w:p>
    <w:p>
      <w:r>
        <w:rPr>
          <w:b/>
          <w:color w:val="1F4E79"/>
        </w:rPr>
        <w:t xml:space="preserve">Submission expectation: </w:t>
      </w:r>
      <w:r>
        <w:t>For each answer, state the claim, supporting reasoning, operational consequence and evidence required.</w:t>
      </w:r>
    </w:p>
    <w:p>
      <w:r>
        <w:br w:type="page"/>
      </w:r>
    </w:p>
    <w:p>
      <w:pPr>
        <w:pStyle w:val="LessonLabel"/>
      </w:pPr>
      <w:r>
        <w:t>ASSESSMENT</w:t>
      </w:r>
    </w:p>
    <w:p>
      <w:pPr>
        <w:pStyle w:val="Heading1"/>
      </w:pPr>
      <w:r>
        <w:t>Student Assessment</w:t>
      </w:r>
    </w:p>
    <w:p>
      <w:r>
        <w:t>1. What distinguishes a generative model from a discriminative model?</w:t>
      </w:r>
    </w:p>
    <w:p>
      <w:r>
        <w:t>2. What does an autoregressive language model estimate at each step?</w:t>
      </w:r>
    </w:p>
    <w:p>
      <w:r>
        <w:t>3. Why must training, adaptation, inference, retrieval and tool use be distinguished?</w:t>
      </w:r>
    </w:p>
    <w:p>
      <w:r>
        <w:t>4. Which dimensions should be evaluated before consequential use?</w:t>
      </w:r>
    </w:p>
    <w:p>
      <w:r>
        <w:t>5. Which provenance and governance information should accompany a deployed LLM application?</w:t>
      </w:r>
    </w:p>
    <w:p>
      <w:r>
        <w:t>Each question is worth 4 marks. Award 4 for a correct result with valid reasoning and operational interpretation; 3 for a correct core result with limited interpretation; 2 for partial structure; 1 for a relevant attempt; and 0 for no relevant evidence.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0"/>
      </w:tblGrid>
      <w:tr>
        <w:tc>
          <w:tcPr>
            <w:tcW w:type="dxa" w:w="4939"/>
            <w:shd w:fill="1F4E79"/>
            <w:vAlign w:val="center"/>
          </w:tcPr>
          <w:p>
            <w:r>
              <w:rPr>
                <w:b/>
                <w:color w:val="FFFFFF"/>
              </w:rPr>
              <w:t>Criterion</w:t>
            </w:r>
          </w:p>
        </w:tc>
        <w:tc>
          <w:tcPr>
            <w:tcW w:type="dxa" w:w="4939"/>
            <w:shd w:fill="1F4E79"/>
            <w:vAlign w:val="center"/>
          </w:tcPr>
          <w:p>
            <w:r>
              <w:rPr>
                <w:b/>
                <w:color w:val="FFFFFF"/>
              </w:rPr>
              <w:t>Evidence of mastery</w:t>
            </w:r>
          </w:p>
        </w:tc>
      </w:tr>
      <w:tr>
        <w:tc>
          <w:tcPr>
            <w:tcW w:type="dxa" w:w="3024"/>
            <w:vAlign w:val="center"/>
          </w:tcPr>
          <w:p>
            <w:r>
              <w:t>Conceptual accuracy</w:t>
            </w:r>
          </w:p>
        </w:tc>
        <w:tc>
          <w:tcPr>
            <w:tcW w:type="dxa" w:w="6480"/>
            <w:vAlign w:val="center"/>
          </w:tcPr>
          <w:p>
            <w:r>
              <w:t>Uses terms and mechanisms correctly</w:t>
            </w:r>
          </w:p>
        </w:tc>
      </w:tr>
      <w:tr>
        <w:tc>
          <w:tcPr>
            <w:tcW w:type="dxa" w:w="3024"/>
            <w:shd w:fill="F4F7FA"/>
            <w:vAlign w:val="center"/>
          </w:tcPr>
          <w:p>
            <w:r>
              <w:t>Reasoning</w:t>
            </w:r>
          </w:p>
        </w:tc>
        <w:tc>
          <w:tcPr>
            <w:tcW w:type="dxa" w:w="6480"/>
            <w:shd w:fill="F4F7FA"/>
            <w:vAlign w:val="center"/>
          </w:tcPr>
          <w:p>
            <w:r>
              <w:t>Connects claims to evidence</w:t>
            </w:r>
          </w:p>
        </w:tc>
      </w:tr>
      <w:tr>
        <w:tc>
          <w:tcPr>
            <w:tcW w:type="dxa" w:w="3024"/>
            <w:vAlign w:val="center"/>
          </w:tcPr>
          <w:p>
            <w:r>
              <w:t>Application</w:t>
            </w:r>
          </w:p>
        </w:tc>
        <w:tc>
          <w:tcPr>
            <w:tcW w:type="dxa" w:w="6480"/>
            <w:vAlign w:val="center"/>
          </w:tcPr>
          <w:p>
            <w:r>
              <w:t>Identifies operational consequences</w:t>
            </w:r>
          </w:p>
        </w:tc>
      </w:tr>
      <w:tr>
        <w:tc>
          <w:tcPr>
            <w:tcW w:type="dxa" w:w="3024"/>
            <w:shd w:fill="F4F7FA"/>
            <w:vAlign w:val="center"/>
          </w:tcPr>
          <w:p>
            <w:r>
              <w:t>Boundary</w:t>
            </w:r>
          </w:p>
        </w:tc>
        <w:tc>
          <w:tcPr>
            <w:tcW w:type="dxa" w:w="6480"/>
            <w:shd w:fill="F4F7FA"/>
            <w:vAlign w:val="center"/>
          </w:tcPr>
          <w:p>
            <w:r>
              <w:t>States limitations and conditions</w:t>
            </w:r>
          </w:p>
        </w:tc>
      </w:tr>
    </w:tbl>
    <w:p/>
    <w:p>
      <w:r>
        <w:br w:type="page"/>
      </w:r>
    </w:p>
    <w:p>
      <w:pPr>
        <w:pStyle w:val="LessonLabel"/>
      </w:pPr>
      <w:r>
        <w:t>ASSESSMENT</w:t>
      </w:r>
    </w:p>
    <w:p>
      <w:pPr>
        <w:pStyle w:val="Heading1"/>
      </w:pPr>
      <w:r>
        <w:t>Instructor Solutions and Marking Guidance</w:t>
      </w:r>
    </w:p>
    <w:p>
      <w:r>
        <w:rPr>
          <w:b/>
        </w:rPr>
        <w:t xml:space="preserve">1. Answer: </w:t>
      </w:r>
      <w:r>
        <w:t>A generative model learns a distribution from which new outputs can be produced; a discriminative model estimates outcomes or labels conditional on features.</w:t>
      </w:r>
    </w:p>
    <w:p>
      <w:r>
        <w:t>Marks: 4 correct and well reasoned; 3 substantially correct; 2 partial structure; 1 relevant attempt.</w:t>
      </w:r>
    </w:p>
    <w:p>
      <w:r>
        <w:rPr>
          <w:b/>
        </w:rPr>
        <w:t xml:space="preserve">2. Answer: </w:t>
      </w:r>
      <w:r>
        <w:t>It estimates a conditional probability distribution over the next token given the retained context.</w:t>
      </w:r>
    </w:p>
    <w:p>
      <w:r>
        <w:t>Marks: 4 correct and well reasoned; 3 substantially correct; 2 partial structure; 1 relevant attempt.</w:t>
      </w:r>
    </w:p>
    <w:p>
      <w:r>
        <w:rPr>
          <w:b/>
        </w:rPr>
        <w:t xml:space="preserve">3. Answer: </w:t>
      </w:r>
      <w:r>
        <w:t>They introduce different data flows, parameter changes, permissions, failure modes and evidence requirements.</w:t>
      </w:r>
    </w:p>
    <w:p>
      <w:r>
        <w:t>Marks: 4 correct and well reasoned; 3 substantially correct; 2 partial structure; 1 relevant attempt.</w:t>
      </w:r>
    </w:p>
    <w:p>
      <w:r>
        <w:rPr>
          <w:b/>
        </w:rPr>
        <w:t xml:space="preserve">4. Answer: </w:t>
      </w:r>
      <w:r>
        <w:t>Evaluate fluency, groundedness, correctness, robustness, safety, subgroup behaviour, latency, cost and decision fitness.</w:t>
      </w:r>
    </w:p>
    <w:p>
      <w:r>
        <w:t>Marks: 4 correct and well reasoned; 3 substantially correct; 2 partial structure; 1 relevant attempt.</w:t>
      </w:r>
    </w:p>
    <w:p>
      <w:r>
        <w:rPr>
          <w:b/>
        </w:rPr>
        <w:t xml:space="preserve">5. Answer: </w:t>
      </w:r>
      <w:r>
        <w:t>Record model and data provenance, intended and excluded uses, evaluation sets, prompt and context policy, decoding settings, safeguards, limitations, residual risks and accountable approval.</w:t>
      </w:r>
    </w:p>
    <w:p>
      <w:r>
        <w:t>Marks: 4 correct and well reasoned; 3 substantially correct; 2 partial structure; 1 relevant attempt.</w:t>
      </w:r>
    </w:p>
    <w:p>
      <w:r>
        <w:br w:type="page"/>
      </w:r>
    </w:p>
    <w:p>
      <w:pPr>
        <w:pStyle w:val="LessonLabel"/>
      </w:pPr>
      <w:r>
        <w:t>CLOSING SYNTHESIS</w:t>
      </w:r>
    </w:p>
    <w:p>
      <w:pPr>
        <w:pStyle w:val="Heading1"/>
      </w:pPr>
      <w:r>
        <w:t>Key Insights Glossary and References</w:t>
      </w:r>
    </w:p>
    <w:p>
      <w:pPr>
        <w:pStyle w:val="ListBullet"/>
      </w:pPr>
      <w:r>
        <w:t>Generation is repeated conditional prediction.</w:t>
      </w:r>
    </w:p>
    <w:p>
      <w:pPr>
        <w:pStyle w:val="ListBullet"/>
      </w:pPr>
      <w:r>
        <w:t>Fluency is not factual authority.</w:t>
      </w:r>
    </w:p>
    <w:p>
      <w:pPr>
        <w:pStyle w:val="ListBullet"/>
      </w:pPr>
      <w:r>
        <w:t>Context and decoding are part of the system configuration.</w:t>
      </w:r>
    </w:p>
    <w:p>
      <w:pPr>
        <w:pStyle w:val="ListBullet"/>
      </w:pPr>
      <w:r>
        <w:t>Retrieval can supply evidence but does not guarantee faithful use.</w:t>
      </w:r>
    </w:p>
    <w:p>
      <w:pPr>
        <w:pStyle w:val="ListBullet"/>
      </w:pPr>
      <w:r>
        <w:t>Evaluation must match the intended workflow and affected population.</w:t>
      </w:r>
    </w:p>
    <w:p>
      <w:pPr>
        <w:pStyle w:val="ListBullet"/>
      </w:pPr>
      <w:r>
        <w:t>Accountable institutions retain responsibility for deployment and decisions.</w:t>
      </w:r>
    </w:p>
    <w:p>
      <w:r>
        <w:t>Key terms: autoregressive model; attention; confabulation; context window; decoding; embedding; foundation model; groundedness; inference; retrieval-augmented generation; token; transformer.</w:t>
      </w:r>
    </w:p>
    <w:p>
      <w:pPr>
        <w:pStyle w:val="Heading2"/>
      </w:pPr>
      <w:r>
        <w:t>Selected references</w:t>
      </w:r>
    </w:p>
    <w:p>
      <w:r>
        <w:t>Vaswani, A. et al. (2017). Attention Is All You Need. Advances in Neural Information Processing Systems 30. arXiv:1706.03762.</w:t>
      </w:r>
    </w:p>
    <w:p>
      <w:r>
        <w:t>Brown, T. B. et al. (2020). Language Models are Few-Shot Learners. Advances in Neural Information Processing Systems 33. arXiv:2005.14165.</w:t>
      </w:r>
    </w:p>
    <w:p>
      <w:r>
        <w:t>Lewis, P. et al. (2020). Retrieval-Augmented Generation for Knowledge-Intensive NLP Tasks. Advances in Neural Information Processing Systems 33. arXiv:2005.11401.</w:t>
      </w:r>
    </w:p>
    <w:p>
      <w:r>
        <w:t>National Institute of Standards and Technology. (2024). Artificial Intelligence Risk Management Framework Generative Artificial Intelligence Profile. NIST AI 600-1.</w:t>
      </w:r>
    </w:p>
    <w:p>
      <w:r>
        <w:t>Transition: Lesson 2 examines tokenization and context windows as measurable operational boundaries.</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SRAI  |  Book 4  |  Generative AI and LLM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6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abel">
    <w:name w:val="Lesson Label"/>
    <w:pPr>
      <w:spacing w:after="160"/>
    </w:pPr>
    <w:rPr>
      <w:rFonts w:ascii="Aptos" w:hAnsi="Aptos"/>
      <w:b/>
      <w:color w:val="1F4E7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and Large Language Model Foundations</dc:title>
  <dc:subject>SRAI Book 4 Lesson 1 controlled lesson</dc:subject>
  <dc:creator>Mbaye Kebe</dc:creator>
  <cp:keywords>SRAI, generative AI, large language models, governance, evaluation</cp:keywords>
  <dc:description>generated by python-docx</dc:description>
  <cp:lastModifiedBy/>
  <cp:revision>1</cp:revision>
  <dcterms:created xsi:type="dcterms:W3CDTF">2013-12-23T23:15:00Z</dcterms:created>
  <dcterms:modified xsi:type="dcterms:W3CDTF">2013-12-23T23:15:00Z</dcterms:modified>
  <cp:category/>
</cp:coreProperties>
</file>