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aramond" w:hAnsi="Garamond"/>
          <w:sz w:val="24"/>
        </w:rPr>
        <w:t>MLOps Foundations Solutions and Marking Guide</w:t>
      </w:r>
    </w:p>
    <w:p>
      <w:pPr>
        <w:pStyle w:val="Subtitle"/>
        <w:jc w:val="center"/>
      </w:pPr>
      <w:r>
        <w:rPr>
          <w:rFonts w:ascii="Garamond" w:hAnsi="Garamond"/>
          <w:sz w:val="24"/>
        </w:rPr>
        <w:t>SRAI Book 5 Lesson 1 | PU-B05-C01 | Instructor Controlled v0.1</w:t>
      </w:r>
    </w:p>
    <w:p>
      <w:pPr>
        <w:pStyle w:val="Subtitle"/>
        <w:jc w:val="center"/>
      </w:pPr>
      <w:r>
        <w:rPr>
          <w:rFonts w:ascii="Garamond" w:hAnsi="Garamond"/>
          <w:sz w:val="24"/>
        </w:rPr>
        <w:t>Mbaye Kebe</w:t>
      </w:r>
    </w:p>
    <w:p>
      <w:r>
        <w:rPr>
          <w:rFonts w:ascii="Garamond" w:hAnsi="Garamond"/>
          <w:sz w:val="24"/>
        </w:rPr>
        <w:t>This guide supplies expected reasoning and marking anchors. Equivalent technically sound answers receive credit when they preserve evidence, failure behavior and accountable authority.</w:t>
      </w:r>
    </w:p>
    <w:p>
      <w:r>
        <w:rPr>
          <w:rFonts w:ascii="Garamond" w:hAnsi="Garamond"/>
          <w:sz w:val="24"/>
        </w:rPr>
        <w:br w:type="page"/>
      </w:r>
    </w:p>
    <w:p>
      <w:pPr>
        <w:pStyle w:val="Heading1"/>
      </w:pPr>
      <w:r>
        <w:rPr>
          <w:rFonts w:ascii="Garamond" w:hAnsi="Garamond"/>
          <w:sz w:val="24"/>
        </w:rPr>
        <w:t>Exercise 1</w:t>
      </w:r>
    </w:p>
    <w:p>
      <w:r>
        <w:rPr>
          <w:rFonts w:ascii="Garamond" w:hAnsi="Garamond"/>
          <w:sz w:val="24"/>
        </w:rPr>
        <w:t>A complete map covers framing, accepted data, experiment, validation, registry, approval, deployment, monitoring, change and retirement. It names data owner, builder, evaluator, operator, domain owner and approver. Mandatory gates are conjunctive. Full marks require a sector-specific return path after drift or incident.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rFonts w:ascii="Garamond" w:hAnsi="Garamond"/>
                <w:b/>
                <w:color w:val="FFFFFF"/>
                <w:sz w:val="24"/>
              </w:rPr>
              <w:t>Criterion</w:t>
            </w:r>
          </w:p>
        </w:tc>
        <w:tc>
          <w:tcPr>
            <w:tcW w:type="dxa" w:w="3264"/>
            <w:shd w:fill="17365D"/>
          </w:tcPr>
          <w:p>
            <w:r>
              <w:rPr>
                <w:rFonts w:ascii="Garamond" w:hAnsi="Garamond"/>
                <w:b/>
                <w:color w:val="FFFFFF"/>
                <w:sz w:val="24"/>
              </w:rPr>
              <w:t>Share</w:t>
            </w:r>
          </w:p>
        </w:tc>
        <w:tc>
          <w:tcPr>
            <w:tcW w:type="dxa" w:w="3264"/>
            <w:shd w:fill="17365D"/>
          </w:tcPr>
          <w:p>
            <w:r>
              <w:rPr>
                <w:rFonts w:ascii="Garamond" w:hAnsi="Garamond"/>
                <w:b/>
                <w:color w:val="FFFFFF"/>
                <w:sz w:val="24"/>
              </w:rPr>
              <w:t>Full-credit evidence</w:t>
            </w:r>
          </w:p>
        </w:tc>
      </w:tr>
      <w:tr>
        <w:tc>
          <w:tcPr>
            <w:tcW w:type="dxa" w:w="3264"/>
            <w:vAlign w:val="center"/>
          </w:tcPr>
          <w:p>
            <w:r>
              <w:rPr>
                <w:rFonts w:ascii="Garamond" w:hAnsi="Garamond"/>
                <w:sz w:val="24"/>
              </w:rPr>
              <w:t>Technical correctness</w:t>
            </w:r>
          </w:p>
        </w:tc>
        <w:tc>
          <w:tcPr>
            <w:tcW w:type="dxa" w:w="3264"/>
            <w:vAlign w:val="center"/>
          </w:tcPr>
          <w:p>
            <w:r>
              <w:rPr>
                <w:rFonts w:ascii="Garamond" w:hAnsi="Garamond"/>
                <w:sz w:val="24"/>
              </w:rPr>
              <w:t>40%</w:t>
            </w:r>
          </w:p>
        </w:tc>
        <w:tc>
          <w:tcPr>
            <w:tcW w:type="dxa" w:w="3264"/>
            <w:vAlign w:val="center"/>
          </w:tcPr>
          <w:p>
            <w:r>
              <w:rPr>
                <w:rFonts w:ascii="Garamond" w:hAnsi="Garamond"/>
                <w:sz w:val="24"/>
              </w:rPr>
              <w:t>Map the lifecycle for a monthly public-sector prediction service. Identify states, artifacts, owners, mandatory gates, exception authority and return paths. Apply it to one of Agriculture, Education, Health or Habitat.</w:t>
            </w:r>
          </w:p>
        </w:tc>
      </w:tr>
      <w:tr>
        <w:tc>
          <w:tcPr>
            <w:tcW w:type="dxa" w:w="3264"/>
            <w:vAlign w:val="center"/>
            <w:shd w:fill="EAF0F6"/>
          </w:tcPr>
          <w:p>
            <w:r>
              <w:rPr>
                <w:rFonts w:ascii="Garamond" w:hAnsi="Garamond"/>
                <w:sz w:val="24"/>
              </w:rPr>
              <w:t>Applied reasoning</w:t>
            </w:r>
          </w:p>
        </w:tc>
        <w:tc>
          <w:tcPr>
            <w:tcW w:type="dxa" w:w="3264"/>
            <w:vAlign w:val="center"/>
            <w:shd w:fill="EAF0F6"/>
          </w:tcPr>
          <w:p>
            <w:r>
              <w:rPr>
                <w:rFonts w:ascii="Garamond" w:hAnsi="Garamond"/>
                <w:sz w:val="24"/>
              </w:rPr>
              <w:t>30%</w:t>
            </w:r>
          </w:p>
        </w:tc>
        <w:tc>
          <w:tcPr>
            <w:tcW w:type="dxa" w:w="3264"/>
            <w:vAlign w:val="center"/>
            <w:shd w:fill="EAF0F6"/>
          </w:tcPr>
          <w:p>
            <w:r>
              <w:rPr>
                <w:rFonts w:ascii="Garamond" w:hAnsi="Garamond"/>
                <w:sz w:val="24"/>
              </w:rPr>
              <w:t>Links the control to consequence and failure behavior</w:t>
            </w:r>
          </w:p>
        </w:tc>
      </w:tr>
      <w:tr>
        <w:tc>
          <w:tcPr>
            <w:tcW w:type="dxa" w:w="3264"/>
            <w:vAlign w:val="center"/>
          </w:tcPr>
          <w:p>
            <w:r>
              <w:rPr>
                <w:rFonts w:ascii="Garamond" w:hAnsi="Garamond"/>
                <w:sz w:val="24"/>
              </w:rPr>
              <w:t>Evidence specificity</w:t>
            </w:r>
          </w:p>
        </w:tc>
        <w:tc>
          <w:tcPr>
            <w:tcW w:type="dxa" w:w="3264"/>
            <w:vAlign w:val="center"/>
          </w:tcPr>
          <w:p>
            <w:r>
              <w:rPr>
                <w:rFonts w:ascii="Garamond" w:hAnsi="Garamond"/>
                <w:sz w:val="24"/>
              </w:rPr>
              <w:t>20%</w:t>
            </w:r>
          </w:p>
        </w:tc>
        <w:tc>
          <w:tcPr>
            <w:tcW w:type="dxa" w:w="3264"/>
            <w:vAlign w:val="center"/>
          </w:tcPr>
          <w:p>
            <w:r>
              <w:rPr>
                <w:rFonts w:ascii="Garamond" w:hAnsi="Garamond"/>
                <w:sz w:val="24"/>
              </w:rPr>
              <w:t>Names artifacts, versions, owners and decision records</w:t>
            </w:r>
          </w:p>
        </w:tc>
      </w:tr>
      <w:tr>
        <w:tc>
          <w:tcPr>
            <w:tcW w:type="dxa" w:w="3264"/>
            <w:vAlign w:val="center"/>
            <w:shd w:fill="EAF0F6"/>
          </w:tcPr>
          <w:p>
            <w:r>
              <w:rPr>
                <w:rFonts w:ascii="Garamond" w:hAnsi="Garamond"/>
                <w:sz w:val="24"/>
              </w:rPr>
              <w:t>Clarity</w:t>
            </w:r>
          </w:p>
        </w:tc>
        <w:tc>
          <w:tcPr>
            <w:tcW w:type="dxa" w:w="3264"/>
            <w:vAlign w:val="center"/>
            <w:shd w:fill="EAF0F6"/>
          </w:tcPr>
          <w:p>
            <w:r>
              <w:rPr>
                <w:rFonts w:ascii="Garamond" w:hAnsi="Garamond"/>
                <w:sz w:val="24"/>
              </w:rPr>
              <w:t>10%</w:t>
            </w:r>
          </w:p>
        </w:tc>
        <w:tc>
          <w:tcPr>
            <w:tcW w:type="dxa" w:w="3264"/>
            <w:vAlign w:val="center"/>
            <w:shd w:fill="EAF0F6"/>
          </w:tcPr>
          <w:p>
            <w:r>
              <w:rPr>
                <w:rFonts w:ascii="Garamond" w:hAnsi="Garamond"/>
                <w:sz w:val="24"/>
              </w:rPr>
              <w:t>Separates fact, inference, recommendation and authority</w:t>
            </w:r>
          </w:p>
        </w:tc>
      </w:tr>
    </w:tbl>
    <w:p>
      <w:r>
        <w:rPr>
          <w:rFonts w:ascii="Garamond" w:hAnsi="Garamond"/>
          <w:sz w:val="24"/>
        </w:rPr>
        <w:t>Maximum: 12 marks. Partial credit should reflect the four criteria; do not award full credit for terminology without an operational decision path.</w:t>
      </w:r>
    </w:p>
    <w:p>
      <w:r>
        <w:rPr>
          <w:rFonts w:ascii="Garamond" w:hAnsi="Garamond"/>
          <w:sz w:val="24"/>
        </w:rPr>
        <w:br w:type="page"/>
      </w:r>
    </w:p>
    <w:p>
      <w:pPr>
        <w:pStyle w:val="Heading1"/>
      </w:pPr>
      <w:r>
        <w:rPr>
          <w:rFonts w:ascii="Garamond" w:hAnsi="Garamond"/>
          <w:sz w:val="24"/>
        </w:rPr>
        <w:t>Exercise 2</w:t>
      </w:r>
    </w:p>
    <w:p>
      <w:r>
        <w:rPr>
          <w:rFonts w:ascii="Garamond" w:hAnsi="Garamond"/>
          <w:sz w:val="24"/>
        </w:rPr>
        <w:t>The contract identifies immutable or versioned inputs and the acceptable reconstruction tolerance. A digest proves byte identity under the selected algorithm. It does not prove correctness, provenance, fairness, authorization or semantic equivalence.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rFonts w:ascii="Garamond" w:hAnsi="Garamond"/>
                <w:b/>
                <w:color w:val="FFFFFF"/>
                <w:sz w:val="24"/>
              </w:rPr>
              <w:t>Criterion</w:t>
            </w:r>
          </w:p>
        </w:tc>
        <w:tc>
          <w:tcPr>
            <w:tcW w:type="dxa" w:w="3264"/>
            <w:shd w:fill="17365D"/>
          </w:tcPr>
          <w:p>
            <w:r>
              <w:rPr>
                <w:rFonts w:ascii="Garamond" w:hAnsi="Garamond"/>
                <w:b/>
                <w:color w:val="FFFFFF"/>
                <w:sz w:val="24"/>
              </w:rPr>
              <w:t>Share</w:t>
            </w:r>
          </w:p>
        </w:tc>
        <w:tc>
          <w:tcPr>
            <w:tcW w:type="dxa" w:w="3264"/>
            <w:shd w:fill="17365D"/>
          </w:tcPr>
          <w:p>
            <w:r>
              <w:rPr>
                <w:rFonts w:ascii="Garamond" w:hAnsi="Garamond"/>
                <w:b/>
                <w:color w:val="FFFFFF"/>
                <w:sz w:val="24"/>
              </w:rPr>
              <w:t>Full-credit evidence</w:t>
            </w:r>
          </w:p>
        </w:tc>
      </w:tr>
      <w:tr>
        <w:tc>
          <w:tcPr>
            <w:tcW w:type="dxa" w:w="3264"/>
            <w:vAlign w:val="center"/>
          </w:tcPr>
          <w:p>
            <w:r>
              <w:rPr>
                <w:rFonts w:ascii="Garamond" w:hAnsi="Garamond"/>
                <w:sz w:val="24"/>
              </w:rPr>
              <w:t>Technical correctness</w:t>
            </w:r>
          </w:p>
        </w:tc>
        <w:tc>
          <w:tcPr>
            <w:tcW w:type="dxa" w:w="3264"/>
            <w:vAlign w:val="center"/>
          </w:tcPr>
          <w:p>
            <w:r>
              <w:rPr>
                <w:rFonts w:ascii="Garamond" w:hAnsi="Garamond"/>
                <w:sz w:val="24"/>
              </w:rPr>
              <w:t>40%</w:t>
            </w:r>
          </w:p>
        </w:tc>
        <w:tc>
          <w:tcPr>
            <w:tcW w:type="dxa" w:w="3264"/>
            <w:vAlign w:val="center"/>
          </w:tcPr>
          <w:p>
            <w:r>
              <w:rPr>
                <w:rFonts w:ascii="Garamond" w:hAnsi="Garamond"/>
                <w:sz w:val="24"/>
              </w:rPr>
              <w:t>Write a contract covering data, code, configuration, environment, random state, hardware assumptions and tolerance. Explain what a cryptographic digest proves and what it cannot prove.</w:t>
            </w:r>
          </w:p>
        </w:tc>
      </w:tr>
      <w:tr>
        <w:tc>
          <w:tcPr>
            <w:tcW w:type="dxa" w:w="3264"/>
            <w:vAlign w:val="center"/>
            <w:shd w:fill="EAF0F6"/>
          </w:tcPr>
          <w:p>
            <w:r>
              <w:rPr>
                <w:rFonts w:ascii="Garamond" w:hAnsi="Garamond"/>
                <w:sz w:val="24"/>
              </w:rPr>
              <w:t>Applied reasoning</w:t>
            </w:r>
          </w:p>
        </w:tc>
        <w:tc>
          <w:tcPr>
            <w:tcW w:type="dxa" w:w="3264"/>
            <w:vAlign w:val="center"/>
            <w:shd w:fill="EAF0F6"/>
          </w:tcPr>
          <w:p>
            <w:r>
              <w:rPr>
                <w:rFonts w:ascii="Garamond" w:hAnsi="Garamond"/>
                <w:sz w:val="24"/>
              </w:rPr>
              <w:t>30%</w:t>
            </w:r>
          </w:p>
        </w:tc>
        <w:tc>
          <w:tcPr>
            <w:tcW w:type="dxa" w:w="3264"/>
            <w:vAlign w:val="center"/>
            <w:shd w:fill="EAF0F6"/>
          </w:tcPr>
          <w:p>
            <w:r>
              <w:rPr>
                <w:rFonts w:ascii="Garamond" w:hAnsi="Garamond"/>
                <w:sz w:val="24"/>
              </w:rPr>
              <w:t>Links the control to consequence and failure behavior</w:t>
            </w:r>
          </w:p>
        </w:tc>
      </w:tr>
      <w:tr>
        <w:tc>
          <w:tcPr>
            <w:tcW w:type="dxa" w:w="3264"/>
            <w:vAlign w:val="center"/>
          </w:tcPr>
          <w:p>
            <w:r>
              <w:rPr>
                <w:rFonts w:ascii="Garamond" w:hAnsi="Garamond"/>
                <w:sz w:val="24"/>
              </w:rPr>
              <w:t>Evidence specificity</w:t>
            </w:r>
          </w:p>
        </w:tc>
        <w:tc>
          <w:tcPr>
            <w:tcW w:type="dxa" w:w="3264"/>
            <w:vAlign w:val="center"/>
          </w:tcPr>
          <w:p>
            <w:r>
              <w:rPr>
                <w:rFonts w:ascii="Garamond" w:hAnsi="Garamond"/>
                <w:sz w:val="24"/>
              </w:rPr>
              <w:t>20%</w:t>
            </w:r>
          </w:p>
        </w:tc>
        <w:tc>
          <w:tcPr>
            <w:tcW w:type="dxa" w:w="3264"/>
            <w:vAlign w:val="center"/>
          </w:tcPr>
          <w:p>
            <w:r>
              <w:rPr>
                <w:rFonts w:ascii="Garamond" w:hAnsi="Garamond"/>
                <w:sz w:val="24"/>
              </w:rPr>
              <w:t>Names artifacts, versions, owners and decision records</w:t>
            </w:r>
          </w:p>
        </w:tc>
      </w:tr>
      <w:tr>
        <w:tc>
          <w:tcPr>
            <w:tcW w:type="dxa" w:w="3264"/>
            <w:vAlign w:val="center"/>
            <w:shd w:fill="EAF0F6"/>
          </w:tcPr>
          <w:p>
            <w:r>
              <w:rPr>
                <w:rFonts w:ascii="Garamond" w:hAnsi="Garamond"/>
                <w:sz w:val="24"/>
              </w:rPr>
              <w:t>Clarity</w:t>
            </w:r>
          </w:p>
        </w:tc>
        <w:tc>
          <w:tcPr>
            <w:tcW w:type="dxa" w:w="3264"/>
            <w:vAlign w:val="center"/>
            <w:shd w:fill="EAF0F6"/>
          </w:tcPr>
          <w:p>
            <w:r>
              <w:rPr>
                <w:rFonts w:ascii="Garamond" w:hAnsi="Garamond"/>
                <w:sz w:val="24"/>
              </w:rPr>
              <w:t>10%</w:t>
            </w:r>
          </w:p>
        </w:tc>
        <w:tc>
          <w:tcPr>
            <w:tcW w:type="dxa" w:w="3264"/>
            <w:vAlign w:val="center"/>
            <w:shd w:fill="EAF0F6"/>
          </w:tcPr>
          <w:p>
            <w:r>
              <w:rPr>
                <w:rFonts w:ascii="Garamond" w:hAnsi="Garamond"/>
                <w:sz w:val="24"/>
              </w:rPr>
              <w:t>Separates fact, inference, recommendation and authority</w:t>
            </w:r>
          </w:p>
        </w:tc>
      </w:tr>
    </w:tbl>
    <w:p>
      <w:r>
        <w:rPr>
          <w:rFonts w:ascii="Garamond" w:hAnsi="Garamond"/>
          <w:sz w:val="24"/>
        </w:rPr>
        <w:t>Maximum: 12 marks. Partial credit should reflect the four criteria; do not award full credit for terminology without an operational decision path.</w:t>
      </w:r>
    </w:p>
    <w:p>
      <w:r>
        <w:rPr>
          <w:rFonts w:ascii="Garamond" w:hAnsi="Garamond"/>
          <w:sz w:val="24"/>
        </w:rPr>
        <w:br w:type="page"/>
      </w:r>
    </w:p>
    <w:p>
      <w:pPr>
        <w:pStyle w:val="Heading1"/>
      </w:pPr>
      <w:r>
        <w:rPr>
          <w:rFonts w:ascii="Garamond" w:hAnsi="Garamond"/>
          <w:sz w:val="24"/>
        </w:rPr>
        <w:t>Exercise 3</w:t>
      </w:r>
    </w:p>
    <w:p>
      <w:r>
        <w:rPr>
          <w:rFonts w:ascii="Garamond" w:hAnsi="Garamond"/>
          <w:sz w:val="24"/>
        </w:rPr>
        <w:t>Strong answers test exact schema, types, units, ranges, missingness, categories, uniqueness where relevant and time coverage. A failed mandatory test blocks downstream execution. An exception requires an owner, rationale, impact assessment and expiry.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rFonts w:ascii="Garamond" w:hAnsi="Garamond"/>
                <w:b/>
                <w:color w:val="FFFFFF"/>
                <w:sz w:val="24"/>
              </w:rPr>
              <w:t>Criterion</w:t>
            </w:r>
          </w:p>
        </w:tc>
        <w:tc>
          <w:tcPr>
            <w:tcW w:type="dxa" w:w="3264"/>
            <w:shd w:fill="17365D"/>
          </w:tcPr>
          <w:p>
            <w:r>
              <w:rPr>
                <w:rFonts w:ascii="Garamond" w:hAnsi="Garamond"/>
                <w:b/>
                <w:color w:val="FFFFFF"/>
                <w:sz w:val="24"/>
              </w:rPr>
              <w:t>Share</w:t>
            </w:r>
          </w:p>
        </w:tc>
        <w:tc>
          <w:tcPr>
            <w:tcW w:type="dxa" w:w="3264"/>
            <w:shd w:fill="17365D"/>
          </w:tcPr>
          <w:p>
            <w:r>
              <w:rPr>
                <w:rFonts w:ascii="Garamond" w:hAnsi="Garamond"/>
                <w:b/>
                <w:color w:val="FFFFFF"/>
                <w:sz w:val="24"/>
              </w:rPr>
              <w:t>Full-credit evidence</w:t>
            </w:r>
          </w:p>
        </w:tc>
      </w:tr>
      <w:tr>
        <w:tc>
          <w:tcPr>
            <w:tcW w:type="dxa" w:w="3264"/>
            <w:vAlign w:val="center"/>
          </w:tcPr>
          <w:p>
            <w:r>
              <w:rPr>
                <w:rFonts w:ascii="Garamond" w:hAnsi="Garamond"/>
                <w:sz w:val="24"/>
              </w:rPr>
              <w:t>Technical correctness</w:t>
            </w:r>
          </w:p>
        </w:tc>
        <w:tc>
          <w:tcPr>
            <w:tcW w:type="dxa" w:w="3264"/>
            <w:vAlign w:val="center"/>
          </w:tcPr>
          <w:p>
            <w:r>
              <w:rPr>
                <w:rFonts w:ascii="Garamond" w:hAnsi="Garamond"/>
                <w:sz w:val="24"/>
              </w:rPr>
              <w:t>40%</w:t>
            </w:r>
          </w:p>
        </w:tc>
        <w:tc>
          <w:tcPr>
            <w:tcW w:type="dxa" w:w="3264"/>
            <w:vAlign w:val="center"/>
          </w:tcPr>
          <w:p>
            <w:r>
              <w:rPr>
                <w:rFonts w:ascii="Garamond" w:hAnsi="Garamond"/>
                <w:sz w:val="24"/>
              </w:rPr>
              <w:t>Design schema, range, missingness, temporal and category checks for the selected sector. Inject one failure in the notebook and show that training stops.</w:t>
            </w:r>
          </w:p>
        </w:tc>
      </w:tr>
      <w:tr>
        <w:tc>
          <w:tcPr>
            <w:tcW w:type="dxa" w:w="3264"/>
            <w:vAlign w:val="center"/>
            <w:shd w:fill="EAF0F6"/>
          </w:tcPr>
          <w:p>
            <w:r>
              <w:rPr>
                <w:rFonts w:ascii="Garamond" w:hAnsi="Garamond"/>
                <w:sz w:val="24"/>
              </w:rPr>
              <w:t>Applied reasoning</w:t>
            </w:r>
          </w:p>
        </w:tc>
        <w:tc>
          <w:tcPr>
            <w:tcW w:type="dxa" w:w="3264"/>
            <w:vAlign w:val="center"/>
            <w:shd w:fill="EAF0F6"/>
          </w:tcPr>
          <w:p>
            <w:r>
              <w:rPr>
                <w:rFonts w:ascii="Garamond" w:hAnsi="Garamond"/>
                <w:sz w:val="24"/>
              </w:rPr>
              <w:t>30%</w:t>
            </w:r>
          </w:p>
        </w:tc>
        <w:tc>
          <w:tcPr>
            <w:tcW w:type="dxa" w:w="3264"/>
            <w:vAlign w:val="center"/>
            <w:shd w:fill="EAF0F6"/>
          </w:tcPr>
          <w:p>
            <w:r>
              <w:rPr>
                <w:rFonts w:ascii="Garamond" w:hAnsi="Garamond"/>
                <w:sz w:val="24"/>
              </w:rPr>
              <w:t>Links the control to consequence and failure behavior</w:t>
            </w:r>
          </w:p>
        </w:tc>
      </w:tr>
      <w:tr>
        <w:tc>
          <w:tcPr>
            <w:tcW w:type="dxa" w:w="3264"/>
            <w:vAlign w:val="center"/>
          </w:tcPr>
          <w:p>
            <w:r>
              <w:rPr>
                <w:rFonts w:ascii="Garamond" w:hAnsi="Garamond"/>
                <w:sz w:val="24"/>
              </w:rPr>
              <w:t>Evidence specificity</w:t>
            </w:r>
          </w:p>
        </w:tc>
        <w:tc>
          <w:tcPr>
            <w:tcW w:type="dxa" w:w="3264"/>
            <w:vAlign w:val="center"/>
          </w:tcPr>
          <w:p>
            <w:r>
              <w:rPr>
                <w:rFonts w:ascii="Garamond" w:hAnsi="Garamond"/>
                <w:sz w:val="24"/>
              </w:rPr>
              <w:t>20%</w:t>
            </w:r>
          </w:p>
        </w:tc>
        <w:tc>
          <w:tcPr>
            <w:tcW w:type="dxa" w:w="3264"/>
            <w:vAlign w:val="center"/>
          </w:tcPr>
          <w:p>
            <w:r>
              <w:rPr>
                <w:rFonts w:ascii="Garamond" w:hAnsi="Garamond"/>
                <w:sz w:val="24"/>
              </w:rPr>
              <w:t>Names artifacts, versions, owners and decision records</w:t>
            </w:r>
          </w:p>
        </w:tc>
      </w:tr>
      <w:tr>
        <w:tc>
          <w:tcPr>
            <w:tcW w:type="dxa" w:w="3264"/>
            <w:vAlign w:val="center"/>
            <w:shd w:fill="EAF0F6"/>
          </w:tcPr>
          <w:p>
            <w:r>
              <w:rPr>
                <w:rFonts w:ascii="Garamond" w:hAnsi="Garamond"/>
                <w:sz w:val="24"/>
              </w:rPr>
              <w:t>Clarity</w:t>
            </w:r>
          </w:p>
        </w:tc>
        <w:tc>
          <w:tcPr>
            <w:tcW w:type="dxa" w:w="3264"/>
            <w:vAlign w:val="center"/>
            <w:shd w:fill="EAF0F6"/>
          </w:tcPr>
          <w:p>
            <w:r>
              <w:rPr>
                <w:rFonts w:ascii="Garamond" w:hAnsi="Garamond"/>
                <w:sz w:val="24"/>
              </w:rPr>
              <w:t>10%</w:t>
            </w:r>
          </w:p>
        </w:tc>
        <w:tc>
          <w:tcPr>
            <w:tcW w:type="dxa" w:w="3264"/>
            <w:vAlign w:val="center"/>
            <w:shd w:fill="EAF0F6"/>
          </w:tcPr>
          <w:p>
            <w:r>
              <w:rPr>
                <w:rFonts w:ascii="Garamond" w:hAnsi="Garamond"/>
                <w:sz w:val="24"/>
              </w:rPr>
              <w:t>Separates fact, inference, recommendation and authority</w:t>
            </w:r>
          </w:p>
        </w:tc>
      </w:tr>
    </w:tbl>
    <w:p>
      <w:r>
        <w:rPr>
          <w:rFonts w:ascii="Garamond" w:hAnsi="Garamond"/>
          <w:sz w:val="24"/>
        </w:rPr>
        <w:t>Maximum: 12 marks. Partial credit should reflect the four criteria; do not award full credit for terminology without an operational decision path.</w:t>
      </w:r>
    </w:p>
    <w:p>
      <w:r>
        <w:rPr>
          <w:rFonts w:ascii="Garamond" w:hAnsi="Garamond"/>
          <w:sz w:val="24"/>
        </w:rPr>
        <w:br w:type="page"/>
      </w:r>
    </w:p>
    <w:p>
      <w:pPr>
        <w:pStyle w:val="Heading1"/>
      </w:pPr>
      <w:r>
        <w:rPr>
          <w:rFonts w:ascii="Garamond" w:hAnsi="Garamond"/>
          <w:sz w:val="24"/>
        </w:rPr>
        <w:t>Exercise 4</w:t>
      </w:r>
    </w:p>
    <w:p>
      <w:r>
        <w:rPr>
          <w:rFonts w:ascii="Garamond" w:hAnsi="Garamond"/>
          <w:sz w:val="24"/>
        </w:rPr>
        <w:t>Precision is 160/240 = 0.667. Recall is 160/200 = 0.800. Specificity is 220/300 = 0.733. Accuracy is 380/500 = 0.760. F1 is approximately 0.727. Threshold choice must connect false negatives, false positives and intervention capacity.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rFonts w:ascii="Garamond" w:hAnsi="Garamond"/>
                <w:b/>
                <w:color w:val="FFFFFF"/>
                <w:sz w:val="24"/>
              </w:rPr>
              <w:t>Criterion</w:t>
            </w:r>
          </w:p>
        </w:tc>
        <w:tc>
          <w:tcPr>
            <w:tcW w:type="dxa" w:w="3264"/>
            <w:shd w:fill="17365D"/>
          </w:tcPr>
          <w:p>
            <w:r>
              <w:rPr>
                <w:rFonts w:ascii="Garamond" w:hAnsi="Garamond"/>
                <w:b/>
                <w:color w:val="FFFFFF"/>
                <w:sz w:val="24"/>
              </w:rPr>
              <w:t>Share</w:t>
            </w:r>
          </w:p>
        </w:tc>
        <w:tc>
          <w:tcPr>
            <w:tcW w:type="dxa" w:w="3264"/>
            <w:shd w:fill="17365D"/>
          </w:tcPr>
          <w:p>
            <w:r>
              <w:rPr>
                <w:rFonts w:ascii="Garamond" w:hAnsi="Garamond"/>
                <w:b/>
                <w:color w:val="FFFFFF"/>
                <w:sz w:val="24"/>
              </w:rPr>
              <w:t>Full-credit evidence</w:t>
            </w:r>
          </w:p>
        </w:tc>
      </w:tr>
      <w:tr>
        <w:tc>
          <w:tcPr>
            <w:tcW w:type="dxa" w:w="3264"/>
            <w:vAlign w:val="center"/>
          </w:tcPr>
          <w:p>
            <w:r>
              <w:rPr>
                <w:rFonts w:ascii="Garamond" w:hAnsi="Garamond"/>
                <w:sz w:val="24"/>
              </w:rPr>
              <w:t>Technical correctness</w:t>
            </w:r>
          </w:p>
        </w:tc>
        <w:tc>
          <w:tcPr>
            <w:tcW w:type="dxa" w:w="3264"/>
            <w:vAlign w:val="center"/>
          </w:tcPr>
          <w:p>
            <w:r>
              <w:rPr>
                <w:rFonts w:ascii="Garamond" w:hAnsi="Garamond"/>
                <w:sz w:val="24"/>
              </w:rPr>
              <w:t>40%</w:t>
            </w:r>
          </w:p>
        </w:tc>
        <w:tc>
          <w:tcPr>
            <w:tcW w:type="dxa" w:w="3264"/>
            <w:vAlign w:val="center"/>
          </w:tcPr>
          <w:p>
            <w:r>
              <w:rPr>
                <w:rFonts w:ascii="Garamond" w:hAnsi="Garamond"/>
                <w:sz w:val="24"/>
              </w:rPr>
              <w:t>Using a confusion matrix with TP 160, FP 80, FN 40 and TN 220, calculate precision, recall, specificity, accuracy and F1. Recommend a threshold policy linked to consequences and intervention capacity.</w:t>
            </w:r>
          </w:p>
        </w:tc>
      </w:tr>
      <w:tr>
        <w:tc>
          <w:tcPr>
            <w:tcW w:type="dxa" w:w="3264"/>
            <w:vAlign w:val="center"/>
            <w:shd w:fill="EAF0F6"/>
          </w:tcPr>
          <w:p>
            <w:r>
              <w:rPr>
                <w:rFonts w:ascii="Garamond" w:hAnsi="Garamond"/>
                <w:sz w:val="24"/>
              </w:rPr>
              <w:t>Applied reasoning</w:t>
            </w:r>
          </w:p>
        </w:tc>
        <w:tc>
          <w:tcPr>
            <w:tcW w:type="dxa" w:w="3264"/>
            <w:vAlign w:val="center"/>
            <w:shd w:fill="EAF0F6"/>
          </w:tcPr>
          <w:p>
            <w:r>
              <w:rPr>
                <w:rFonts w:ascii="Garamond" w:hAnsi="Garamond"/>
                <w:sz w:val="24"/>
              </w:rPr>
              <w:t>30%</w:t>
            </w:r>
          </w:p>
        </w:tc>
        <w:tc>
          <w:tcPr>
            <w:tcW w:type="dxa" w:w="3264"/>
            <w:vAlign w:val="center"/>
            <w:shd w:fill="EAF0F6"/>
          </w:tcPr>
          <w:p>
            <w:r>
              <w:rPr>
                <w:rFonts w:ascii="Garamond" w:hAnsi="Garamond"/>
                <w:sz w:val="24"/>
              </w:rPr>
              <w:t>Links the control to consequence and failure behavior</w:t>
            </w:r>
          </w:p>
        </w:tc>
      </w:tr>
      <w:tr>
        <w:tc>
          <w:tcPr>
            <w:tcW w:type="dxa" w:w="3264"/>
            <w:vAlign w:val="center"/>
          </w:tcPr>
          <w:p>
            <w:r>
              <w:rPr>
                <w:rFonts w:ascii="Garamond" w:hAnsi="Garamond"/>
                <w:sz w:val="24"/>
              </w:rPr>
              <w:t>Evidence specificity</w:t>
            </w:r>
          </w:p>
        </w:tc>
        <w:tc>
          <w:tcPr>
            <w:tcW w:type="dxa" w:w="3264"/>
            <w:vAlign w:val="center"/>
          </w:tcPr>
          <w:p>
            <w:r>
              <w:rPr>
                <w:rFonts w:ascii="Garamond" w:hAnsi="Garamond"/>
                <w:sz w:val="24"/>
              </w:rPr>
              <w:t>20%</w:t>
            </w:r>
          </w:p>
        </w:tc>
        <w:tc>
          <w:tcPr>
            <w:tcW w:type="dxa" w:w="3264"/>
            <w:vAlign w:val="center"/>
          </w:tcPr>
          <w:p>
            <w:r>
              <w:rPr>
                <w:rFonts w:ascii="Garamond" w:hAnsi="Garamond"/>
                <w:sz w:val="24"/>
              </w:rPr>
              <w:t>Names artifacts, versions, owners and decision records</w:t>
            </w:r>
          </w:p>
        </w:tc>
      </w:tr>
      <w:tr>
        <w:tc>
          <w:tcPr>
            <w:tcW w:type="dxa" w:w="3264"/>
            <w:vAlign w:val="center"/>
            <w:shd w:fill="EAF0F6"/>
          </w:tcPr>
          <w:p>
            <w:r>
              <w:rPr>
                <w:rFonts w:ascii="Garamond" w:hAnsi="Garamond"/>
                <w:sz w:val="24"/>
              </w:rPr>
              <w:t>Clarity</w:t>
            </w:r>
          </w:p>
        </w:tc>
        <w:tc>
          <w:tcPr>
            <w:tcW w:type="dxa" w:w="3264"/>
            <w:vAlign w:val="center"/>
            <w:shd w:fill="EAF0F6"/>
          </w:tcPr>
          <w:p>
            <w:r>
              <w:rPr>
                <w:rFonts w:ascii="Garamond" w:hAnsi="Garamond"/>
                <w:sz w:val="24"/>
              </w:rPr>
              <w:t>10%</w:t>
            </w:r>
          </w:p>
        </w:tc>
        <w:tc>
          <w:tcPr>
            <w:tcW w:type="dxa" w:w="3264"/>
            <w:vAlign w:val="center"/>
            <w:shd w:fill="EAF0F6"/>
          </w:tcPr>
          <w:p>
            <w:r>
              <w:rPr>
                <w:rFonts w:ascii="Garamond" w:hAnsi="Garamond"/>
                <w:sz w:val="24"/>
              </w:rPr>
              <w:t>Separates fact, inference, recommendation and authority</w:t>
            </w:r>
          </w:p>
        </w:tc>
      </w:tr>
    </w:tbl>
    <w:p>
      <w:r>
        <w:rPr>
          <w:rFonts w:ascii="Garamond" w:hAnsi="Garamond"/>
          <w:sz w:val="24"/>
        </w:rPr>
        <w:t>Maximum: 16 marks. Partial credit should reflect the four criteria; do not award full credit for terminology without an operational decision path.</w:t>
      </w:r>
    </w:p>
    <w:p>
      <w:r>
        <w:rPr>
          <w:rFonts w:ascii="Garamond" w:hAnsi="Garamond"/>
          <w:sz w:val="24"/>
        </w:rPr>
        <w:br w:type="page"/>
      </w:r>
    </w:p>
    <w:p>
      <w:pPr>
        <w:pStyle w:val="Heading1"/>
      </w:pPr>
      <w:r>
        <w:rPr>
          <w:rFonts w:ascii="Garamond" w:hAnsi="Garamond"/>
          <w:sz w:val="24"/>
        </w:rPr>
        <w:t>Exercise 5</w:t>
      </w:r>
    </w:p>
    <w:p>
      <w:r>
        <w:rPr>
          <w:rFonts w:ascii="Garamond" w:hAnsi="Garamond"/>
          <w:sz w:val="24"/>
        </w:rPr>
        <w:t>The manifest links exact data, split, code, configuration, environment, model digest, metrics and decision record. Registration stores a candidate. Eligibility means declared technical gates passed. Approval is an authorized decision. Deployment changes the serving state.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rFonts w:ascii="Garamond" w:hAnsi="Garamond"/>
                <w:b/>
                <w:color w:val="FFFFFF"/>
                <w:sz w:val="24"/>
              </w:rPr>
              <w:t>Criterion</w:t>
            </w:r>
          </w:p>
        </w:tc>
        <w:tc>
          <w:tcPr>
            <w:tcW w:type="dxa" w:w="3264"/>
            <w:shd w:fill="17365D"/>
          </w:tcPr>
          <w:p>
            <w:r>
              <w:rPr>
                <w:rFonts w:ascii="Garamond" w:hAnsi="Garamond"/>
                <w:b/>
                <w:color w:val="FFFFFF"/>
                <w:sz w:val="24"/>
              </w:rPr>
              <w:t>Share</w:t>
            </w:r>
          </w:p>
        </w:tc>
        <w:tc>
          <w:tcPr>
            <w:tcW w:type="dxa" w:w="3264"/>
            <w:shd w:fill="17365D"/>
          </w:tcPr>
          <w:p>
            <w:r>
              <w:rPr>
                <w:rFonts w:ascii="Garamond" w:hAnsi="Garamond"/>
                <w:b/>
                <w:color w:val="FFFFFF"/>
                <w:sz w:val="24"/>
              </w:rPr>
              <w:t>Full-credit evidence</w:t>
            </w:r>
          </w:p>
        </w:tc>
      </w:tr>
      <w:tr>
        <w:tc>
          <w:tcPr>
            <w:tcW w:type="dxa" w:w="3264"/>
            <w:vAlign w:val="center"/>
          </w:tcPr>
          <w:p>
            <w:r>
              <w:rPr>
                <w:rFonts w:ascii="Garamond" w:hAnsi="Garamond"/>
                <w:sz w:val="24"/>
              </w:rPr>
              <w:t>Technical correctness</w:t>
            </w:r>
          </w:p>
        </w:tc>
        <w:tc>
          <w:tcPr>
            <w:tcW w:type="dxa" w:w="3264"/>
            <w:vAlign w:val="center"/>
          </w:tcPr>
          <w:p>
            <w:r>
              <w:rPr>
                <w:rFonts w:ascii="Garamond" w:hAnsi="Garamond"/>
                <w:sz w:val="24"/>
              </w:rPr>
              <w:t>40%</w:t>
            </w:r>
          </w:p>
        </w:tc>
        <w:tc>
          <w:tcPr>
            <w:tcW w:type="dxa" w:w="3264"/>
            <w:vAlign w:val="center"/>
          </w:tcPr>
          <w:p>
            <w:r>
              <w:rPr>
                <w:rFonts w:ascii="Garamond" w:hAnsi="Garamond"/>
                <w:sz w:val="24"/>
              </w:rPr>
              <w:t>Create a manifest that binds dataset, split, code, environment, model, evaluation and decision records. Distinguish registration, eligibility for review, approval and deployment.</w:t>
            </w:r>
          </w:p>
        </w:tc>
      </w:tr>
      <w:tr>
        <w:tc>
          <w:tcPr>
            <w:tcW w:type="dxa" w:w="3264"/>
            <w:vAlign w:val="center"/>
            <w:shd w:fill="EAF0F6"/>
          </w:tcPr>
          <w:p>
            <w:r>
              <w:rPr>
                <w:rFonts w:ascii="Garamond" w:hAnsi="Garamond"/>
                <w:sz w:val="24"/>
              </w:rPr>
              <w:t>Applied reasoning</w:t>
            </w:r>
          </w:p>
        </w:tc>
        <w:tc>
          <w:tcPr>
            <w:tcW w:type="dxa" w:w="3264"/>
            <w:vAlign w:val="center"/>
            <w:shd w:fill="EAF0F6"/>
          </w:tcPr>
          <w:p>
            <w:r>
              <w:rPr>
                <w:rFonts w:ascii="Garamond" w:hAnsi="Garamond"/>
                <w:sz w:val="24"/>
              </w:rPr>
              <w:t>30%</w:t>
            </w:r>
          </w:p>
        </w:tc>
        <w:tc>
          <w:tcPr>
            <w:tcW w:type="dxa" w:w="3264"/>
            <w:vAlign w:val="center"/>
            <w:shd w:fill="EAF0F6"/>
          </w:tcPr>
          <w:p>
            <w:r>
              <w:rPr>
                <w:rFonts w:ascii="Garamond" w:hAnsi="Garamond"/>
                <w:sz w:val="24"/>
              </w:rPr>
              <w:t>Links the control to consequence and failure behavior</w:t>
            </w:r>
          </w:p>
        </w:tc>
      </w:tr>
      <w:tr>
        <w:tc>
          <w:tcPr>
            <w:tcW w:type="dxa" w:w="3264"/>
            <w:vAlign w:val="center"/>
          </w:tcPr>
          <w:p>
            <w:r>
              <w:rPr>
                <w:rFonts w:ascii="Garamond" w:hAnsi="Garamond"/>
                <w:sz w:val="24"/>
              </w:rPr>
              <w:t>Evidence specificity</w:t>
            </w:r>
          </w:p>
        </w:tc>
        <w:tc>
          <w:tcPr>
            <w:tcW w:type="dxa" w:w="3264"/>
            <w:vAlign w:val="center"/>
          </w:tcPr>
          <w:p>
            <w:r>
              <w:rPr>
                <w:rFonts w:ascii="Garamond" w:hAnsi="Garamond"/>
                <w:sz w:val="24"/>
              </w:rPr>
              <w:t>20%</w:t>
            </w:r>
          </w:p>
        </w:tc>
        <w:tc>
          <w:tcPr>
            <w:tcW w:type="dxa" w:w="3264"/>
            <w:vAlign w:val="center"/>
          </w:tcPr>
          <w:p>
            <w:r>
              <w:rPr>
                <w:rFonts w:ascii="Garamond" w:hAnsi="Garamond"/>
                <w:sz w:val="24"/>
              </w:rPr>
              <w:t>Names artifacts, versions, owners and decision records</w:t>
            </w:r>
          </w:p>
        </w:tc>
      </w:tr>
      <w:tr>
        <w:tc>
          <w:tcPr>
            <w:tcW w:type="dxa" w:w="3264"/>
            <w:vAlign w:val="center"/>
            <w:shd w:fill="EAF0F6"/>
          </w:tcPr>
          <w:p>
            <w:r>
              <w:rPr>
                <w:rFonts w:ascii="Garamond" w:hAnsi="Garamond"/>
                <w:sz w:val="24"/>
              </w:rPr>
              <w:t>Clarity</w:t>
            </w:r>
          </w:p>
        </w:tc>
        <w:tc>
          <w:tcPr>
            <w:tcW w:type="dxa" w:w="3264"/>
            <w:vAlign w:val="center"/>
            <w:shd w:fill="EAF0F6"/>
          </w:tcPr>
          <w:p>
            <w:r>
              <w:rPr>
                <w:rFonts w:ascii="Garamond" w:hAnsi="Garamond"/>
                <w:sz w:val="24"/>
              </w:rPr>
              <w:t>10%</w:t>
            </w:r>
          </w:p>
        </w:tc>
        <w:tc>
          <w:tcPr>
            <w:tcW w:type="dxa" w:w="3264"/>
            <w:vAlign w:val="center"/>
            <w:shd w:fill="EAF0F6"/>
          </w:tcPr>
          <w:p>
            <w:r>
              <w:rPr>
                <w:rFonts w:ascii="Garamond" w:hAnsi="Garamond"/>
                <w:sz w:val="24"/>
              </w:rPr>
              <w:t>Separates fact, inference, recommendation and authority</w:t>
            </w:r>
          </w:p>
        </w:tc>
      </w:tr>
    </w:tbl>
    <w:p>
      <w:r>
        <w:rPr>
          <w:rFonts w:ascii="Garamond" w:hAnsi="Garamond"/>
          <w:sz w:val="24"/>
        </w:rPr>
        <w:t>Maximum: 12 marks. Partial credit should reflect the four criteria; do not award full credit for terminology without an operational decision path.</w:t>
      </w:r>
    </w:p>
    <w:p>
      <w:r>
        <w:rPr>
          <w:rFonts w:ascii="Garamond" w:hAnsi="Garamond"/>
          <w:sz w:val="24"/>
        </w:rPr>
        <w:br w:type="page"/>
      </w:r>
    </w:p>
    <w:p>
      <w:pPr>
        <w:pStyle w:val="Heading1"/>
      </w:pPr>
      <w:r>
        <w:rPr>
          <w:rFonts w:ascii="Garamond" w:hAnsi="Garamond"/>
          <w:sz w:val="24"/>
        </w:rPr>
        <w:t>Exercise 6</w:t>
      </w:r>
    </w:p>
    <w:p>
      <w:r>
        <w:rPr>
          <w:rFonts w:ascii="Garamond" w:hAnsi="Garamond"/>
          <w:sz w:val="24"/>
        </w:rPr>
        <w:t>The contract defines required fields, units, values, missing behavior, response schema, model identity and errors. Monitoring includes latency, errors, data quality, distributions, outcomes, slice performance, security and cost, each with threshold, owner and runbook.</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rFonts w:ascii="Garamond" w:hAnsi="Garamond"/>
                <w:b/>
                <w:color w:val="FFFFFF"/>
                <w:sz w:val="24"/>
              </w:rPr>
              <w:t>Criterion</w:t>
            </w:r>
          </w:p>
        </w:tc>
        <w:tc>
          <w:tcPr>
            <w:tcW w:type="dxa" w:w="3264"/>
            <w:shd w:fill="17365D"/>
          </w:tcPr>
          <w:p>
            <w:r>
              <w:rPr>
                <w:rFonts w:ascii="Garamond" w:hAnsi="Garamond"/>
                <w:b/>
                <w:color w:val="FFFFFF"/>
                <w:sz w:val="24"/>
              </w:rPr>
              <w:t>Share</w:t>
            </w:r>
          </w:p>
        </w:tc>
        <w:tc>
          <w:tcPr>
            <w:tcW w:type="dxa" w:w="3264"/>
            <w:shd w:fill="17365D"/>
          </w:tcPr>
          <w:p>
            <w:r>
              <w:rPr>
                <w:rFonts w:ascii="Garamond" w:hAnsi="Garamond"/>
                <w:b/>
                <w:color w:val="FFFFFF"/>
                <w:sz w:val="24"/>
              </w:rPr>
              <w:t>Full-credit evidence</w:t>
            </w:r>
          </w:p>
        </w:tc>
      </w:tr>
      <w:tr>
        <w:tc>
          <w:tcPr>
            <w:tcW w:type="dxa" w:w="3264"/>
            <w:vAlign w:val="center"/>
          </w:tcPr>
          <w:p>
            <w:r>
              <w:rPr>
                <w:rFonts w:ascii="Garamond" w:hAnsi="Garamond"/>
                <w:sz w:val="24"/>
              </w:rPr>
              <w:t>Technical correctness</w:t>
            </w:r>
          </w:p>
        </w:tc>
        <w:tc>
          <w:tcPr>
            <w:tcW w:type="dxa" w:w="3264"/>
            <w:vAlign w:val="center"/>
          </w:tcPr>
          <w:p>
            <w:r>
              <w:rPr>
                <w:rFonts w:ascii="Garamond" w:hAnsi="Garamond"/>
                <w:sz w:val="24"/>
              </w:rPr>
              <w:t>40%</w:t>
            </w:r>
          </w:p>
        </w:tc>
        <w:tc>
          <w:tcPr>
            <w:tcW w:type="dxa" w:w="3264"/>
            <w:vAlign w:val="center"/>
          </w:tcPr>
          <w:p>
            <w:r>
              <w:rPr>
                <w:rFonts w:ascii="Garamond" w:hAnsi="Garamond"/>
                <w:sz w:val="24"/>
              </w:rPr>
              <w:t>Specify an inference contract and a monitoring plan covering service, data, prediction, outcome, subgroup, security and cost indicators. Assign owners and responses.</w:t>
            </w:r>
          </w:p>
        </w:tc>
      </w:tr>
      <w:tr>
        <w:tc>
          <w:tcPr>
            <w:tcW w:type="dxa" w:w="3264"/>
            <w:vAlign w:val="center"/>
            <w:shd w:fill="EAF0F6"/>
          </w:tcPr>
          <w:p>
            <w:r>
              <w:rPr>
                <w:rFonts w:ascii="Garamond" w:hAnsi="Garamond"/>
                <w:sz w:val="24"/>
              </w:rPr>
              <w:t>Applied reasoning</w:t>
            </w:r>
          </w:p>
        </w:tc>
        <w:tc>
          <w:tcPr>
            <w:tcW w:type="dxa" w:w="3264"/>
            <w:vAlign w:val="center"/>
            <w:shd w:fill="EAF0F6"/>
          </w:tcPr>
          <w:p>
            <w:r>
              <w:rPr>
                <w:rFonts w:ascii="Garamond" w:hAnsi="Garamond"/>
                <w:sz w:val="24"/>
              </w:rPr>
              <w:t>30%</w:t>
            </w:r>
          </w:p>
        </w:tc>
        <w:tc>
          <w:tcPr>
            <w:tcW w:type="dxa" w:w="3264"/>
            <w:vAlign w:val="center"/>
            <w:shd w:fill="EAF0F6"/>
          </w:tcPr>
          <w:p>
            <w:r>
              <w:rPr>
                <w:rFonts w:ascii="Garamond" w:hAnsi="Garamond"/>
                <w:sz w:val="24"/>
              </w:rPr>
              <w:t>Links the control to consequence and failure behavior</w:t>
            </w:r>
          </w:p>
        </w:tc>
      </w:tr>
      <w:tr>
        <w:tc>
          <w:tcPr>
            <w:tcW w:type="dxa" w:w="3264"/>
            <w:vAlign w:val="center"/>
          </w:tcPr>
          <w:p>
            <w:r>
              <w:rPr>
                <w:rFonts w:ascii="Garamond" w:hAnsi="Garamond"/>
                <w:sz w:val="24"/>
              </w:rPr>
              <w:t>Evidence specificity</w:t>
            </w:r>
          </w:p>
        </w:tc>
        <w:tc>
          <w:tcPr>
            <w:tcW w:type="dxa" w:w="3264"/>
            <w:vAlign w:val="center"/>
          </w:tcPr>
          <w:p>
            <w:r>
              <w:rPr>
                <w:rFonts w:ascii="Garamond" w:hAnsi="Garamond"/>
                <w:sz w:val="24"/>
              </w:rPr>
              <w:t>20%</w:t>
            </w:r>
          </w:p>
        </w:tc>
        <w:tc>
          <w:tcPr>
            <w:tcW w:type="dxa" w:w="3264"/>
            <w:vAlign w:val="center"/>
          </w:tcPr>
          <w:p>
            <w:r>
              <w:rPr>
                <w:rFonts w:ascii="Garamond" w:hAnsi="Garamond"/>
                <w:sz w:val="24"/>
              </w:rPr>
              <w:t>Names artifacts, versions, owners and decision records</w:t>
            </w:r>
          </w:p>
        </w:tc>
      </w:tr>
      <w:tr>
        <w:tc>
          <w:tcPr>
            <w:tcW w:type="dxa" w:w="3264"/>
            <w:vAlign w:val="center"/>
            <w:shd w:fill="EAF0F6"/>
          </w:tcPr>
          <w:p>
            <w:r>
              <w:rPr>
                <w:rFonts w:ascii="Garamond" w:hAnsi="Garamond"/>
                <w:sz w:val="24"/>
              </w:rPr>
              <w:t>Clarity</w:t>
            </w:r>
          </w:p>
        </w:tc>
        <w:tc>
          <w:tcPr>
            <w:tcW w:type="dxa" w:w="3264"/>
            <w:vAlign w:val="center"/>
            <w:shd w:fill="EAF0F6"/>
          </w:tcPr>
          <w:p>
            <w:r>
              <w:rPr>
                <w:rFonts w:ascii="Garamond" w:hAnsi="Garamond"/>
                <w:sz w:val="24"/>
              </w:rPr>
              <w:t>10%</w:t>
            </w:r>
          </w:p>
        </w:tc>
        <w:tc>
          <w:tcPr>
            <w:tcW w:type="dxa" w:w="3264"/>
            <w:vAlign w:val="center"/>
            <w:shd w:fill="EAF0F6"/>
          </w:tcPr>
          <w:p>
            <w:r>
              <w:rPr>
                <w:rFonts w:ascii="Garamond" w:hAnsi="Garamond"/>
                <w:sz w:val="24"/>
              </w:rPr>
              <w:t>Separates fact, inference, recommendation and authority</w:t>
            </w:r>
          </w:p>
        </w:tc>
      </w:tr>
    </w:tbl>
    <w:p>
      <w:r>
        <w:rPr>
          <w:rFonts w:ascii="Garamond" w:hAnsi="Garamond"/>
          <w:sz w:val="24"/>
        </w:rPr>
        <w:t>Maximum: 14 marks. Partial credit should reflect the four criteria; do not award full credit for terminology without an operational decision path.</w:t>
      </w:r>
    </w:p>
    <w:p>
      <w:r>
        <w:rPr>
          <w:rFonts w:ascii="Garamond" w:hAnsi="Garamond"/>
          <w:sz w:val="24"/>
        </w:rPr>
        <w:br w:type="page"/>
      </w:r>
    </w:p>
    <w:p>
      <w:pPr>
        <w:pStyle w:val="Heading1"/>
      </w:pPr>
      <w:r>
        <w:rPr>
          <w:rFonts w:ascii="Garamond" w:hAnsi="Garamond"/>
          <w:sz w:val="24"/>
        </w:rPr>
        <w:t>Exercise 7</w:t>
      </w:r>
    </w:p>
    <w:p>
      <w:r>
        <w:rPr>
          <w:rFonts w:ascii="Garamond" w:hAnsi="Garamond"/>
          <w:sz w:val="24"/>
        </w:rPr>
        <w:t>Containment rejects or quarantines malformed input and may roll back to a known-good manifest. Impact review identifies affected predictions and decisions. Recovery restores the complete contract. The incident record documents detection, containment, decisions, verification and lessons.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rFonts w:ascii="Garamond" w:hAnsi="Garamond"/>
                <w:b/>
                <w:color w:val="FFFFFF"/>
                <w:sz w:val="24"/>
              </w:rPr>
              <w:t>Criterion</w:t>
            </w:r>
          </w:p>
        </w:tc>
        <w:tc>
          <w:tcPr>
            <w:tcW w:type="dxa" w:w="3264"/>
            <w:shd w:fill="17365D"/>
          </w:tcPr>
          <w:p>
            <w:r>
              <w:rPr>
                <w:rFonts w:ascii="Garamond" w:hAnsi="Garamond"/>
                <w:b/>
                <w:color w:val="FFFFFF"/>
                <w:sz w:val="24"/>
              </w:rPr>
              <w:t>Share</w:t>
            </w:r>
          </w:p>
        </w:tc>
        <w:tc>
          <w:tcPr>
            <w:tcW w:type="dxa" w:w="3264"/>
            <w:shd w:fill="17365D"/>
          </w:tcPr>
          <w:p>
            <w:r>
              <w:rPr>
                <w:rFonts w:ascii="Garamond" w:hAnsi="Garamond"/>
                <w:b/>
                <w:color w:val="FFFFFF"/>
                <w:sz w:val="24"/>
              </w:rPr>
              <w:t>Full-credit evidence</w:t>
            </w:r>
          </w:p>
        </w:tc>
      </w:tr>
      <w:tr>
        <w:tc>
          <w:tcPr>
            <w:tcW w:type="dxa" w:w="3264"/>
            <w:vAlign w:val="center"/>
          </w:tcPr>
          <w:p>
            <w:r>
              <w:rPr>
                <w:rFonts w:ascii="Garamond" w:hAnsi="Garamond"/>
                <w:sz w:val="24"/>
              </w:rPr>
              <w:t>Technical correctness</w:t>
            </w:r>
          </w:p>
        </w:tc>
        <w:tc>
          <w:tcPr>
            <w:tcW w:type="dxa" w:w="3264"/>
            <w:vAlign w:val="center"/>
          </w:tcPr>
          <w:p>
            <w:r>
              <w:rPr>
                <w:rFonts w:ascii="Garamond" w:hAnsi="Garamond"/>
                <w:sz w:val="24"/>
              </w:rPr>
              <w:t>40%</w:t>
            </w:r>
          </w:p>
        </w:tc>
        <w:tc>
          <w:tcPr>
            <w:tcW w:type="dxa" w:w="3264"/>
            <w:vAlign w:val="center"/>
          </w:tcPr>
          <w:p>
            <w:r>
              <w:rPr>
                <w:rFonts w:ascii="Garamond" w:hAnsi="Garamond"/>
                <w:sz w:val="24"/>
              </w:rPr>
              <w:t>Respond to a silent unit change in a mandatory input. Define detection, containment, impact assessment, rollback, recovery verification and post-incident evidence.</w:t>
            </w:r>
          </w:p>
        </w:tc>
      </w:tr>
      <w:tr>
        <w:tc>
          <w:tcPr>
            <w:tcW w:type="dxa" w:w="3264"/>
            <w:vAlign w:val="center"/>
            <w:shd w:fill="EAF0F6"/>
          </w:tcPr>
          <w:p>
            <w:r>
              <w:rPr>
                <w:rFonts w:ascii="Garamond" w:hAnsi="Garamond"/>
                <w:sz w:val="24"/>
              </w:rPr>
              <w:t>Applied reasoning</w:t>
            </w:r>
          </w:p>
        </w:tc>
        <w:tc>
          <w:tcPr>
            <w:tcW w:type="dxa" w:w="3264"/>
            <w:vAlign w:val="center"/>
            <w:shd w:fill="EAF0F6"/>
          </w:tcPr>
          <w:p>
            <w:r>
              <w:rPr>
                <w:rFonts w:ascii="Garamond" w:hAnsi="Garamond"/>
                <w:sz w:val="24"/>
              </w:rPr>
              <w:t>30%</w:t>
            </w:r>
          </w:p>
        </w:tc>
        <w:tc>
          <w:tcPr>
            <w:tcW w:type="dxa" w:w="3264"/>
            <w:vAlign w:val="center"/>
            <w:shd w:fill="EAF0F6"/>
          </w:tcPr>
          <w:p>
            <w:r>
              <w:rPr>
                <w:rFonts w:ascii="Garamond" w:hAnsi="Garamond"/>
                <w:sz w:val="24"/>
              </w:rPr>
              <w:t>Links the control to consequence and failure behavior</w:t>
            </w:r>
          </w:p>
        </w:tc>
      </w:tr>
      <w:tr>
        <w:tc>
          <w:tcPr>
            <w:tcW w:type="dxa" w:w="3264"/>
            <w:vAlign w:val="center"/>
          </w:tcPr>
          <w:p>
            <w:r>
              <w:rPr>
                <w:rFonts w:ascii="Garamond" w:hAnsi="Garamond"/>
                <w:sz w:val="24"/>
              </w:rPr>
              <w:t>Evidence specificity</w:t>
            </w:r>
          </w:p>
        </w:tc>
        <w:tc>
          <w:tcPr>
            <w:tcW w:type="dxa" w:w="3264"/>
            <w:vAlign w:val="center"/>
          </w:tcPr>
          <w:p>
            <w:r>
              <w:rPr>
                <w:rFonts w:ascii="Garamond" w:hAnsi="Garamond"/>
                <w:sz w:val="24"/>
              </w:rPr>
              <w:t>20%</w:t>
            </w:r>
          </w:p>
        </w:tc>
        <w:tc>
          <w:tcPr>
            <w:tcW w:type="dxa" w:w="3264"/>
            <w:vAlign w:val="center"/>
          </w:tcPr>
          <w:p>
            <w:r>
              <w:rPr>
                <w:rFonts w:ascii="Garamond" w:hAnsi="Garamond"/>
                <w:sz w:val="24"/>
              </w:rPr>
              <w:t>Names artifacts, versions, owners and decision records</w:t>
            </w:r>
          </w:p>
        </w:tc>
      </w:tr>
      <w:tr>
        <w:tc>
          <w:tcPr>
            <w:tcW w:type="dxa" w:w="3264"/>
            <w:vAlign w:val="center"/>
            <w:shd w:fill="EAF0F6"/>
          </w:tcPr>
          <w:p>
            <w:r>
              <w:rPr>
                <w:rFonts w:ascii="Garamond" w:hAnsi="Garamond"/>
                <w:sz w:val="24"/>
              </w:rPr>
              <w:t>Clarity</w:t>
            </w:r>
          </w:p>
        </w:tc>
        <w:tc>
          <w:tcPr>
            <w:tcW w:type="dxa" w:w="3264"/>
            <w:vAlign w:val="center"/>
            <w:shd w:fill="EAF0F6"/>
          </w:tcPr>
          <w:p>
            <w:r>
              <w:rPr>
                <w:rFonts w:ascii="Garamond" w:hAnsi="Garamond"/>
                <w:sz w:val="24"/>
              </w:rPr>
              <w:t>10%</w:t>
            </w:r>
          </w:p>
        </w:tc>
        <w:tc>
          <w:tcPr>
            <w:tcW w:type="dxa" w:w="3264"/>
            <w:vAlign w:val="center"/>
            <w:shd w:fill="EAF0F6"/>
          </w:tcPr>
          <w:p>
            <w:r>
              <w:rPr>
                <w:rFonts w:ascii="Garamond" w:hAnsi="Garamond"/>
                <w:sz w:val="24"/>
              </w:rPr>
              <w:t>Separates fact, inference, recommendation and authority</w:t>
            </w:r>
          </w:p>
        </w:tc>
      </w:tr>
    </w:tbl>
    <w:p>
      <w:r>
        <w:rPr>
          <w:rFonts w:ascii="Garamond" w:hAnsi="Garamond"/>
          <w:sz w:val="24"/>
        </w:rPr>
        <w:t>Maximum: 10 marks. Partial credit should reflect the four criteria; do not award full credit for terminology without an operational decision path.</w:t>
      </w:r>
    </w:p>
    <w:p>
      <w:r>
        <w:rPr>
          <w:rFonts w:ascii="Garamond" w:hAnsi="Garamond"/>
          <w:sz w:val="24"/>
        </w:rPr>
        <w:br w:type="page"/>
      </w:r>
    </w:p>
    <w:p>
      <w:pPr>
        <w:pStyle w:val="Heading1"/>
      </w:pPr>
      <w:r>
        <w:rPr>
          <w:rFonts w:ascii="Garamond" w:hAnsi="Garamond"/>
          <w:sz w:val="24"/>
        </w:rPr>
        <w:t>Exercise 8</w:t>
      </w:r>
    </w:p>
    <w:p>
      <w:r>
        <w:rPr>
          <w:rFonts w:ascii="Garamond" w:hAnsi="Garamond"/>
          <w:sz w:val="24"/>
        </w:rPr>
        <w:t>Technical evidence cannot create institutional authority. Remediation means completing missing evidence and obtaining an authenticated named decision. Approval has scope, conditions and review date. Retirement revokes traffic and credentials, archives required evidence and confirms downstream closure.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rFonts w:ascii="Garamond" w:hAnsi="Garamond"/>
                <w:b/>
                <w:color w:val="FFFFFF"/>
                <w:sz w:val="24"/>
              </w:rPr>
              <w:t>Criterion</w:t>
            </w:r>
          </w:p>
        </w:tc>
        <w:tc>
          <w:tcPr>
            <w:tcW w:type="dxa" w:w="3264"/>
            <w:shd w:fill="17365D"/>
          </w:tcPr>
          <w:p>
            <w:r>
              <w:rPr>
                <w:rFonts w:ascii="Garamond" w:hAnsi="Garamond"/>
                <w:b/>
                <w:color w:val="FFFFFF"/>
                <w:sz w:val="24"/>
              </w:rPr>
              <w:t>Share</w:t>
            </w:r>
          </w:p>
        </w:tc>
        <w:tc>
          <w:tcPr>
            <w:tcW w:type="dxa" w:w="3264"/>
            <w:shd w:fill="17365D"/>
          </w:tcPr>
          <w:p>
            <w:r>
              <w:rPr>
                <w:rFonts w:ascii="Garamond" w:hAnsi="Garamond"/>
                <w:b/>
                <w:color w:val="FFFFFF"/>
                <w:sz w:val="24"/>
              </w:rPr>
              <w:t>Full-credit evidence</w:t>
            </w:r>
          </w:p>
        </w:tc>
      </w:tr>
      <w:tr>
        <w:tc>
          <w:tcPr>
            <w:tcW w:type="dxa" w:w="3264"/>
            <w:vAlign w:val="center"/>
          </w:tcPr>
          <w:p>
            <w:r>
              <w:rPr>
                <w:rFonts w:ascii="Garamond" w:hAnsi="Garamond"/>
                <w:sz w:val="24"/>
              </w:rPr>
              <w:t>Technical correctness</w:t>
            </w:r>
          </w:p>
        </w:tc>
        <w:tc>
          <w:tcPr>
            <w:tcW w:type="dxa" w:w="3264"/>
            <w:vAlign w:val="center"/>
          </w:tcPr>
          <w:p>
            <w:r>
              <w:rPr>
                <w:rFonts w:ascii="Garamond" w:hAnsi="Garamond"/>
                <w:sz w:val="24"/>
              </w:rPr>
              <w:t>40%</w:t>
            </w:r>
          </w:p>
        </w:tc>
        <w:tc>
          <w:tcPr>
            <w:tcW w:type="dxa" w:w="3264"/>
            <w:vAlign w:val="center"/>
          </w:tcPr>
          <w:p>
            <w:r>
              <w:rPr>
                <w:rFonts w:ascii="Garamond" w:hAnsi="Garamond"/>
                <w:sz w:val="24"/>
              </w:rPr>
              <w:t>Explain why a technically ready model remains blocked without approval. Define authorized remediation, review expiry and retirement evidence.</w:t>
            </w:r>
          </w:p>
        </w:tc>
      </w:tr>
      <w:tr>
        <w:tc>
          <w:tcPr>
            <w:tcW w:type="dxa" w:w="3264"/>
            <w:vAlign w:val="center"/>
            <w:shd w:fill="EAF0F6"/>
          </w:tcPr>
          <w:p>
            <w:r>
              <w:rPr>
                <w:rFonts w:ascii="Garamond" w:hAnsi="Garamond"/>
                <w:sz w:val="24"/>
              </w:rPr>
              <w:t>Applied reasoning</w:t>
            </w:r>
          </w:p>
        </w:tc>
        <w:tc>
          <w:tcPr>
            <w:tcW w:type="dxa" w:w="3264"/>
            <w:vAlign w:val="center"/>
            <w:shd w:fill="EAF0F6"/>
          </w:tcPr>
          <w:p>
            <w:r>
              <w:rPr>
                <w:rFonts w:ascii="Garamond" w:hAnsi="Garamond"/>
                <w:sz w:val="24"/>
              </w:rPr>
              <w:t>30%</w:t>
            </w:r>
          </w:p>
        </w:tc>
        <w:tc>
          <w:tcPr>
            <w:tcW w:type="dxa" w:w="3264"/>
            <w:vAlign w:val="center"/>
            <w:shd w:fill="EAF0F6"/>
          </w:tcPr>
          <w:p>
            <w:r>
              <w:rPr>
                <w:rFonts w:ascii="Garamond" w:hAnsi="Garamond"/>
                <w:sz w:val="24"/>
              </w:rPr>
              <w:t>Links the control to consequence and failure behavior</w:t>
            </w:r>
          </w:p>
        </w:tc>
      </w:tr>
      <w:tr>
        <w:tc>
          <w:tcPr>
            <w:tcW w:type="dxa" w:w="3264"/>
            <w:vAlign w:val="center"/>
          </w:tcPr>
          <w:p>
            <w:r>
              <w:rPr>
                <w:rFonts w:ascii="Garamond" w:hAnsi="Garamond"/>
                <w:sz w:val="24"/>
              </w:rPr>
              <w:t>Evidence specificity</w:t>
            </w:r>
          </w:p>
        </w:tc>
        <w:tc>
          <w:tcPr>
            <w:tcW w:type="dxa" w:w="3264"/>
            <w:vAlign w:val="center"/>
          </w:tcPr>
          <w:p>
            <w:r>
              <w:rPr>
                <w:rFonts w:ascii="Garamond" w:hAnsi="Garamond"/>
                <w:sz w:val="24"/>
              </w:rPr>
              <w:t>20%</w:t>
            </w:r>
          </w:p>
        </w:tc>
        <w:tc>
          <w:tcPr>
            <w:tcW w:type="dxa" w:w="3264"/>
            <w:vAlign w:val="center"/>
          </w:tcPr>
          <w:p>
            <w:r>
              <w:rPr>
                <w:rFonts w:ascii="Garamond" w:hAnsi="Garamond"/>
                <w:sz w:val="24"/>
              </w:rPr>
              <w:t>Names artifacts, versions, owners and decision records</w:t>
            </w:r>
          </w:p>
        </w:tc>
      </w:tr>
      <w:tr>
        <w:tc>
          <w:tcPr>
            <w:tcW w:type="dxa" w:w="3264"/>
            <w:vAlign w:val="center"/>
            <w:shd w:fill="EAF0F6"/>
          </w:tcPr>
          <w:p>
            <w:r>
              <w:rPr>
                <w:rFonts w:ascii="Garamond" w:hAnsi="Garamond"/>
                <w:sz w:val="24"/>
              </w:rPr>
              <w:t>Clarity</w:t>
            </w:r>
          </w:p>
        </w:tc>
        <w:tc>
          <w:tcPr>
            <w:tcW w:type="dxa" w:w="3264"/>
            <w:vAlign w:val="center"/>
            <w:shd w:fill="EAF0F6"/>
          </w:tcPr>
          <w:p>
            <w:r>
              <w:rPr>
                <w:rFonts w:ascii="Garamond" w:hAnsi="Garamond"/>
                <w:sz w:val="24"/>
              </w:rPr>
              <w:t>10%</w:t>
            </w:r>
          </w:p>
        </w:tc>
        <w:tc>
          <w:tcPr>
            <w:tcW w:type="dxa" w:w="3264"/>
            <w:vAlign w:val="center"/>
            <w:shd w:fill="EAF0F6"/>
          </w:tcPr>
          <w:p>
            <w:r>
              <w:rPr>
                <w:rFonts w:ascii="Garamond" w:hAnsi="Garamond"/>
                <w:sz w:val="24"/>
              </w:rPr>
              <w:t>Separates fact, inference, recommendation and authority</w:t>
            </w:r>
          </w:p>
        </w:tc>
      </w:tr>
    </w:tbl>
    <w:p>
      <w:r>
        <w:rPr>
          <w:rFonts w:ascii="Garamond" w:hAnsi="Garamond"/>
          <w:sz w:val="24"/>
        </w:rPr>
        <w:t>Maximum: 12 marks. Partial credit should reflect the four criteria; do not award full credit for terminology without an operational decision path.</w:t>
      </w:r>
    </w:p>
    <w:p>
      <w:r>
        <w:rPr>
          <w:rFonts w:ascii="Garamond" w:hAnsi="Garamond"/>
          <w:sz w:val="24"/>
        </w:rPr>
        <w:br w:type="page"/>
      </w:r>
    </w:p>
    <w:p>
      <w:pPr>
        <w:pStyle w:val="Heading1"/>
      </w:pPr>
      <w:r>
        <w:rPr>
          <w:rFonts w:ascii="Garamond" w:hAnsi="Garamond"/>
          <w:sz w:val="24"/>
        </w:rPr>
        <w:t>Canonical notebook checks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rFonts w:ascii="Garamond" w:hAnsi="Garamond"/>
                <w:b/>
                <w:color w:val="FFFFFF"/>
                <w:sz w:val="24"/>
              </w:rPr>
              <w:t>Control</w:t>
            </w:r>
          </w:p>
        </w:tc>
        <w:tc>
          <w:tcPr>
            <w:tcW w:type="dxa" w:w="4896"/>
            <w:shd w:fill="17365D"/>
          </w:tcPr>
          <w:p>
            <w:r>
              <w:rPr>
                <w:rFonts w:ascii="Garamond" w:hAnsi="Garamond"/>
                <w:b/>
                <w:color w:val="FFFFFF"/>
                <w:sz w:val="24"/>
              </w:rPr>
              <w:t>Expected</w:t>
            </w:r>
          </w:p>
        </w:tc>
      </w:tr>
      <w:tr>
        <w:tc>
          <w:tcPr>
            <w:tcW w:type="dxa" w:w="4896"/>
            <w:vAlign w:val="center"/>
          </w:tcPr>
          <w:p>
            <w:r>
              <w:rPr>
                <w:rFonts w:ascii="Garamond" w:hAnsi="Garamond"/>
                <w:sz w:val="24"/>
              </w:rPr>
              <w:t>Seed</w:t>
            </w:r>
          </w:p>
        </w:tc>
        <w:tc>
          <w:tcPr>
            <w:tcW w:type="dxa" w:w="4896"/>
            <w:vAlign w:val="center"/>
          </w:tcPr>
          <w:p>
            <w:r>
              <w:rPr>
                <w:rFonts w:ascii="Garamond" w:hAnsi="Garamond"/>
                <w:sz w:val="24"/>
              </w:rPr>
              <w:t>42</w:t>
            </w:r>
          </w:p>
        </w:tc>
      </w:tr>
      <w:tr>
        <w:tc>
          <w:tcPr>
            <w:tcW w:type="dxa" w:w="4896"/>
            <w:vAlign w:val="center"/>
            <w:shd w:fill="EAF0F6"/>
          </w:tcPr>
          <w:p>
            <w:r>
              <w:rPr>
                <w:rFonts w:ascii="Garamond" w:hAnsi="Garamond"/>
                <w:sz w:val="24"/>
              </w:rPr>
              <w:t>Notebook</w:t>
            </w:r>
          </w:p>
        </w:tc>
        <w:tc>
          <w:tcPr>
            <w:tcW w:type="dxa" w:w="4896"/>
            <w:vAlign w:val="center"/>
            <w:shd w:fill="EAF0F6"/>
          </w:tcPr>
          <w:p>
            <w:r>
              <w:rPr>
                <w:rFonts w:ascii="Garamond" w:hAnsi="Garamond"/>
                <w:sz w:val="24"/>
              </w:rPr>
              <w:t>V5_N01_mlops_foundations.ipynb</w:t>
            </w:r>
          </w:p>
        </w:tc>
      </w:tr>
      <w:tr>
        <w:tc>
          <w:tcPr>
            <w:tcW w:type="dxa" w:w="4896"/>
            <w:vAlign w:val="center"/>
          </w:tcPr>
          <w:p>
            <w:r>
              <w:rPr>
                <w:rFonts w:ascii="Garamond" w:hAnsi="Garamond"/>
                <w:sz w:val="24"/>
              </w:rPr>
              <w:t>Code cells</w:t>
            </w:r>
          </w:p>
        </w:tc>
        <w:tc>
          <w:tcPr>
            <w:tcW w:type="dxa" w:w="4896"/>
            <w:vAlign w:val="center"/>
          </w:tcPr>
          <w:p>
            <w:r>
              <w:rPr>
                <w:rFonts w:ascii="Garamond" w:hAnsi="Garamond"/>
                <w:sz w:val="24"/>
              </w:rPr>
              <w:t>22 executed without error</w:t>
            </w:r>
          </w:p>
        </w:tc>
      </w:tr>
      <w:tr>
        <w:tc>
          <w:tcPr>
            <w:tcW w:type="dxa" w:w="4896"/>
            <w:vAlign w:val="center"/>
            <w:shd w:fill="EAF0F6"/>
          </w:tcPr>
          <w:p>
            <w:r>
              <w:rPr>
                <w:rFonts w:ascii="Garamond" w:hAnsi="Garamond"/>
                <w:sz w:val="24"/>
              </w:rPr>
              <w:t>Data</w:t>
            </w:r>
          </w:p>
        </w:tc>
        <w:tc>
          <w:tcPr>
            <w:tcW w:type="dxa" w:w="4896"/>
            <w:vAlign w:val="center"/>
            <w:shd w:fill="EAF0F6"/>
          </w:tcPr>
          <w:p>
            <w:r>
              <w:rPr>
                <w:rFonts w:ascii="Garamond" w:hAnsi="Garamond"/>
                <w:sz w:val="24"/>
              </w:rPr>
              <w:t>Synthetic agricultural-risk records</w:t>
            </w:r>
          </w:p>
        </w:tc>
      </w:tr>
      <w:tr>
        <w:tc>
          <w:tcPr>
            <w:tcW w:type="dxa" w:w="4896"/>
            <w:vAlign w:val="center"/>
          </w:tcPr>
          <w:p>
            <w:r>
              <w:rPr>
                <w:rFonts w:ascii="Garamond" w:hAnsi="Garamond"/>
                <w:sz w:val="24"/>
              </w:rPr>
              <w:t>Manifest</w:t>
            </w:r>
          </w:p>
        </w:tc>
        <w:tc>
          <w:tcPr>
            <w:tcW w:type="dxa" w:w="4896"/>
            <w:vAlign w:val="center"/>
          </w:tcPr>
          <w:p>
            <w:r>
              <w:rPr>
                <w:rFonts w:ascii="Garamond" w:hAnsi="Garamond"/>
                <w:sz w:val="24"/>
              </w:rPr>
              <w:t>Valid JSON with native Python scalar types</w:t>
            </w:r>
          </w:p>
        </w:tc>
      </w:tr>
      <w:tr>
        <w:tc>
          <w:tcPr>
            <w:tcW w:type="dxa" w:w="4896"/>
            <w:vAlign w:val="center"/>
            <w:shd w:fill="EAF0F6"/>
          </w:tcPr>
          <w:p>
            <w:r>
              <w:rPr>
                <w:rFonts w:ascii="Garamond" w:hAnsi="Garamond"/>
                <w:sz w:val="24"/>
              </w:rPr>
              <w:t>Authorization</w:t>
            </w:r>
          </w:p>
        </w:tc>
        <w:tc>
          <w:tcPr>
            <w:tcW w:type="dxa" w:w="4896"/>
            <w:vAlign w:val="center"/>
            <w:shd w:fill="EAF0F6"/>
          </w:tcPr>
          <w:p>
            <w:r>
              <w:rPr>
                <w:rFonts w:ascii="Garamond" w:hAnsi="Garamond"/>
                <w:sz w:val="24"/>
              </w:rPr>
              <w:t>False during canonical run</w:t>
            </w:r>
          </w:p>
        </w:tc>
      </w:tr>
      <w:tr>
        <w:tc>
          <w:tcPr>
            <w:tcW w:type="dxa" w:w="4896"/>
            <w:vAlign w:val="center"/>
          </w:tcPr>
          <w:p>
            <w:r>
              <w:rPr>
                <w:rFonts w:ascii="Garamond" w:hAnsi="Garamond"/>
                <w:sz w:val="24"/>
              </w:rPr>
              <w:t>Decision</w:t>
            </w:r>
          </w:p>
        </w:tc>
        <w:tc>
          <w:tcPr>
            <w:tcW w:type="dxa" w:w="4896"/>
            <w:vAlign w:val="center"/>
          </w:tcPr>
          <w:p>
            <w:r>
              <w:rPr>
                <w:rFonts w:ascii="Garamond" w:hAnsi="Garamond"/>
                <w:sz w:val="24"/>
              </w:rPr>
              <w:t>Blocked pending named governance approval</w:t>
            </w:r>
          </w:p>
        </w:tc>
      </w:tr>
    </w:tbl>
    <w:sectPr w:rsidR="00FC693F" w:rsidRPr="0006063C" w:rsidSect="00034616">
      <w:headerReference w:type="default" r:id="rId9"/>
      <w:footerReference w:type="default" r:id="rId10"/>
      <w:pgSz w:w="12240" w:h="15840"/>
      <w:pgMar w:top="1296" w:right="1224" w:bottom="1296"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sz w:val="24"/>
      </w:rPr>
      <w:t xml:space="preserve">Page </w:t>
    </w:r>
    <w:r>
      <w:rPr>
        <w:rFonts w:ascii="Garamond" w:hAnsi="Garamond"/>
        <w:sz w:val="24"/>
      </w:rPr>
      <w:fldChar w:fldCharType="begin"/>
    </w:r>
    <w:r>
      <w:rPr>
        <w:rFonts w:ascii="Garamond" w:hAnsi="Garamond"/>
        <w:sz w:val="24"/>
      </w:rPr>
      <w:instrText xml:space="preserve"> PAGE </w:instrText>
    </w:r>
    <w:r>
      <w:rPr>
        <w:rFonts w:ascii="Garamond" w:hAnsi="Garamond"/>
        <w:sz w:val="24"/>
      </w:rPr>
      <w:fldChar w:fldCharType="separate"/>
    </w:r>
    <w:r>
      <w:rPr>
        <w:rFonts w:ascii="Garamond" w:hAnsi="Garamond"/>
        <w:sz w:val="24"/>
      </w:rPr>
      <w:t>1</w:t>
    </w:r>
    <w:r>
      <w:rPr>
        <w:rFonts w:ascii="Garamond" w:hAnsi="Garamond"/>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24"/>
      </w:rPr>
      <w:t>SRAI | MLOps and AI Engineering | PU-B05-C01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Garamond" w:hAnsi="Garamond" w:eastAsia="Garamond"/>
      <w:color w:val="20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aramond" w:hAnsi="Garamond" w:eastAsia="Garamond"/>
      <w:sz w:val="24"/>
    </w:rPr>
  </w:style>
  <w:style w:type="character" w:customStyle="1" w:styleId="HeaderChar">
    <w:name w:val="Header Char"/>
    <w:basedOn w:val="DefaultParagraphFont"/>
    <w:link w:val="Header"/>
    <w:uiPriority w:val="99"/>
    <w:rsid w:val="00E618BF"/>
    <w:rPr>
      <w:rFonts w:ascii="Garamond" w:hAnsi="Garamond" w:eastAsia="Garamond"/>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aramond" w:hAnsi="Garamond" w:eastAsia="Garamond"/>
      <w:sz w:val="24"/>
    </w:rPr>
  </w:style>
  <w:style w:type="character" w:customStyle="1" w:styleId="FooterChar">
    <w:name w:val="Footer Char"/>
    <w:basedOn w:val="DefaultParagraphFont"/>
    <w:link w:val="Footer"/>
    <w:uiPriority w:val="99"/>
    <w:rsid w:val="00E618BF"/>
    <w:rPr>
      <w:rFonts w:ascii="Garamond" w:hAnsi="Garamond" w:eastAsia="Garamond"/>
      <w:sz w:val="24"/>
    </w:rPr>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Garamond" w:hAnsi="Garamond" w:eastAsia="Garamond"/>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Garamond" w:hAnsi="Garamond" w:eastAsia="Garamond"/>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aramond" w:hAnsi="Garamond" w:eastAsia="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aramond" w:hAnsi="Garamond" w:eastAsia="Garamond"/>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aramond" w:hAnsi="Garamond" w:eastAsia="Garamond"/>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Garamond" w:hAnsi="Garamond" w:eastAsia="Garamond"/>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Garamond" w:hAnsi="Garamond" w:eastAsia="Garamond"/>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Garamond" w:hAnsi="Garamond" w:eastAsia="Garamond"/>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Garamond" w:hAnsi="Garamond" w:eastAsia="Garamond"/>
      <w:i/>
      <w:iCs/>
      <w:color w:val="404040" w:themeColor="text1" w:themeTint="BF"/>
      <w:sz w:val="24"/>
      <w:szCs w:val="20"/>
    </w:rPr>
  </w:style>
  <w:style w:type="character" w:default="1" w:styleId="DefaultParagraphFont">
    <w:name w:val="Default Paragraph Font"/>
    <w:uiPriority w:val="1"/>
    <w:semiHidden/>
    <w:unhideWhenUsed/>
    <w:rPr>
      <w:rFonts w:ascii="Garamond" w:hAnsi="Garamond" w:eastAsia="Garamond"/>
      <w:sz w:val="24"/>
    </w:rPr>
  </w:style>
  <w:style w:type="table" w:default="1" w:styleId="TableNormal">
    <w:name w:val="Normal Table"/>
    <w:uiPriority w:val="99"/>
    <w:semiHidden/>
    <w:unhideWhenUsed/>
    <w:rPr>
      <w:rFonts w:ascii="Garamond" w:hAnsi="Garamond" w:eastAsia="Garamond"/>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aramond" w:hAnsi="Garamond" w:eastAsia="Garamond"/>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4F81BD" w:themeColor="accent1"/>
      <w:sz w:val="24"/>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Garamond" w:hAnsi="Garamond" w:eastAsia="Garamond"/>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eastAsia="Garamond"/>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sz w:val="24"/>
    </w:rPr>
  </w:style>
  <w:style w:type="paragraph" w:styleId="BodyText">
    <w:name w:val="Body Text"/>
    <w:basedOn w:val="Normal"/>
    <w:link w:val="BodyTextChar"/>
    <w:uiPriority w:val="99"/>
    <w:unhideWhenUsed/>
    <w:rsid w:val="00AA1D8D"/>
    <w:pPr>
      <w:spacing w:after="120"/>
    </w:pPr>
    <w:rPr>
      <w:rFonts w:ascii="Garamond" w:hAnsi="Garamond" w:eastAsia="Garamond"/>
      <w:sz w:val="24"/>
    </w:rPr>
  </w:style>
  <w:style w:type="character" w:customStyle="1" w:styleId="BodyTextChar">
    <w:name w:val="Body Text Char"/>
    <w:basedOn w:val="DefaultParagraphFont"/>
    <w:link w:val="BodyText"/>
    <w:uiPriority w:val="99"/>
    <w:rsid w:val="00AA1D8D"/>
    <w:rPr>
      <w:rFonts w:ascii="Garamond" w:hAnsi="Garamond" w:eastAsia="Garamond"/>
      <w:sz w:val="24"/>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sz w:val="24"/>
    </w:rPr>
  </w:style>
  <w:style w:type="character" w:customStyle="1" w:styleId="BodyText2Char">
    <w:name w:val="Body Text 2 Char"/>
    <w:basedOn w:val="DefaultParagraphFont"/>
    <w:link w:val="BodyText2"/>
    <w:uiPriority w:val="99"/>
    <w:rsid w:val="00AA1D8D"/>
    <w:rPr>
      <w:rFonts w:ascii="Garamond" w:hAnsi="Garamond" w:eastAsia="Garamond"/>
      <w:sz w:val="24"/>
    </w:rPr>
  </w:style>
  <w:style w:type="paragraph" w:styleId="BodyText3">
    <w:name w:val="Body Text 3"/>
    <w:basedOn w:val="Normal"/>
    <w:link w:val="BodyText3Char"/>
    <w:uiPriority w:val="99"/>
    <w:unhideWhenUsed/>
    <w:rsid w:val="00AA1D8D"/>
    <w:pPr>
      <w:spacing w:after="120"/>
    </w:pPr>
    <w:rPr>
      <w:rFonts w:ascii="Garamond" w:hAnsi="Garamond" w:eastAsia="Garamond"/>
      <w:sz w:val="24"/>
      <w:szCs w:val="16"/>
    </w:rPr>
  </w:style>
  <w:style w:type="character" w:customStyle="1" w:styleId="BodyText3Char">
    <w:name w:val="Body Text 3 Char"/>
    <w:basedOn w:val="DefaultParagraphFont"/>
    <w:link w:val="BodyText3"/>
    <w:uiPriority w:val="99"/>
    <w:rsid w:val="00AA1D8D"/>
    <w:rPr>
      <w:rFonts w:ascii="Garamond" w:hAnsi="Garamond" w:eastAsia="Garamond"/>
      <w:sz w:val="24"/>
      <w:szCs w:val="16"/>
    </w:rPr>
  </w:style>
  <w:style w:type="paragraph" w:styleId="List">
    <w:name w:val="List"/>
    <w:basedOn w:val="Normal"/>
    <w:uiPriority w:val="99"/>
    <w:unhideWhenUsed/>
    <w:rsid w:val="00AA1D8D"/>
    <w:pPr>
      <w:ind w:left="360" w:hanging="360"/>
      <w:contextualSpacing/>
    </w:pPr>
    <w:rPr>
      <w:rFonts w:ascii="Garamond" w:hAnsi="Garamond" w:eastAsia="Garamond"/>
      <w:sz w:val="24"/>
    </w:rPr>
  </w:style>
  <w:style w:type="paragraph" w:styleId="List2">
    <w:name w:val="List 2"/>
    <w:basedOn w:val="Normal"/>
    <w:uiPriority w:val="99"/>
    <w:unhideWhenUsed/>
    <w:rsid w:val="00326F90"/>
    <w:pPr>
      <w:ind w:left="720" w:hanging="360"/>
      <w:contextualSpacing/>
    </w:pPr>
    <w:rPr>
      <w:rFonts w:ascii="Garamond" w:hAnsi="Garamond" w:eastAsia="Garamond"/>
      <w:sz w:val="24"/>
    </w:rPr>
  </w:style>
  <w:style w:type="paragraph" w:styleId="List3">
    <w:name w:val="List 3"/>
    <w:basedOn w:val="Normal"/>
    <w:uiPriority w:val="99"/>
    <w:unhideWhenUsed/>
    <w:rsid w:val="00326F90"/>
    <w:pPr>
      <w:ind w:left="1080" w:hanging="360"/>
      <w:contextualSpacing/>
    </w:pPr>
    <w:rPr>
      <w:rFonts w:ascii="Garamond" w:hAnsi="Garamond" w:eastAsia="Garamond"/>
      <w:sz w:val="24"/>
    </w:rPr>
  </w:style>
  <w:style w:type="paragraph" w:styleId="ListBullet">
    <w:name w:val="List Bullet"/>
    <w:basedOn w:val="Normal"/>
    <w:uiPriority w:val="99"/>
    <w:unhideWhenUsed/>
    <w:rsid w:val="00326F90"/>
    <w:pPr>
      <w:numPr>
        <w:numId w:val="1"/>
      </w:numPr>
      <w:contextualSpacing/>
    </w:pPr>
    <w:rPr>
      <w:rFonts w:ascii="Garamond" w:hAnsi="Garamond" w:eastAsia="Garamond"/>
      <w:sz w:val="24"/>
    </w:rPr>
  </w:style>
  <w:style w:type="paragraph" w:styleId="ListBullet2">
    <w:name w:val="List Bullet 2"/>
    <w:basedOn w:val="Normal"/>
    <w:uiPriority w:val="99"/>
    <w:unhideWhenUsed/>
    <w:rsid w:val="00326F90"/>
    <w:pPr>
      <w:numPr>
        <w:numId w:val="2"/>
      </w:numPr>
      <w:contextualSpacing/>
    </w:pPr>
    <w:rPr>
      <w:rFonts w:ascii="Garamond" w:hAnsi="Garamond" w:eastAsia="Garamond"/>
      <w:sz w:val="24"/>
    </w:rPr>
  </w:style>
  <w:style w:type="paragraph" w:styleId="ListBullet3">
    <w:name w:val="List Bullet 3"/>
    <w:basedOn w:val="Normal"/>
    <w:uiPriority w:val="99"/>
    <w:unhideWhenUsed/>
    <w:rsid w:val="00326F90"/>
    <w:pPr>
      <w:numPr>
        <w:numId w:val="3"/>
      </w:numPr>
      <w:contextualSpacing/>
    </w:pPr>
    <w:rPr>
      <w:rFonts w:ascii="Garamond" w:hAnsi="Garamond" w:eastAsia="Garamond"/>
      <w:sz w:val="24"/>
    </w:rPr>
  </w:style>
  <w:style w:type="paragraph" w:styleId="ListNumber">
    <w:name w:val="List Number"/>
    <w:basedOn w:val="Normal"/>
    <w:uiPriority w:val="99"/>
    <w:unhideWhenUsed/>
    <w:rsid w:val="00326F90"/>
    <w:pPr>
      <w:numPr>
        <w:numId w:val="5"/>
      </w:numPr>
      <w:contextualSpacing/>
    </w:pPr>
    <w:rPr>
      <w:rFonts w:ascii="Garamond" w:hAnsi="Garamond" w:eastAsia="Garamond"/>
      <w:sz w:val="24"/>
    </w:rPr>
  </w:style>
  <w:style w:type="paragraph" w:styleId="ListNumber2">
    <w:name w:val="List Number 2"/>
    <w:basedOn w:val="Normal"/>
    <w:uiPriority w:val="99"/>
    <w:unhideWhenUsed/>
    <w:rsid w:val="0029639D"/>
    <w:pPr>
      <w:numPr>
        <w:numId w:val="6"/>
      </w:numPr>
      <w:contextualSpacing/>
    </w:pPr>
    <w:rPr>
      <w:rFonts w:ascii="Garamond" w:hAnsi="Garamond" w:eastAsia="Garamond"/>
      <w:sz w:val="24"/>
    </w:rPr>
  </w:style>
  <w:style w:type="paragraph" w:styleId="ListNumber3">
    <w:name w:val="List Number 3"/>
    <w:basedOn w:val="Normal"/>
    <w:uiPriority w:val="99"/>
    <w:unhideWhenUsed/>
    <w:rsid w:val="0029639D"/>
    <w:pPr>
      <w:numPr>
        <w:numId w:val="7"/>
      </w:numPr>
      <w:contextualSpacing/>
    </w:pPr>
    <w:rPr>
      <w:rFonts w:ascii="Garamond" w:hAnsi="Garamond" w:eastAsia="Garamond"/>
      <w:sz w:val="24"/>
    </w:rPr>
  </w:style>
  <w:style w:type="paragraph" w:styleId="ListContinue">
    <w:name w:val="List Continue"/>
    <w:basedOn w:val="Normal"/>
    <w:uiPriority w:val="99"/>
    <w:unhideWhenUsed/>
    <w:rsid w:val="0029639D"/>
    <w:pPr>
      <w:spacing w:after="120"/>
      <w:ind w:left="360"/>
      <w:contextualSpacing/>
    </w:pPr>
    <w:rPr>
      <w:rFonts w:ascii="Garamond" w:hAnsi="Garamond" w:eastAsia="Garamond"/>
      <w:sz w:val="24"/>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sz w:val="24"/>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sz w:val="24"/>
      <w:szCs w:val="20"/>
    </w:rPr>
  </w:style>
  <w:style w:type="character" w:customStyle="1" w:styleId="MacroTextChar">
    <w:name w:val="Macro Text Char"/>
    <w:basedOn w:val="DefaultParagraphFont"/>
    <w:link w:val="MacroText"/>
    <w:uiPriority w:val="99"/>
    <w:rsid w:val="0029639D"/>
    <w:rPr>
      <w:rFonts w:ascii="Garamond" w:hAnsi="Garamond" w:eastAsia="Garamond"/>
      <w:sz w:val="24"/>
      <w:szCs w:val="20"/>
    </w:rPr>
  </w:style>
  <w:style w:type="paragraph" w:styleId="Quote">
    <w:name w:val="Quote"/>
    <w:basedOn w:val="Normal"/>
    <w:next w:val="Normal"/>
    <w:link w:val="QuoteChar"/>
    <w:uiPriority w:val="29"/>
    <w:qFormat/>
    <w:rsid w:val="00FC693F"/>
    <w:rPr>
      <w:rFonts w:ascii="Garamond" w:hAnsi="Garamond" w:eastAsia="Garamond"/>
      <w:i/>
      <w:iCs/>
      <w:color w:val="000000" w:themeColor="text1"/>
      <w:sz w:val="24"/>
    </w:rPr>
  </w:style>
  <w:style w:type="character" w:customStyle="1" w:styleId="QuoteChar">
    <w:name w:val="Quote Char"/>
    <w:basedOn w:val="DefaultParagraphFont"/>
    <w:link w:val="Quote"/>
    <w:uiPriority w:val="29"/>
    <w:rsid w:val="00FC693F"/>
    <w:rPr>
      <w:rFonts w:ascii="Garamond" w:hAnsi="Garamond" w:eastAsia="Garamond"/>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4F81BD" w:themeColor="accent1"/>
      <w:sz w:val="24"/>
      <w:szCs w:val="18"/>
    </w:rPr>
  </w:style>
  <w:style w:type="character" w:styleId="Strong">
    <w:name w:val="Strong"/>
    <w:basedOn w:val="DefaultParagraphFont"/>
    <w:uiPriority w:val="22"/>
    <w:qFormat/>
    <w:rsid w:val="00FC693F"/>
    <w:rPr>
      <w:rFonts w:ascii="Garamond" w:hAnsi="Garamond" w:eastAsia="Garamond"/>
      <w:b/>
      <w:bCs/>
      <w:sz w:val="24"/>
    </w:rPr>
  </w:style>
  <w:style w:type="character" w:styleId="Emphasis">
    <w:name w:val="Emphasis"/>
    <w:basedOn w:val="DefaultParagraphFont"/>
    <w:uiPriority w:val="20"/>
    <w:qFormat/>
    <w:rsid w:val="00FC693F"/>
    <w:rPr>
      <w:rFonts w:ascii="Garamond" w:hAnsi="Garamond" w:eastAsia="Garamond"/>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4F81BD" w:themeColor="accent1"/>
      <w:sz w:val="24"/>
    </w:rPr>
  </w:style>
  <w:style w:type="character" w:styleId="SubtleEmphasis">
    <w:name w:val="Subtle Emphasis"/>
    <w:basedOn w:val="DefaultParagraphFont"/>
    <w:uiPriority w:val="19"/>
    <w:qFormat/>
    <w:rsid w:val="00FC693F"/>
    <w:rPr>
      <w:rFonts w:ascii="Garamond" w:hAnsi="Garamond" w:eastAsia="Garamond"/>
      <w:i/>
      <w:iCs/>
      <w:color w:val="808080" w:themeColor="text1" w:themeTint="7F"/>
      <w:sz w:val="24"/>
    </w:rPr>
  </w:style>
  <w:style w:type="character" w:styleId="IntenseEmphasis">
    <w:name w:val="Intense Emphasis"/>
    <w:basedOn w:val="DefaultParagraphFont"/>
    <w:uiPriority w:val="21"/>
    <w:qFormat/>
    <w:rsid w:val="00FC693F"/>
    <w:rPr>
      <w:rFonts w:ascii="Garamond" w:hAnsi="Garamond" w:eastAsia="Garamond"/>
      <w:b/>
      <w:bCs/>
      <w:i/>
      <w:iCs/>
      <w:color w:val="4F81BD" w:themeColor="accent1"/>
      <w:sz w:val="24"/>
    </w:rPr>
  </w:style>
  <w:style w:type="character" w:styleId="SubtleReference">
    <w:name w:val="Subtle Reference"/>
    <w:basedOn w:val="DefaultParagraphFont"/>
    <w:uiPriority w:val="31"/>
    <w:qFormat/>
    <w:rsid w:val="00FC693F"/>
    <w:rPr>
      <w:rFonts w:ascii="Garamond" w:hAnsi="Garamond" w:eastAsia="Garamond"/>
      <w:smallCaps/>
      <w:color w:val="C0504D" w:themeColor="accent2"/>
      <w:sz w:val="24"/>
      <w:u w:val="single"/>
    </w:rPr>
  </w:style>
  <w:style w:type="character" w:styleId="IntenseReference">
    <w:name w:val="Intense Reference"/>
    <w:basedOn w:val="DefaultParagraphFont"/>
    <w:uiPriority w:val="32"/>
    <w:qFormat/>
    <w:rsid w:val="00FC693F"/>
    <w:rPr>
      <w:rFonts w:ascii="Garamond" w:hAnsi="Garamond" w:eastAsia="Garamond"/>
      <w:b/>
      <w:bCs/>
      <w:smallCaps/>
      <w:color w:val="C0504D" w:themeColor="accent2"/>
      <w:spacing w:val="5"/>
      <w:sz w:val="24"/>
      <w:u w:val="single"/>
    </w:rPr>
  </w:style>
  <w:style w:type="character" w:styleId="BookTitle">
    <w:name w:val="Book Title"/>
    <w:basedOn w:val="DefaultParagraphFont"/>
    <w:uiPriority w:val="33"/>
    <w:qFormat/>
    <w:rsid w:val="00FC693F"/>
    <w:rPr>
      <w:rFonts w:ascii="Garamond" w:hAnsi="Garamond" w:eastAsia="Garamond"/>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sz w:val="24"/>
    </w:rPr>
  </w:style>
  <w:style w:type="table" w:styleId="TableGrid">
    <w:name w:val="Table Grid"/>
    <w:basedOn w:val="TableNormal"/>
    <w:uiPriority w:val="59"/>
    <w:rsid w:val="00FC693F"/>
    <w:pPr>
      <w:spacing w:after="0" w:line="240" w:lineRule="auto"/>
    </w:pPr>
    <w:rPr>
      <w:rFonts w:ascii="Garamond" w:hAnsi="Garamond" w:eastAsia="Garamond"/>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Garamond" w:hAnsi="Garamond" w:eastAsia="Garamond"/>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AILead">
    <w:name w:val="SRAI Lead"/>
    <w:pPr>
      <w:spacing w:after="180"/>
      <w:ind w:left="403" w:right="403"/>
    </w:pPr>
    <w:rPr>
      <w:rFonts w:ascii="Garamond" w:hAnsi="Garamond" w:eastAsia="Garamond"/>
      <w:i/>
      <w:color w:val="14253D"/>
      <w:sz w:val="24"/>
    </w:rPr>
  </w:style>
  <w:style w:type="paragraph" w:customStyle="1" w:styleId="SRAIEquation">
    <w:name w:val="SRAI Equation"/>
    <w:pPr>
      <w:spacing w:before="100" w:after="140"/>
      <w:jc w:val="center"/>
    </w:pPr>
    <w:rPr>
      <w:rFonts w:ascii="Garamond" w:hAnsi="Garamond" w:eastAsia="Garamond"/>
      <w:color w:val="14253D"/>
      <w:sz w:val="24"/>
    </w:rPr>
  </w:style>
  <w:style w:type="paragraph" w:customStyle="1" w:styleId="SRAICaption">
    <w:name w:val="SRAI Caption"/>
    <w:pPr>
      <w:jc w:val="center"/>
    </w:pPr>
    <w:rPr>
      <w:rFonts w:ascii="Garamond" w:hAnsi="Garamond" w:eastAsia="Garamond"/>
      <w:i/>
      <w:color w:val="5B6573"/>
      <w:sz w:val="24"/>
    </w:rPr>
  </w:style>
  <w:style w:type="paragraph" w:customStyle="1" w:styleId="SRAISmall">
    <w:name w:val="SRAI Small"/>
    <w:rPr>
      <w:rFonts w:ascii="Garamond" w:hAnsi="Garamond" w:eastAsia="Garamond"/>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SRAI Book 3 Chapter 1 Neural Network Foundations</dc:title>
  <dc:subject>University-level controlled lesson for PU-B03-C01</dc:subject>
  <dc:creator>Mbaye Kebe</dc:creator>
  <cp:keywords>SRAI, deep learning, neural networks, evidence, reproducibility, PU-B03-C01</cp:keywords>
  <dc:description>generated by python-docx</dc:description>
  <cp:lastModifiedBy/>
  <cp:revision>1</cp:revision>
  <dcterms:created xsi:type="dcterms:W3CDTF">2013-12-23T23:15:00Z</dcterms:created>
  <dcterms:modified xsi:type="dcterms:W3CDTF">2013-12-23T23:15:00Z</dcterms:modified>
  <cp:category/>
</cp:coreProperties>
</file>