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Garamond" w:hAnsi="Garamond"/>
          <w:sz w:val="24"/>
        </w:rPr>
        <w:t>MLOps Foundations Exercises</w:t>
      </w:r>
    </w:p>
    <w:p>
      <w:pPr>
        <w:pStyle w:val="Subtitle"/>
        <w:jc w:val="center"/>
      </w:pPr>
      <w:r>
        <w:rPr>
          <w:rFonts w:ascii="Garamond" w:hAnsi="Garamond"/>
          <w:sz w:val="24"/>
        </w:rPr>
        <w:t>SRAI Book 5 Lesson 1 | PU-B05-C01 | Exercises v0.1</w:t>
      </w:r>
    </w:p>
    <w:p>
      <w:pPr>
        <w:pStyle w:val="Subtitle"/>
        <w:jc w:val="center"/>
      </w:pPr>
      <w:r>
        <w:rPr>
          <w:rFonts w:ascii="Garamond" w:hAnsi="Garamond"/>
          <w:sz w:val="24"/>
        </w:rPr>
        <w:t>Mbaye Kebe</w:t>
      </w:r>
    </w:p>
    <w:p>
      <w:r>
        <w:rPr>
          <w:rFonts w:ascii="Garamond" w:hAnsi="Garamond"/>
          <w:sz w:val="24"/>
        </w:rPr>
        <w:t>These exercises convert the lesson into applied evidence. Use the validated companion notebook and synthetic data. Do not use the outputs for real decisions about farms, learners, patients, households or communities.</w:t>
      </w:r>
    </w:p>
    <w:p>
      <w:pPr>
        <w:pStyle w:val="Heading1"/>
      </w:pPr>
      <w:r>
        <w:rPr>
          <w:rFonts w:ascii="Garamond" w:hAnsi="Garamond"/>
          <w:sz w:val="24"/>
        </w:rPr>
        <w:t>Submission requirements</w:t>
      </w:r>
    </w:p>
    <w:p>
      <w:pPr>
        <w:pStyle w:val="ListBullet"/>
      </w:pPr>
      <w:r>
        <w:rPr>
          <w:rFonts w:ascii="Garamond" w:hAnsi="Garamond"/>
          <w:sz w:val="24"/>
        </w:rPr>
        <w:t>Preserve seed 42 for canonical reproduction.</w:t>
      </w:r>
    </w:p>
    <w:p>
      <w:pPr>
        <w:pStyle w:val="ListBullet"/>
      </w:pPr>
      <w:r>
        <w:rPr>
          <w:rFonts w:ascii="Garamond" w:hAnsi="Garamond"/>
          <w:sz w:val="24"/>
        </w:rPr>
        <w:t>Show intermediate calculations and report metrics to three decimals.</w:t>
      </w:r>
    </w:p>
    <w:p>
      <w:pPr>
        <w:pStyle w:val="ListBullet"/>
      </w:pPr>
      <w:r>
        <w:rPr>
          <w:rFonts w:ascii="Garamond" w:hAnsi="Garamond"/>
          <w:sz w:val="24"/>
        </w:rPr>
        <w:t>Name every evidence artifact and accountable owner.</w:t>
      </w:r>
    </w:p>
    <w:p>
      <w:pPr>
        <w:pStyle w:val="ListBullet"/>
      </w:pPr>
      <w:r>
        <w:rPr>
          <w:rFonts w:ascii="Garamond" w:hAnsi="Garamond"/>
          <w:sz w:val="24"/>
        </w:rPr>
        <w:t>Keep governance approval false during the first canonical run.</w:t>
      </w:r>
    </w:p>
    <w:p>
      <w:pPr>
        <w:pStyle w:val="ListBullet"/>
      </w:pPr>
      <w:r>
        <w:rPr>
          <w:rFonts w:ascii="Garamond" w:hAnsi="Garamond"/>
          <w:sz w:val="24"/>
        </w:rPr>
        <w:t>Distinguish observed results, interpretation, recommendation and authorization.</w:t>
      </w:r>
    </w:p>
    <w:p>
      <w:r>
        <w:rPr>
          <w:rFonts w:ascii="Garamond" w:hAnsi="Garamond"/>
          <w:sz w:val="24"/>
        </w:rPr>
        <w:br w:type="page"/>
      </w:r>
    </w:p>
    <w:p>
      <w:pPr>
        <w:pStyle w:val="Heading1"/>
      </w:pPr>
      <w:r>
        <w:rPr>
          <w:rFonts w:ascii="Garamond" w:hAnsi="Garamond"/>
          <w:sz w:val="24"/>
        </w:rPr>
        <w:t>Exercise 1 Governed lifecycle</w:t>
      </w:r>
    </w:p>
    <w:p>
      <w:r>
        <w:rPr>
          <w:rFonts w:ascii="Garamond" w:hAnsi="Garamond"/>
          <w:sz w:val="24"/>
        </w:rPr>
        <w:t>Map the lifecycle for a monthly public-sector prediction service. Identify states, artifacts, owners, mandatory gates, exception authority and return paths. Apply it to one of Agriculture, Education, Health or Habitat.</w:t>
      </w:r>
    </w:p>
    <w:p>
      <w:pPr>
        <w:pStyle w:val="Heading2"/>
      </w:pPr>
      <w:r>
        <w:rPr>
          <w:rFonts w:ascii="Garamond" w:hAnsi="Garamond"/>
          <w:sz w:val="24"/>
        </w:rPr>
        <w:t>Required evidence</w:t>
      </w:r>
    </w:p>
    <w:p>
      <w:pPr>
        <w:pStyle w:val="ListBullet"/>
      </w:pPr>
      <w:r>
        <w:rPr>
          <w:rFonts w:ascii="Garamond" w:hAnsi="Garamond"/>
          <w:sz w:val="24"/>
        </w:rPr>
        <w:t>Written reasoning tied to the declared use and population.</w:t>
      </w:r>
    </w:p>
    <w:p>
      <w:pPr>
        <w:pStyle w:val="ListBullet"/>
      </w:pPr>
      <w:r>
        <w:rPr>
          <w:rFonts w:ascii="Garamond" w:hAnsi="Garamond"/>
          <w:sz w:val="24"/>
        </w:rPr>
        <w:t>A versioned artifact or notebook output that supports the claim.</w:t>
      </w:r>
    </w:p>
    <w:p>
      <w:pPr>
        <w:pStyle w:val="ListBullet"/>
      </w:pPr>
      <w:r>
        <w:rPr>
          <w:rFonts w:ascii="Garamond" w:hAnsi="Garamond"/>
          <w:sz w:val="24"/>
        </w:rPr>
        <w:t>At least one failure condition and its prescribed response.</w:t>
      </w:r>
    </w:p>
    <w:p>
      <w:pPr>
        <w:pStyle w:val="ListBullet"/>
      </w:pPr>
      <w:r>
        <w:rPr>
          <w:rFonts w:ascii="Garamond" w:hAnsi="Garamond"/>
          <w:sz w:val="24"/>
        </w:rPr>
        <w:t>A short limitation statement identifying what the evidence does not establish.</w:t>
      </w:r>
    </w:p>
    <w:p>
      <w:pPr>
        <w:pStyle w:val="Heading2"/>
      </w:pPr>
      <w:r>
        <w:rPr>
          <w:rFonts w:ascii="Garamond" w:hAnsi="Garamond"/>
          <w:sz w:val="24"/>
        </w:rPr>
        <w:t>Cross-sector transfer question</w:t>
      </w:r>
    </w:p>
    <w:p>
      <w:r>
        <w:rPr>
          <w:rFonts w:ascii="Garamond" w:hAnsi="Garamond"/>
          <w:sz w:val="24"/>
        </w:rPr>
        <w:t>Explain one material change required if the same technical component moved to another SRAI sector. Address data validity, consequence, authority or monitoring rather than merely renaming fields.</w:t>
      </w:r>
    </w:p>
    <w:p>
      <w:r>
        <w:rPr>
          <w:rFonts w:ascii="Garamond" w:hAnsi="Garamond"/>
          <w:sz w:val="24"/>
        </w:rPr>
        <w:br w:type="page"/>
      </w:r>
    </w:p>
    <w:p>
      <w:pPr>
        <w:pStyle w:val="Heading1"/>
      </w:pPr>
      <w:r>
        <w:rPr>
          <w:rFonts w:ascii="Garamond" w:hAnsi="Garamond"/>
          <w:sz w:val="24"/>
        </w:rPr>
        <w:t>Exercise 2 Reproducibility contract</w:t>
      </w:r>
    </w:p>
    <w:p>
      <w:r>
        <w:rPr>
          <w:rFonts w:ascii="Garamond" w:hAnsi="Garamond"/>
          <w:sz w:val="24"/>
        </w:rPr>
        <w:t>Write a contract covering data, code, configuration, environment, random state, hardware assumptions and tolerance. Explain what a cryptographic digest proves and what it cannot prove.</w:t>
      </w:r>
    </w:p>
    <w:p>
      <w:pPr>
        <w:pStyle w:val="Heading2"/>
      </w:pPr>
      <w:r>
        <w:rPr>
          <w:rFonts w:ascii="Garamond" w:hAnsi="Garamond"/>
          <w:sz w:val="24"/>
        </w:rPr>
        <w:t>Required evidence</w:t>
      </w:r>
    </w:p>
    <w:p>
      <w:pPr>
        <w:pStyle w:val="ListBullet"/>
      </w:pPr>
      <w:r>
        <w:rPr>
          <w:rFonts w:ascii="Garamond" w:hAnsi="Garamond"/>
          <w:sz w:val="24"/>
        </w:rPr>
        <w:t>Written reasoning tied to the declared use and population.</w:t>
      </w:r>
    </w:p>
    <w:p>
      <w:pPr>
        <w:pStyle w:val="ListBullet"/>
      </w:pPr>
      <w:r>
        <w:rPr>
          <w:rFonts w:ascii="Garamond" w:hAnsi="Garamond"/>
          <w:sz w:val="24"/>
        </w:rPr>
        <w:t>A versioned artifact or notebook output that supports the claim.</w:t>
      </w:r>
    </w:p>
    <w:p>
      <w:pPr>
        <w:pStyle w:val="ListBullet"/>
      </w:pPr>
      <w:r>
        <w:rPr>
          <w:rFonts w:ascii="Garamond" w:hAnsi="Garamond"/>
          <w:sz w:val="24"/>
        </w:rPr>
        <w:t>At least one failure condition and its prescribed response.</w:t>
      </w:r>
    </w:p>
    <w:p>
      <w:pPr>
        <w:pStyle w:val="ListBullet"/>
      </w:pPr>
      <w:r>
        <w:rPr>
          <w:rFonts w:ascii="Garamond" w:hAnsi="Garamond"/>
          <w:sz w:val="24"/>
        </w:rPr>
        <w:t>A short limitation statement identifying what the evidence does not establish.</w:t>
      </w:r>
    </w:p>
    <w:p>
      <w:pPr>
        <w:pStyle w:val="Heading2"/>
      </w:pPr>
      <w:r>
        <w:rPr>
          <w:rFonts w:ascii="Garamond" w:hAnsi="Garamond"/>
          <w:sz w:val="24"/>
        </w:rPr>
        <w:t>Cross-sector transfer question</w:t>
      </w:r>
    </w:p>
    <w:p>
      <w:r>
        <w:rPr>
          <w:rFonts w:ascii="Garamond" w:hAnsi="Garamond"/>
          <w:sz w:val="24"/>
        </w:rPr>
        <w:t>Explain one material change required if the same technical component moved to another SRAI sector. Address data validity, consequence, authority or monitoring rather than merely renaming fields.</w:t>
      </w:r>
    </w:p>
    <w:p>
      <w:r>
        <w:rPr>
          <w:rFonts w:ascii="Garamond" w:hAnsi="Garamond"/>
          <w:sz w:val="24"/>
        </w:rPr>
        <w:br w:type="page"/>
      </w:r>
    </w:p>
    <w:p>
      <w:pPr>
        <w:pStyle w:val="Heading1"/>
      </w:pPr>
      <w:r>
        <w:rPr>
          <w:rFonts w:ascii="Garamond" w:hAnsi="Garamond"/>
          <w:sz w:val="24"/>
        </w:rPr>
        <w:t>Exercise 3 Data acceptance</w:t>
      </w:r>
    </w:p>
    <w:p>
      <w:r>
        <w:rPr>
          <w:rFonts w:ascii="Garamond" w:hAnsi="Garamond"/>
          <w:sz w:val="24"/>
        </w:rPr>
        <w:t>Design schema, range, missingness, temporal and category checks for the selected sector. Inject one failure in the notebook and show that training stops.</w:t>
      </w:r>
    </w:p>
    <w:p>
      <w:pPr>
        <w:pStyle w:val="Heading2"/>
      </w:pPr>
      <w:r>
        <w:rPr>
          <w:rFonts w:ascii="Garamond" w:hAnsi="Garamond"/>
          <w:sz w:val="24"/>
        </w:rPr>
        <w:t>Required evidence</w:t>
      </w:r>
    </w:p>
    <w:p>
      <w:pPr>
        <w:pStyle w:val="ListBullet"/>
      </w:pPr>
      <w:r>
        <w:rPr>
          <w:rFonts w:ascii="Garamond" w:hAnsi="Garamond"/>
          <w:sz w:val="24"/>
        </w:rPr>
        <w:t>Written reasoning tied to the declared use and population.</w:t>
      </w:r>
    </w:p>
    <w:p>
      <w:pPr>
        <w:pStyle w:val="ListBullet"/>
      </w:pPr>
      <w:r>
        <w:rPr>
          <w:rFonts w:ascii="Garamond" w:hAnsi="Garamond"/>
          <w:sz w:val="24"/>
        </w:rPr>
        <w:t>A versioned artifact or notebook output that supports the claim.</w:t>
      </w:r>
    </w:p>
    <w:p>
      <w:pPr>
        <w:pStyle w:val="ListBullet"/>
      </w:pPr>
      <w:r>
        <w:rPr>
          <w:rFonts w:ascii="Garamond" w:hAnsi="Garamond"/>
          <w:sz w:val="24"/>
        </w:rPr>
        <w:t>At least one failure condition and its prescribed response.</w:t>
      </w:r>
    </w:p>
    <w:p>
      <w:pPr>
        <w:pStyle w:val="ListBullet"/>
      </w:pPr>
      <w:r>
        <w:rPr>
          <w:rFonts w:ascii="Garamond" w:hAnsi="Garamond"/>
          <w:sz w:val="24"/>
        </w:rPr>
        <w:t>A short limitation statement identifying what the evidence does not establish.</w:t>
      </w:r>
    </w:p>
    <w:p>
      <w:pPr>
        <w:pStyle w:val="Heading2"/>
      </w:pPr>
      <w:r>
        <w:rPr>
          <w:rFonts w:ascii="Garamond" w:hAnsi="Garamond"/>
          <w:sz w:val="24"/>
        </w:rPr>
        <w:t>Cross-sector transfer question</w:t>
      </w:r>
    </w:p>
    <w:p>
      <w:r>
        <w:rPr>
          <w:rFonts w:ascii="Garamond" w:hAnsi="Garamond"/>
          <w:sz w:val="24"/>
        </w:rPr>
        <w:t>Explain one material change required if the same technical component moved to another SRAI sector. Address data validity, consequence, authority or monitoring rather than merely renaming fields.</w:t>
      </w:r>
    </w:p>
    <w:p>
      <w:r>
        <w:rPr>
          <w:rFonts w:ascii="Garamond" w:hAnsi="Garamond"/>
          <w:sz w:val="24"/>
        </w:rPr>
        <w:br w:type="page"/>
      </w:r>
    </w:p>
    <w:p>
      <w:pPr>
        <w:pStyle w:val="Heading1"/>
      </w:pPr>
      <w:r>
        <w:rPr>
          <w:rFonts w:ascii="Garamond" w:hAnsi="Garamond"/>
          <w:sz w:val="24"/>
        </w:rPr>
        <w:t>Exercise 4 Evaluation decision</w:t>
      </w:r>
    </w:p>
    <w:p>
      <w:r>
        <w:rPr>
          <w:rFonts w:ascii="Garamond" w:hAnsi="Garamond"/>
          <w:sz w:val="24"/>
        </w:rPr>
        <w:t>Using a confusion matrix with TP 160, FP 80, FN 40 and TN 220, calculate precision, recall, specificity, accuracy and F1. Recommend a threshold policy linked to consequences and intervention capacity.</w:t>
      </w:r>
    </w:p>
    <w:p>
      <w:pPr>
        <w:pStyle w:val="Heading2"/>
      </w:pPr>
      <w:r>
        <w:rPr>
          <w:rFonts w:ascii="Garamond" w:hAnsi="Garamond"/>
          <w:sz w:val="24"/>
        </w:rPr>
        <w:t>Required evidence</w:t>
      </w:r>
    </w:p>
    <w:p>
      <w:pPr>
        <w:pStyle w:val="ListBullet"/>
      </w:pPr>
      <w:r>
        <w:rPr>
          <w:rFonts w:ascii="Garamond" w:hAnsi="Garamond"/>
          <w:sz w:val="24"/>
        </w:rPr>
        <w:t>Written reasoning tied to the declared use and population.</w:t>
      </w:r>
    </w:p>
    <w:p>
      <w:pPr>
        <w:pStyle w:val="ListBullet"/>
      </w:pPr>
      <w:r>
        <w:rPr>
          <w:rFonts w:ascii="Garamond" w:hAnsi="Garamond"/>
          <w:sz w:val="24"/>
        </w:rPr>
        <w:t>A versioned artifact or notebook output that supports the claim.</w:t>
      </w:r>
    </w:p>
    <w:p>
      <w:pPr>
        <w:pStyle w:val="ListBullet"/>
      </w:pPr>
      <w:r>
        <w:rPr>
          <w:rFonts w:ascii="Garamond" w:hAnsi="Garamond"/>
          <w:sz w:val="24"/>
        </w:rPr>
        <w:t>At least one failure condition and its prescribed response.</w:t>
      </w:r>
    </w:p>
    <w:p>
      <w:pPr>
        <w:pStyle w:val="ListBullet"/>
      </w:pPr>
      <w:r>
        <w:rPr>
          <w:rFonts w:ascii="Garamond" w:hAnsi="Garamond"/>
          <w:sz w:val="24"/>
        </w:rPr>
        <w:t>A short limitation statement identifying what the evidence does not establish.</w:t>
      </w:r>
    </w:p>
    <w:p>
      <w:pPr>
        <w:pStyle w:val="Heading2"/>
      </w:pPr>
      <w:r>
        <w:rPr>
          <w:rFonts w:ascii="Garamond" w:hAnsi="Garamond"/>
          <w:sz w:val="24"/>
        </w:rPr>
        <w:t>Cross-sector transfer question</w:t>
      </w:r>
    </w:p>
    <w:p>
      <w:r>
        <w:rPr>
          <w:rFonts w:ascii="Garamond" w:hAnsi="Garamond"/>
          <w:sz w:val="24"/>
        </w:rPr>
        <w:t>Explain one material change required if the same technical component moved to another SRAI sector. Address data validity, consequence, authority or monitoring rather than merely renaming fields.</w:t>
      </w:r>
    </w:p>
    <w:p>
      <w:r>
        <w:rPr>
          <w:rFonts w:ascii="Garamond" w:hAnsi="Garamond"/>
          <w:sz w:val="24"/>
        </w:rPr>
        <w:br w:type="page"/>
      </w:r>
    </w:p>
    <w:p>
      <w:pPr>
        <w:pStyle w:val="Heading1"/>
      </w:pPr>
      <w:r>
        <w:rPr>
          <w:rFonts w:ascii="Garamond" w:hAnsi="Garamond"/>
          <w:sz w:val="24"/>
        </w:rPr>
        <w:t>Exercise 5 Lineage and registry</w:t>
      </w:r>
    </w:p>
    <w:p>
      <w:r>
        <w:rPr>
          <w:rFonts w:ascii="Garamond" w:hAnsi="Garamond"/>
          <w:sz w:val="24"/>
        </w:rPr>
        <w:t>Create a manifest that binds dataset, split, code, environment, model, evaluation and decision records. Distinguish registration, eligibility for review, approval and deployment.</w:t>
      </w:r>
    </w:p>
    <w:p>
      <w:pPr>
        <w:pStyle w:val="Heading2"/>
      </w:pPr>
      <w:r>
        <w:rPr>
          <w:rFonts w:ascii="Garamond" w:hAnsi="Garamond"/>
          <w:sz w:val="24"/>
        </w:rPr>
        <w:t>Required evidence</w:t>
      </w:r>
    </w:p>
    <w:p>
      <w:pPr>
        <w:pStyle w:val="ListBullet"/>
      </w:pPr>
      <w:r>
        <w:rPr>
          <w:rFonts w:ascii="Garamond" w:hAnsi="Garamond"/>
          <w:sz w:val="24"/>
        </w:rPr>
        <w:t>Written reasoning tied to the declared use and population.</w:t>
      </w:r>
    </w:p>
    <w:p>
      <w:pPr>
        <w:pStyle w:val="ListBullet"/>
      </w:pPr>
      <w:r>
        <w:rPr>
          <w:rFonts w:ascii="Garamond" w:hAnsi="Garamond"/>
          <w:sz w:val="24"/>
        </w:rPr>
        <w:t>A versioned artifact or notebook output that supports the claim.</w:t>
      </w:r>
    </w:p>
    <w:p>
      <w:pPr>
        <w:pStyle w:val="ListBullet"/>
      </w:pPr>
      <w:r>
        <w:rPr>
          <w:rFonts w:ascii="Garamond" w:hAnsi="Garamond"/>
          <w:sz w:val="24"/>
        </w:rPr>
        <w:t>At least one failure condition and its prescribed response.</w:t>
      </w:r>
    </w:p>
    <w:p>
      <w:pPr>
        <w:pStyle w:val="ListBullet"/>
      </w:pPr>
      <w:r>
        <w:rPr>
          <w:rFonts w:ascii="Garamond" w:hAnsi="Garamond"/>
          <w:sz w:val="24"/>
        </w:rPr>
        <w:t>A short limitation statement identifying what the evidence does not establish.</w:t>
      </w:r>
    </w:p>
    <w:p>
      <w:pPr>
        <w:pStyle w:val="Heading2"/>
      </w:pPr>
      <w:r>
        <w:rPr>
          <w:rFonts w:ascii="Garamond" w:hAnsi="Garamond"/>
          <w:sz w:val="24"/>
        </w:rPr>
        <w:t>Cross-sector transfer question</w:t>
      </w:r>
    </w:p>
    <w:p>
      <w:r>
        <w:rPr>
          <w:rFonts w:ascii="Garamond" w:hAnsi="Garamond"/>
          <w:sz w:val="24"/>
        </w:rPr>
        <w:t>Explain one material change required if the same technical component moved to another SRAI sector. Address data validity, consequence, authority or monitoring rather than merely renaming fields.</w:t>
      </w:r>
    </w:p>
    <w:p>
      <w:r>
        <w:rPr>
          <w:rFonts w:ascii="Garamond" w:hAnsi="Garamond"/>
          <w:sz w:val="24"/>
        </w:rPr>
        <w:br w:type="page"/>
      </w:r>
    </w:p>
    <w:p>
      <w:pPr>
        <w:pStyle w:val="Heading1"/>
      </w:pPr>
      <w:r>
        <w:rPr>
          <w:rFonts w:ascii="Garamond" w:hAnsi="Garamond"/>
          <w:sz w:val="24"/>
        </w:rPr>
        <w:t>Exercise 6 Service and monitoring</w:t>
      </w:r>
    </w:p>
    <w:p>
      <w:r>
        <w:rPr>
          <w:rFonts w:ascii="Garamond" w:hAnsi="Garamond"/>
          <w:sz w:val="24"/>
        </w:rPr>
        <w:t>Specify an inference contract and a monitoring plan covering service, data, prediction, outcome, subgroup, security and cost indicators. Assign owners and responses.</w:t>
      </w:r>
    </w:p>
    <w:p>
      <w:pPr>
        <w:pStyle w:val="Heading2"/>
      </w:pPr>
      <w:r>
        <w:rPr>
          <w:rFonts w:ascii="Garamond" w:hAnsi="Garamond"/>
          <w:sz w:val="24"/>
        </w:rPr>
        <w:t>Required evidence</w:t>
      </w:r>
    </w:p>
    <w:p>
      <w:pPr>
        <w:pStyle w:val="ListBullet"/>
      </w:pPr>
      <w:r>
        <w:rPr>
          <w:rFonts w:ascii="Garamond" w:hAnsi="Garamond"/>
          <w:sz w:val="24"/>
        </w:rPr>
        <w:t>Written reasoning tied to the declared use and population.</w:t>
      </w:r>
    </w:p>
    <w:p>
      <w:pPr>
        <w:pStyle w:val="ListBullet"/>
      </w:pPr>
      <w:r>
        <w:rPr>
          <w:rFonts w:ascii="Garamond" w:hAnsi="Garamond"/>
          <w:sz w:val="24"/>
        </w:rPr>
        <w:t>A versioned artifact or notebook output that supports the claim.</w:t>
      </w:r>
    </w:p>
    <w:p>
      <w:pPr>
        <w:pStyle w:val="ListBullet"/>
      </w:pPr>
      <w:r>
        <w:rPr>
          <w:rFonts w:ascii="Garamond" w:hAnsi="Garamond"/>
          <w:sz w:val="24"/>
        </w:rPr>
        <w:t>At least one failure condition and its prescribed response.</w:t>
      </w:r>
    </w:p>
    <w:p>
      <w:pPr>
        <w:pStyle w:val="ListBullet"/>
      </w:pPr>
      <w:r>
        <w:rPr>
          <w:rFonts w:ascii="Garamond" w:hAnsi="Garamond"/>
          <w:sz w:val="24"/>
        </w:rPr>
        <w:t>A short limitation statement identifying what the evidence does not establish.</w:t>
      </w:r>
    </w:p>
    <w:p>
      <w:pPr>
        <w:pStyle w:val="Heading2"/>
      </w:pPr>
      <w:r>
        <w:rPr>
          <w:rFonts w:ascii="Garamond" w:hAnsi="Garamond"/>
          <w:sz w:val="24"/>
        </w:rPr>
        <w:t>Cross-sector transfer question</w:t>
      </w:r>
    </w:p>
    <w:p>
      <w:r>
        <w:rPr>
          <w:rFonts w:ascii="Garamond" w:hAnsi="Garamond"/>
          <w:sz w:val="24"/>
        </w:rPr>
        <w:t>Explain one material change required if the same technical component moved to another SRAI sector. Address data validity, consequence, authority or monitoring rather than merely renaming fields.</w:t>
      </w:r>
    </w:p>
    <w:p>
      <w:r>
        <w:rPr>
          <w:rFonts w:ascii="Garamond" w:hAnsi="Garamond"/>
          <w:sz w:val="24"/>
        </w:rPr>
        <w:br w:type="page"/>
      </w:r>
    </w:p>
    <w:p>
      <w:pPr>
        <w:pStyle w:val="Heading1"/>
      </w:pPr>
      <w:r>
        <w:rPr>
          <w:rFonts w:ascii="Garamond" w:hAnsi="Garamond"/>
          <w:sz w:val="24"/>
        </w:rPr>
        <w:t>Exercise 7 Incident and rollback</w:t>
      </w:r>
    </w:p>
    <w:p>
      <w:r>
        <w:rPr>
          <w:rFonts w:ascii="Garamond" w:hAnsi="Garamond"/>
          <w:sz w:val="24"/>
        </w:rPr>
        <w:t>Respond to a silent unit change in a mandatory input. Define detection, containment, impact assessment, rollback, recovery verification and post-incident evidence.</w:t>
      </w:r>
    </w:p>
    <w:p>
      <w:pPr>
        <w:pStyle w:val="Heading2"/>
      </w:pPr>
      <w:r>
        <w:rPr>
          <w:rFonts w:ascii="Garamond" w:hAnsi="Garamond"/>
          <w:sz w:val="24"/>
        </w:rPr>
        <w:t>Required evidence</w:t>
      </w:r>
    </w:p>
    <w:p>
      <w:pPr>
        <w:pStyle w:val="ListBullet"/>
      </w:pPr>
      <w:r>
        <w:rPr>
          <w:rFonts w:ascii="Garamond" w:hAnsi="Garamond"/>
          <w:sz w:val="24"/>
        </w:rPr>
        <w:t>Written reasoning tied to the declared use and population.</w:t>
      </w:r>
    </w:p>
    <w:p>
      <w:pPr>
        <w:pStyle w:val="ListBullet"/>
      </w:pPr>
      <w:r>
        <w:rPr>
          <w:rFonts w:ascii="Garamond" w:hAnsi="Garamond"/>
          <w:sz w:val="24"/>
        </w:rPr>
        <w:t>A versioned artifact or notebook output that supports the claim.</w:t>
      </w:r>
    </w:p>
    <w:p>
      <w:pPr>
        <w:pStyle w:val="ListBullet"/>
      </w:pPr>
      <w:r>
        <w:rPr>
          <w:rFonts w:ascii="Garamond" w:hAnsi="Garamond"/>
          <w:sz w:val="24"/>
        </w:rPr>
        <w:t>At least one failure condition and its prescribed response.</w:t>
      </w:r>
    </w:p>
    <w:p>
      <w:pPr>
        <w:pStyle w:val="ListBullet"/>
      </w:pPr>
      <w:r>
        <w:rPr>
          <w:rFonts w:ascii="Garamond" w:hAnsi="Garamond"/>
          <w:sz w:val="24"/>
        </w:rPr>
        <w:t>A short limitation statement identifying what the evidence does not establish.</w:t>
      </w:r>
    </w:p>
    <w:p>
      <w:pPr>
        <w:pStyle w:val="Heading2"/>
      </w:pPr>
      <w:r>
        <w:rPr>
          <w:rFonts w:ascii="Garamond" w:hAnsi="Garamond"/>
          <w:sz w:val="24"/>
        </w:rPr>
        <w:t>Cross-sector transfer question</w:t>
      </w:r>
    </w:p>
    <w:p>
      <w:r>
        <w:rPr>
          <w:rFonts w:ascii="Garamond" w:hAnsi="Garamond"/>
          <w:sz w:val="24"/>
        </w:rPr>
        <w:t>Explain one material change required if the same technical component moved to another SRAI sector. Address data validity, consequence, authority or monitoring rather than merely renaming fields.</w:t>
      </w:r>
    </w:p>
    <w:p>
      <w:r>
        <w:rPr>
          <w:rFonts w:ascii="Garamond" w:hAnsi="Garamond"/>
          <w:sz w:val="24"/>
        </w:rPr>
        <w:br w:type="page"/>
      </w:r>
    </w:p>
    <w:p>
      <w:pPr>
        <w:pStyle w:val="Heading1"/>
      </w:pPr>
      <w:r>
        <w:rPr>
          <w:rFonts w:ascii="Garamond" w:hAnsi="Garamond"/>
          <w:sz w:val="24"/>
        </w:rPr>
        <w:t>Exercise 8 Governance and retirement</w:t>
      </w:r>
    </w:p>
    <w:p>
      <w:r>
        <w:rPr>
          <w:rFonts w:ascii="Garamond" w:hAnsi="Garamond"/>
          <w:sz w:val="24"/>
        </w:rPr>
        <w:t>Explain why a technically ready model remains blocked without approval. Define authorized remediation, review expiry and retirement evidence.</w:t>
      </w:r>
    </w:p>
    <w:p>
      <w:pPr>
        <w:pStyle w:val="Heading2"/>
      </w:pPr>
      <w:r>
        <w:rPr>
          <w:rFonts w:ascii="Garamond" w:hAnsi="Garamond"/>
          <w:sz w:val="24"/>
        </w:rPr>
        <w:t>Required evidence</w:t>
      </w:r>
    </w:p>
    <w:p>
      <w:pPr>
        <w:pStyle w:val="ListBullet"/>
      </w:pPr>
      <w:r>
        <w:rPr>
          <w:rFonts w:ascii="Garamond" w:hAnsi="Garamond"/>
          <w:sz w:val="24"/>
        </w:rPr>
        <w:t>Written reasoning tied to the declared use and population.</w:t>
      </w:r>
    </w:p>
    <w:p>
      <w:pPr>
        <w:pStyle w:val="ListBullet"/>
      </w:pPr>
      <w:r>
        <w:rPr>
          <w:rFonts w:ascii="Garamond" w:hAnsi="Garamond"/>
          <w:sz w:val="24"/>
        </w:rPr>
        <w:t>A versioned artifact or notebook output that supports the claim.</w:t>
      </w:r>
    </w:p>
    <w:p>
      <w:pPr>
        <w:pStyle w:val="ListBullet"/>
      </w:pPr>
      <w:r>
        <w:rPr>
          <w:rFonts w:ascii="Garamond" w:hAnsi="Garamond"/>
          <w:sz w:val="24"/>
        </w:rPr>
        <w:t>At least one failure condition and its prescribed response.</w:t>
      </w:r>
    </w:p>
    <w:p>
      <w:pPr>
        <w:pStyle w:val="ListBullet"/>
      </w:pPr>
      <w:r>
        <w:rPr>
          <w:rFonts w:ascii="Garamond" w:hAnsi="Garamond"/>
          <w:sz w:val="24"/>
        </w:rPr>
        <w:t>A short limitation statement identifying what the evidence does not establish.</w:t>
      </w:r>
    </w:p>
    <w:p>
      <w:pPr>
        <w:pStyle w:val="Heading2"/>
      </w:pPr>
      <w:r>
        <w:rPr>
          <w:rFonts w:ascii="Garamond" w:hAnsi="Garamond"/>
          <w:sz w:val="24"/>
        </w:rPr>
        <w:t>Cross-sector transfer question</w:t>
      </w:r>
    </w:p>
    <w:p>
      <w:r>
        <w:rPr>
          <w:rFonts w:ascii="Garamond" w:hAnsi="Garamond"/>
          <w:sz w:val="24"/>
        </w:rPr>
        <w:t>Explain one material change required if the same technical component moved to another SRAI sector. Address data validity, consequence, authority or monitoring rather than merely renaming fields.</w:t>
      </w:r>
    </w:p>
    <w:p>
      <w:r>
        <w:rPr>
          <w:rFonts w:ascii="Garamond" w:hAnsi="Garamond"/>
          <w:sz w:val="24"/>
        </w:rPr>
        <w:br w:type="page"/>
      </w:r>
    </w:p>
    <w:p>
      <w:pPr>
        <w:pStyle w:val="Heading1"/>
      </w:pPr>
      <w:r>
        <w:rPr>
          <w:rFonts w:ascii="Garamond" w:hAnsi="Garamond"/>
          <w:sz w:val="24"/>
        </w:rPr>
        <w:t>Assessment summary</w:t>
      </w:r>
    </w:p>
    <w:tbl>
      <w:tblPr>
        <w:tblStyle w:val="TableGrid"/>
        <w:tblW w:type="auto" w:w="0"/>
        <w:jc w:val="center"/>
        <w:tblLook w:firstColumn="1" w:firstRow="1" w:lastColumn="0" w:lastRow="0" w:noHBand="0" w:noVBand="1" w:val="04A0"/>
      </w:tblPr>
      <w:tblGrid>
        <w:gridCol w:w="4896"/>
        <w:gridCol w:w="4896"/>
      </w:tblGrid>
      <w:tr>
        <w:trPr>
          <w:tblHeader w:val="true"/>
        </w:trPr>
        <w:tc>
          <w:tcPr>
            <w:tcW w:type="dxa" w:w="4896"/>
            <w:shd w:fill="17365D"/>
          </w:tcPr>
          <w:p>
            <w:r>
              <w:rPr>
                <w:rFonts w:ascii="Garamond" w:hAnsi="Garamond"/>
                <w:b/>
                <w:color w:val="FFFFFF"/>
                <w:sz w:val="24"/>
              </w:rPr>
              <w:t>Exercise</w:t>
            </w:r>
          </w:p>
        </w:tc>
        <w:tc>
          <w:tcPr>
            <w:tcW w:type="dxa" w:w="4896"/>
            <w:shd w:fill="17365D"/>
          </w:tcPr>
          <w:p>
            <w:r>
              <w:rPr>
                <w:rFonts w:ascii="Garamond" w:hAnsi="Garamond"/>
                <w:b/>
                <w:color w:val="FFFFFF"/>
                <w:sz w:val="24"/>
              </w:rPr>
              <w:t>Marks</w:t>
            </w:r>
          </w:p>
        </w:tc>
      </w:tr>
      <w:tr>
        <w:tc>
          <w:tcPr>
            <w:tcW w:type="dxa" w:w="4896"/>
            <w:vAlign w:val="center"/>
          </w:tcPr>
          <w:p>
            <w:r>
              <w:rPr>
                <w:rFonts w:ascii="Garamond" w:hAnsi="Garamond"/>
                <w:sz w:val="24"/>
              </w:rPr>
              <w:t>Exercise 1 Governed lifecycle</w:t>
            </w:r>
          </w:p>
        </w:tc>
        <w:tc>
          <w:tcPr>
            <w:tcW w:type="dxa" w:w="4896"/>
            <w:vAlign w:val="center"/>
          </w:tcPr>
          <w:p>
            <w:r>
              <w:rPr>
                <w:rFonts w:ascii="Garamond" w:hAnsi="Garamond"/>
                <w:sz w:val="24"/>
              </w:rPr>
              <w:t>12</w:t>
            </w:r>
          </w:p>
        </w:tc>
      </w:tr>
      <w:tr>
        <w:tc>
          <w:tcPr>
            <w:tcW w:type="dxa" w:w="4896"/>
            <w:vAlign w:val="center"/>
            <w:shd w:fill="EAF0F6"/>
          </w:tcPr>
          <w:p>
            <w:r>
              <w:rPr>
                <w:rFonts w:ascii="Garamond" w:hAnsi="Garamond"/>
                <w:sz w:val="24"/>
              </w:rPr>
              <w:t>Exercise 2 Reproducibility contract</w:t>
            </w:r>
          </w:p>
        </w:tc>
        <w:tc>
          <w:tcPr>
            <w:tcW w:type="dxa" w:w="4896"/>
            <w:vAlign w:val="center"/>
            <w:shd w:fill="EAF0F6"/>
          </w:tcPr>
          <w:p>
            <w:r>
              <w:rPr>
                <w:rFonts w:ascii="Garamond" w:hAnsi="Garamond"/>
                <w:sz w:val="24"/>
              </w:rPr>
              <w:t>12</w:t>
            </w:r>
          </w:p>
        </w:tc>
      </w:tr>
      <w:tr>
        <w:tc>
          <w:tcPr>
            <w:tcW w:type="dxa" w:w="4896"/>
            <w:vAlign w:val="center"/>
          </w:tcPr>
          <w:p>
            <w:r>
              <w:rPr>
                <w:rFonts w:ascii="Garamond" w:hAnsi="Garamond"/>
                <w:sz w:val="24"/>
              </w:rPr>
              <w:t>Exercise 3 Data acceptance</w:t>
            </w:r>
          </w:p>
        </w:tc>
        <w:tc>
          <w:tcPr>
            <w:tcW w:type="dxa" w:w="4896"/>
            <w:vAlign w:val="center"/>
          </w:tcPr>
          <w:p>
            <w:r>
              <w:rPr>
                <w:rFonts w:ascii="Garamond" w:hAnsi="Garamond"/>
                <w:sz w:val="24"/>
              </w:rPr>
              <w:t>12</w:t>
            </w:r>
          </w:p>
        </w:tc>
      </w:tr>
      <w:tr>
        <w:tc>
          <w:tcPr>
            <w:tcW w:type="dxa" w:w="4896"/>
            <w:vAlign w:val="center"/>
            <w:shd w:fill="EAF0F6"/>
          </w:tcPr>
          <w:p>
            <w:r>
              <w:rPr>
                <w:rFonts w:ascii="Garamond" w:hAnsi="Garamond"/>
                <w:sz w:val="24"/>
              </w:rPr>
              <w:t>Exercise 4 Evaluation decision</w:t>
            </w:r>
          </w:p>
        </w:tc>
        <w:tc>
          <w:tcPr>
            <w:tcW w:type="dxa" w:w="4896"/>
            <w:vAlign w:val="center"/>
            <w:shd w:fill="EAF0F6"/>
          </w:tcPr>
          <w:p>
            <w:r>
              <w:rPr>
                <w:rFonts w:ascii="Garamond" w:hAnsi="Garamond"/>
                <w:sz w:val="24"/>
              </w:rPr>
              <w:t>16</w:t>
            </w:r>
          </w:p>
        </w:tc>
      </w:tr>
      <w:tr>
        <w:tc>
          <w:tcPr>
            <w:tcW w:type="dxa" w:w="4896"/>
            <w:vAlign w:val="center"/>
          </w:tcPr>
          <w:p>
            <w:r>
              <w:rPr>
                <w:rFonts w:ascii="Garamond" w:hAnsi="Garamond"/>
                <w:sz w:val="24"/>
              </w:rPr>
              <w:t>Exercise 5 Lineage and registry</w:t>
            </w:r>
          </w:p>
        </w:tc>
        <w:tc>
          <w:tcPr>
            <w:tcW w:type="dxa" w:w="4896"/>
            <w:vAlign w:val="center"/>
          </w:tcPr>
          <w:p>
            <w:r>
              <w:rPr>
                <w:rFonts w:ascii="Garamond" w:hAnsi="Garamond"/>
                <w:sz w:val="24"/>
              </w:rPr>
              <w:t>12</w:t>
            </w:r>
          </w:p>
        </w:tc>
      </w:tr>
      <w:tr>
        <w:tc>
          <w:tcPr>
            <w:tcW w:type="dxa" w:w="4896"/>
            <w:vAlign w:val="center"/>
            <w:shd w:fill="EAF0F6"/>
          </w:tcPr>
          <w:p>
            <w:r>
              <w:rPr>
                <w:rFonts w:ascii="Garamond" w:hAnsi="Garamond"/>
                <w:sz w:val="24"/>
              </w:rPr>
              <w:t>Exercise 6 Service and monitoring</w:t>
            </w:r>
          </w:p>
        </w:tc>
        <w:tc>
          <w:tcPr>
            <w:tcW w:type="dxa" w:w="4896"/>
            <w:vAlign w:val="center"/>
            <w:shd w:fill="EAF0F6"/>
          </w:tcPr>
          <w:p>
            <w:r>
              <w:rPr>
                <w:rFonts w:ascii="Garamond" w:hAnsi="Garamond"/>
                <w:sz w:val="24"/>
              </w:rPr>
              <w:t>14</w:t>
            </w:r>
          </w:p>
        </w:tc>
      </w:tr>
      <w:tr>
        <w:tc>
          <w:tcPr>
            <w:tcW w:type="dxa" w:w="4896"/>
            <w:vAlign w:val="center"/>
          </w:tcPr>
          <w:p>
            <w:r>
              <w:rPr>
                <w:rFonts w:ascii="Garamond" w:hAnsi="Garamond"/>
                <w:sz w:val="24"/>
              </w:rPr>
              <w:t>Exercise 7 Incident and rollback</w:t>
            </w:r>
          </w:p>
        </w:tc>
        <w:tc>
          <w:tcPr>
            <w:tcW w:type="dxa" w:w="4896"/>
            <w:vAlign w:val="center"/>
          </w:tcPr>
          <w:p>
            <w:r>
              <w:rPr>
                <w:rFonts w:ascii="Garamond" w:hAnsi="Garamond"/>
                <w:sz w:val="24"/>
              </w:rPr>
              <w:t>10</w:t>
            </w:r>
          </w:p>
        </w:tc>
      </w:tr>
      <w:tr>
        <w:tc>
          <w:tcPr>
            <w:tcW w:type="dxa" w:w="4896"/>
            <w:vAlign w:val="center"/>
            <w:shd w:fill="EAF0F6"/>
          </w:tcPr>
          <w:p>
            <w:r>
              <w:rPr>
                <w:rFonts w:ascii="Garamond" w:hAnsi="Garamond"/>
                <w:sz w:val="24"/>
              </w:rPr>
              <w:t>Exercise 8 Governance and retirement</w:t>
            </w:r>
          </w:p>
        </w:tc>
        <w:tc>
          <w:tcPr>
            <w:tcW w:type="dxa" w:w="4896"/>
            <w:vAlign w:val="center"/>
            <w:shd w:fill="EAF0F6"/>
          </w:tcPr>
          <w:p>
            <w:r>
              <w:rPr>
                <w:rFonts w:ascii="Garamond" w:hAnsi="Garamond"/>
                <w:sz w:val="24"/>
              </w:rPr>
              <w:t>12</w:t>
            </w:r>
          </w:p>
        </w:tc>
      </w:tr>
      <w:tr>
        <w:tc>
          <w:tcPr>
            <w:tcW w:type="dxa" w:w="4896"/>
            <w:vAlign w:val="center"/>
          </w:tcPr>
          <w:p>
            <w:r>
              <w:rPr>
                <w:rFonts w:ascii="Garamond" w:hAnsi="Garamond"/>
                <w:sz w:val="24"/>
              </w:rPr>
              <w:t>Total</w:t>
            </w:r>
          </w:p>
        </w:tc>
        <w:tc>
          <w:tcPr>
            <w:tcW w:type="dxa" w:w="4896"/>
            <w:vAlign w:val="center"/>
          </w:tcPr>
          <w:p>
            <w:r>
              <w:rPr>
                <w:rFonts w:ascii="Garamond" w:hAnsi="Garamond"/>
                <w:sz w:val="24"/>
              </w:rPr>
              <w:t>100</w:t>
            </w:r>
          </w:p>
        </w:tc>
      </w:tr>
    </w:tbl>
    <w:sectPr w:rsidR="00FC693F" w:rsidRPr="0006063C" w:rsidSect="00034616">
      <w:headerReference w:type="default" r:id="rId9"/>
      <w:footerReference w:type="default" r:id="rId10"/>
      <w:pgSz w:w="12240" w:h="15840"/>
      <w:pgMar w:top="1296" w:right="1224" w:bottom="1296" w:left="1224"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aramond" w:hAnsi="Garamond"/>
        <w:sz w:val="24"/>
      </w:rPr>
      <w:t xml:space="preserve">Page </w:t>
    </w:r>
    <w:r>
      <w:rPr>
        <w:rFonts w:ascii="Garamond" w:hAnsi="Garamond"/>
        <w:sz w:val="24"/>
      </w:rPr>
      <w:fldChar w:fldCharType="begin"/>
    </w:r>
    <w:r>
      <w:rPr>
        <w:rFonts w:ascii="Garamond" w:hAnsi="Garamond"/>
        <w:sz w:val="24"/>
      </w:rPr>
      <w:instrText xml:space="preserve"> PAGE </w:instrText>
    </w:r>
    <w:r>
      <w:rPr>
        <w:rFonts w:ascii="Garamond" w:hAnsi="Garamond"/>
        <w:sz w:val="24"/>
      </w:rPr>
      <w:fldChar w:fldCharType="separate"/>
    </w:r>
    <w:r>
      <w:rPr>
        <w:rFonts w:ascii="Garamond" w:hAnsi="Garamond"/>
        <w:sz w:val="24"/>
      </w:rPr>
      <w:t>1</w:t>
    </w:r>
    <w:r>
      <w:rPr>
        <w:rFonts w:ascii="Garamond" w:hAnsi="Garamond"/>
        <w:sz w:val="24"/>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Garamond" w:hAnsi="Garamond"/>
        <w:sz w:val="24"/>
      </w:rPr>
      <w:t>SRAI | MLOps and AI Engineering | PU-B05-C01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Garamond" w:hAnsi="Garamond" w:eastAsia="Garamond"/>
      <w:color w:val="202733"/>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Garamond" w:hAnsi="Garamond" w:eastAsia="Garamond"/>
      <w:sz w:val="24"/>
    </w:rPr>
  </w:style>
  <w:style w:type="character" w:customStyle="1" w:styleId="HeaderChar">
    <w:name w:val="Header Char"/>
    <w:basedOn w:val="DefaultParagraphFont"/>
    <w:link w:val="Header"/>
    <w:uiPriority w:val="99"/>
    <w:rsid w:val="00E618BF"/>
    <w:rPr>
      <w:rFonts w:ascii="Garamond" w:hAnsi="Garamond" w:eastAsia="Garamond"/>
      <w:sz w:val="24"/>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Garamond" w:hAnsi="Garamond" w:eastAsia="Garamond"/>
      <w:sz w:val="24"/>
    </w:rPr>
  </w:style>
  <w:style w:type="character" w:customStyle="1" w:styleId="FooterChar">
    <w:name w:val="Footer Char"/>
    <w:basedOn w:val="DefaultParagraphFont"/>
    <w:link w:val="Footer"/>
    <w:uiPriority w:val="99"/>
    <w:rsid w:val="00E618BF"/>
    <w:rPr>
      <w:rFonts w:ascii="Garamond" w:hAnsi="Garamond" w:eastAsia="Garamond"/>
      <w:sz w:val="24"/>
    </w:rPr>
  </w:style>
  <w:style w:type="paragraph" w:styleId="Heading1">
    <w:name w:val="heading 1"/>
    <w:basedOn w:val="Normal"/>
    <w:next w:val="Normal"/>
    <w:link w:val="Heading1Char"/>
    <w:uiPriority w:val="9"/>
    <w:qFormat/>
    <w:rsid w:val="00FC693F"/>
    <w:pPr>
      <w:keepNext/>
      <w:keepLines/>
      <w:spacing w:before="100" w:after="160"/>
      <w:outlineLvl w:val="0"/>
    </w:pPr>
    <w:rPr>
      <w:rFonts w:asciiTheme="majorHAnsi" w:eastAsiaTheme="majorEastAsia" w:hAnsiTheme="majorHAnsi" w:cstheme="majorBidi" w:ascii="Garamond" w:hAnsi="Garamond" w:eastAsia="Garamond"/>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Garamond" w:hAnsi="Garamond" w:eastAsia="Garamond"/>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Garamond" w:hAnsi="Garamond" w:eastAsia="Garamond"/>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Garamond" w:hAnsi="Garamond" w:eastAsia="Garamond"/>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Garamond" w:hAnsi="Garamond" w:eastAsia="Garamond"/>
      <w:color w:val="243F60" w:themeColor="accent1" w:themeShade="7F"/>
      <w:sz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Garamond" w:hAnsi="Garamond" w:eastAsia="Garamond"/>
      <w:i/>
      <w:iCs/>
      <w:color w:val="243F60" w:themeColor="accent1" w:themeShade="7F"/>
      <w:sz w:val="24"/>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Garamond" w:hAnsi="Garamond" w:eastAsia="Garamond"/>
      <w:i/>
      <w:iCs/>
      <w:color w:val="404040" w:themeColor="text1" w:themeTint="BF"/>
      <w:sz w:val="24"/>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Garamond" w:hAnsi="Garamond" w:eastAsia="Garamond"/>
      <w:color w:val="4F81BD" w:themeColor="accent1"/>
      <w:sz w:val="24"/>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Garamond" w:hAnsi="Garamond" w:eastAsia="Garamond"/>
      <w:i/>
      <w:iCs/>
      <w:color w:val="404040" w:themeColor="text1" w:themeTint="BF"/>
      <w:sz w:val="24"/>
      <w:szCs w:val="20"/>
    </w:rPr>
  </w:style>
  <w:style w:type="character" w:default="1" w:styleId="DefaultParagraphFont">
    <w:name w:val="Default Paragraph Font"/>
    <w:uiPriority w:val="1"/>
    <w:semiHidden/>
    <w:unhideWhenUsed/>
    <w:rPr>
      <w:rFonts w:ascii="Garamond" w:hAnsi="Garamond" w:eastAsia="Garamond"/>
      <w:sz w:val="24"/>
    </w:rPr>
  </w:style>
  <w:style w:type="table" w:default="1" w:styleId="TableNormal">
    <w:name w:val="Normal Table"/>
    <w:uiPriority w:val="99"/>
    <w:semiHidden/>
    <w:unhideWhenUsed/>
    <w:rPr>
      <w:rFonts w:ascii="Garamond" w:hAnsi="Garamond" w:eastAsia="Garamond"/>
      <w:sz w:val="24"/>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Garamond" w:hAnsi="Garamond" w:eastAsia="Garamond"/>
      <w:sz w:val="24"/>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Garamond" w:hAnsi="Garamond" w:eastAsia="Garamond"/>
      <w:b/>
      <w:bCs/>
      <w:color w:val="365F91" w:themeColor="accent1" w:themeShade="BF"/>
      <w:sz w:val="24"/>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Garamond" w:hAnsi="Garamond" w:eastAsia="Garamond"/>
      <w:b/>
      <w:bCs/>
      <w:color w:val="4F81BD" w:themeColor="accent1"/>
      <w:sz w:val="24"/>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Garamond" w:hAnsi="Garamond" w:eastAsia="Garamond"/>
      <w:b/>
      <w:bCs/>
      <w:color w:val="4F81BD" w:themeColor="accent1"/>
      <w:sz w:val="24"/>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Garamond" w:hAnsi="Garamond" w:eastAsia="Garamond"/>
      <w:b/>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Garamond" w:hAnsi="Garamond" w:eastAsia="Garamond"/>
      <w:color w:val="17365D" w:themeColor="text2" w:themeShade="BF"/>
      <w:spacing w:val="5"/>
      <w:kern w:val="28"/>
      <w:sz w:val="24"/>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Garamond" w:hAnsi="Garamond" w:eastAsia="Garamond"/>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Garamond" w:hAnsi="Garamond" w:eastAsia="Garamond"/>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Garamond" w:hAnsi="Garamond" w:eastAsia="Garamond"/>
      <w:sz w:val="24"/>
    </w:rPr>
  </w:style>
  <w:style w:type="paragraph" w:styleId="BodyText">
    <w:name w:val="Body Text"/>
    <w:basedOn w:val="Normal"/>
    <w:link w:val="BodyTextChar"/>
    <w:uiPriority w:val="99"/>
    <w:unhideWhenUsed/>
    <w:rsid w:val="00AA1D8D"/>
    <w:pPr>
      <w:spacing w:after="120"/>
    </w:pPr>
    <w:rPr>
      <w:rFonts w:ascii="Garamond" w:hAnsi="Garamond" w:eastAsia="Garamond"/>
      <w:sz w:val="24"/>
    </w:rPr>
  </w:style>
  <w:style w:type="character" w:customStyle="1" w:styleId="BodyTextChar">
    <w:name w:val="Body Text Char"/>
    <w:basedOn w:val="DefaultParagraphFont"/>
    <w:link w:val="BodyText"/>
    <w:uiPriority w:val="99"/>
    <w:rsid w:val="00AA1D8D"/>
    <w:rPr>
      <w:rFonts w:ascii="Garamond" w:hAnsi="Garamond" w:eastAsia="Garamond"/>
      <w:sz w:val="24"/>
    </w:rPr>
  </w:style>
  <w:style w:type="paragraph" w:styleId="BodyText2">
    <w:name w:val="Body Text 2"/>
    <w:basedOn w:val="Normal"/>
    <w:link w:val="BodyText2Char"/>
    <w:uiPriority w:val="99"/>
    <w:unhideWhenUsed/>
    <w:rsid w:val="00AA1D8D"/>
    <w:pPr>
      <w:spacing w:after="120" w:line="480" w:lineRule="auto"/>
    </w:pPr>
    <w:rPr>
      <w:rFonts w:ascii="Garamond" w:hAnsi="Garamond" w:eastAsia="Garamond"/>
      <w:sz w:val="24"/>
    </w:rPr>
  </w:style>
  <w:style w:type="character" w:customStyle="1" w:styleId="BodyText2Char">
    <w:name w:val="Body Text 2 Char"/>
    <w:basedOn w:val="DefaultParagraphFont"/>
    <w:link w:val="BodyText2"/>
    <w:uiPriority w:val="99"/>
    <w:rsid w:val="00AA1D8D"/>
    <w:rPr>
      <w:rFonts w:ascii="Garamond" w:hAnsi="Garamond" w:eastAsia="Garamond"/>
      <w:sz w:val="24"/>
    </w:rPr>
  </w:style>
  <w:style w:type="paragraph" w:styleId="BodyText3">
    <w:name w:val="Body Text 3"/>
    <w:basedOn w:val="Normal"/>
    <w:link w:val="BodyText3Char"/>
    <w:uiPriority w:val="99"/>
    <w:unhideWhenUsed/>
    <w:rsid w:val="00AA1D8D"/>
    <w:pPr>
      <w:spacing w:after="120"/>
    </w:pPr>
    <w:rPr>
      <w:rFonts w:ascii="Garamond" w:hAnsi="Garamond" w:eastAsia="Garamond"/>
      <w:sz w:val="24"/>
      <w:szCs w:val="16"/>
    </w:rPr>
  </w:style>
  <w:style w:type="character" w:customStyle="1" w:styleId="BodyText3Char">
    <w:name w:val="Body Text 3 Char"/>
    <w:basedOn w:val="DefaultParagraphFont"/>
    <w:link w:val="BodyText3"/>
    <w:uiPriority w:val="99"/>
    <w:rsid w:val="00AA1D8D"/>
    <w:rPr>
      <w:rFonts w:ascii="Garamond" w:hAnsi="Garamond" w:eastAsia="Garamond"/>
      <w:sz w:val="24"/>
      <w:szCs w:val="16"/>
    </w:rPr>
  </w:style>
  <w:style w:type="paragraph" w:styleId="List">
    <w:name w:val="List"/>
    <w:basedOn w:val="Normal"/>
    <w:uiPriority w:val="99"/>
    <w:unhideWhenUsed/>
    <w:rsid w:val="00AA1D8D"/>
    <w:pPr>
      <w:ind w:left="360" w:hanging="360"/>
      <w:contextualSpacing/>
    </w:pPr>
    <w:rPr>
      <w:rFonts w:ascii="Garamond" w:hAnsi="Garamond" w:eastAsia="Garamond"/>
      <w:sz w:val="24"/>
    </w:rPr>
  </w:style>
  <w:style w:type="paragraph" w:styleId="List2">
    <w:name w:val="List 2"/>
    <w:basedOn w:val="Normal"/>
    <w:uiPriority w:val="99"/>
    <w:unhideWhenUsed/>
    <w:rsid w:val="00326F90"/>
    <w:pPr>
      <w:ind w:left="720" w:hanging="360"/>
      <w:contextualSpacing/>
    </w:pPr>
    <w:rPr>
      <w:rFonts w:ascii="Garamond" w:hAnsi="Garamond" w:eastAsia="Garamond"/>
      <w:sz w:val="24"/>
    </w:rPr>
  </w:style>
  <w:style w:type="paragraph" w:styleId="List3">
    <w:name w:val="List 3"/>
    <w:basedOn w:val="Normal"/>
    <w:uiPriority w:val="99"/>
    <w:unhideWhenUsed/>
    <w:rsid w:val="00326F90"/>
    <w:pPr>
      <w:ind w:left="1080" w:hanging="360"/>
      <w:contextualSpacing/>
    </w:pPr>
    <w:rPr>
      <w:rFonts w:ascii="Garamond" w:hAnsi="Garamond" w:eastAsia="Garamond"/>
      <w:sz w:val="24"/>
    </w:rPr>
  </w:style>
  <w:style w:type="paragraph" w:styleId="ListBullet">
    <w:name w:val="List Bullet"/>
    <w:basedOn w:val="Normal"/>
    <w:uiPriority w:val="99"/>
    <w:unhideWhenUsed/>
    <w:rsid w:val="00326F90"/>
    <w:pPr>
      <w:numPr>
        <w:numId w:val="1"/>
      </w:numPr>
      <w:contextualSpacing/>
    </w:pPr>
    <w:rPr>
      <w:rFonts w:ascii="Garamond" w:hAnsi="Garamond" w:eastAsia="Garamond"/>
      <w:sz w:val="24"/>
    </w:rPr>
  </w:style>
  <w:style w:type="paragraph" w:styleId="ListBullet2">
    <w:name w:val="List Bullet 2"/>
    <w:basedOn w:val="Normal"/>
    <w:uiPriority w:val="99"/>
    <w:unhideWhenUsed/>
    <w:rsid w:val="00326F90"/>
    <w:pPr>
      <w:numPr>
        <w:numId w:val="2"/>
      </w:numPr>
      <w:contextualSpacing/>
    </w:pPr>
    <w:rPr>
      <w:rFonts w:ascii="Garamond" w:hAnsi="Garamond" w:eastAsia="Garamond"/>
      <w:sz w:val="24"/>
    </w:rPr>
  </w:style>
  <w:style w:type="paragraph" w:styleId="ListBullet3">
    <w:name w:val="List Bullet 3"/>
    <w:basedOn w:val="Normal"/>
    <w:uiPriority w:val="99"/>
    <w:unhideWhenUsed/>
    <w:rsid w:val="00326F90"/>
    <w:pPr>
      <w:numPr>
        <w:numId w:val="3"/>
      </w:numPr>
      <w:contextualSpacing/>
    </w:pPr>
    <w:rPr>
      <w:rFonts w:ascii="Garamond" w:hAnsi="Garamond" w:eastAsia="Garamond"/>
      <w:sz w:val="24"/>
    </w:rPr>
  </w:style>
  <w:style w:type="paragraph" w:styleId="ListNumber">
    <w:name w:val="List Number"/>
    <w:basedOn w:val="Normal"/>
    <w:uiPriority w:val="99"/>
    <w:unhideWhenUsed/>
    <w:rsid w:val="00326F90"/>
    <w:pPr>
      <w:numPr>
        <w:numId w:val="5"/>
      </w:numPr>
      <w:contextualSpacing/>
    </w:pPr>
    <w:rPr>
      <w:rFonts w:ascii="Garamond" w:hAnsi="Garamond" w:eastAsia="Garamond"/>
      <w:sz w:val="24"/>
    </w:rPr>
  </w:style>
  <w:style w:type="paragraph" w:styleId="ListNumber2">
    <w:name w:val="List Number 2"/>
    <w:basedOn w:val="Normal"/>
    <w:uiPriority w:val="99"/>
    <w:unhideWhenUsed/>
    <w:rsid w:val="0029639D"/>
    <w:pPr>
      <w:numPr>
        <w:numId w:val="6"/>
      </w:numPr>
      <w:contextualSpacing/>
    </w:pPr>
    <w:rPr>
      <w:rFonts w:ascii="Garamond" w:hAnsi="Garamond" w:eastAsia="Garamond"/>
      <w:sz w:val="24"/>
    </w:rPr>
  </w:style>
  <w:style w:type="paragraph" w:styleId="ListNumber3">
    <w:name w:val="List Number 3"/>
    <w:basedOn w:val="Normal"/>
    <w:uiPriority w:val="99"/>
    <w:unhideWhenUsed/>
    <w:rsid w:val="0029639D"/>
    <w:pPr>
      <w:numPr>
        <w:numId w:val="7"/>
      </w:numPr>
      <w:contextualSpacing/>
    </w:pPr>
    <w:rPr>
      <w:rFonts w:ascii="Garamond" w:hAnsi="Garamond" w:eastAsia="Garamond"/>
      <w:sz w:val="24"/>
    </w:rPr>
  </w:style>
  <w:style w:type="paragraph" w:styleId="ListContinue">
    <w:name w:val="List Continue"/>
    <w:basedOn w:val="Normal"/>
    <w:uiPriority w:val="99"/>
    <w:unhideWhenUsed/>
    <w:rsid w:val="0029639D"/>
    <w:pPr>
      <w:spacing w:after="120"/>
      <w:ind w:left="360"/>
      <w:contextualSpacing/>
    </w:pPr>
    <w:rPr>
      <w:rFonts w:ascii="Garamond" w:hAnsi="Garamond" w:eastAsia="Garamond"/>
      <w:sz w:val="24"/>
    </w:rPr>
  </w:style>
  <w:style w:type="paragraph" w:styleId="ListContinue2">
    <w:name w:val="List Continue 2"/>
    <w:basedOn w:val="Normal"/>
    <w:uiPriority w:val="99"/>
    <w:unhideWhenUsed/>
    <w:rsid w:val="0029639D"/>
    <w:pPr>
      <w:spacing w:after="120"/>
      <w:ind w:left="720"/>
      <w:contextualSpacing/>
    </w:pPr>
    <w:rPr>
      <w:rFonts w:ascii="Garamond" w:hAnsi="Garamond" w:eastAsia="Garamond"/>
      <w:sz w:val="24"/>
    </w:rPr>
  </w:style>
  <w:style w:type="paragraph" w:styleId="ListContinue3">
    <w:name w:val="List Continue 3"/>
    <w:basedOn w:val="Normal"/>
    <w:uiPriority w:val="99"/>
    <w:unhideWhenUsed/>
    <w:rsid w:val="0029639D"/>
    <w:pPr>
      <w:spacing w:after="120"/>
      <w:ind w:left="1080"/>
      <w:contextualSpacing/>
    </w:pPr>
    <w:rPr>
      <w:rFonts w:ascii="Garamond" w:hAnsi="Garamond" w:eastAsia="Garamond"/>
      <w:sz w:val="24"/>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Garamond" w:hAnsi="Garamond" w:eastAsia="Garamond"/>
      <w:sz w:val="24"/>
      <w:szCs w:val="20"/>
    </w:rPr>
  </w:style>
  <w:style w:type="character" w:customStyle="1" w:styleId="MacroTextChar">
    <w:name w:val="Macro Text Char"/>
    <w:basedOn w:val="DefaultParagraphFont"/>
    <w:link w:val="MacroText"/>
    <w:uiPriority w:val="99"/>
    <w:rsid w:val="0029639D"/>
    <w:rPr>
      <w:rFonts w:ascii="Garamond" w:hAnsi="Garamond" w:eastAsia="Garamond"/>
      <w:sz w:val="24"/>
      <w:szCs w:val="20"/>
    </w:rPr>
  </w:style>
  <w:style w:type="paragraph" w:styleId="Quote">
    <w:name w:val="Quote"/>
    <w:basedOn w:val="Normal"/>
    <w:next w:val="Normal"/>
    <w:link w:val="QuoteChar"/>
    <w:uiPriority w:val="29"/>
    <w:qFormat/>
    <w:rsid w:val="00FC693F"/>
    <w:rPr>
      <w:rFonts w:ascii="Garamond" w:hAnsi="Garamond" w:eastAsia="Garamond"/>
      <w:i/>
      <w:iCs/>
      <w:color w:val="000000" w:themeColor="text1"/>
      <w:sz w:val="24"/>
    </w:rPr>
  </w:style>
  <w:style w:type="character" w:customStyle="1" w:styleId="QuoteChar">
    <w:name w:val="Quote Char"/>
    <w:basedOn w:val="DefaultParagraphFont"/>
    <w:link w:val="Quote"/>
    <w:uiPriority w:val="29"/>
    <w:rsid w:val="00FC693F"/>
    <w:rPr>
      <w:rFonts w:ascii="Garamond" w:hAnsi="Garamond" w:eastAsia="Garamond"/>
      <w:i/>
      <w:iCs/>
      <w:color w:val="000000" w:themeColor="text1"/>
      <w:sz w:val="24"/>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Garamond" w:hAnsi="Garamond" w:eastAsia="Garamond"/>
      <w:b/>
      <w:bCs/>
      <w:i/>
      <w:iCs/>
      <w:color w:val="4F81BD" w:themeColor="accent1"/>
      <w:sz w:val="24"/>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Garamond" w:hAnsi="Garamond" w:eastAsia="Garamond"/>
      <w:color w:val="243F60" w:themeColor="accent1" w:themeShade="7F"/>
      <w:sz w:val="24"/>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Garamond" w:hAnsi="Garamond" w:eastAsia="Garamond"/>
      <w:i/>
      <w:iCs/>
      <w:color w:val="243F60" w:themeColor="accent1" w:themeShade="7F"/>
      <w:sz w:val="24"/>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Garamond" w:hAnsi="Garamond" w:eastAsia="Garamond"/>
      <w:i/>
      <w:iCs/>
      <w:color w:val="404040" w:themeColor="text1" w:themeTint="BF"/>
      <w:sz w:val="24"/>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Garamond" w:hAnsi="Garamond" w:eastAsia="Garamond"/>
      <w:color w:val="4F81BD" w:themeColor="accent1"/>
      <w:sz w:val="24"/>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Garamond" w:hAnsi="Garamond" w:eastAsia="Garamond"/>
      <w:i/>
      <w:iCs/>
      <w:color w:val="404040" w:themeColor="text1" w:themeTint="BF"/>
      <w:sz w:val="24"/>
      <w:szCs w:val="20"/>
    </w:rPr>
  </w:style>
  <w:style w:type="paragraph" w:styleId="Caption">
    <w:name w:val="caption"/>
    <w:basedOn w:val="Normal"/>
    <w:next w:val="Normal"/>
    <w:uiPriority w:val="35"/>
    <w:semiHidden/>
    <w:unhideWhenUsed/>
    <w:qFormat/>
    <w:rsid w:val="00FC693F"/>
    <w:pPr>
      <w:spacing w:line="240" w:lineRule="auto"/>
    </w:pPr>
    <w:rPr>
      <w:rFonts w:ascii="Garamond" w:hAnsi="Garamond" w:eastAsia="Garamond"/>
      <w:b/>
      <w:bCs/>
      <w:color w:val="4F81BD" w:themeColor="accent1"/>
      <w:sz w:val="24"/>
      <w:szCs w:val="18"/>
    </w:rPr>
  </w:style>
  <w:style w:type="character" w:styleId="Strong">
    <w:name w:val="Strong"/>
    <w:basedOn w:val="DefaultParagraphFont"/>
    <w:uiPriority w:val="22"/>
    <w:qFormat/>
    <w:rsid w:val="00FC693F"/>
    <w:rPr>
      <w:rFonts w:ascii="Garamond" w:hAnsi="Garamond" w:eastAsia="Garamond"/>
      <w:b/>
      <w:bCs/>
      <w:sz w:val="24"/>
    </w:rPr>
  </w:style>
  <w:style w:type="character" w:styleId="Emphasis">
    <w:name w:val="Emphasis"/>
    <w:basedOn w:val="DefaultParagraphFont"/>
    <w:uiPriority w:val="20"/>
    <w:qFormat/>
    <w:rsid w:val="00FC693F"/>
    <w:rPr>
      <w:rFonts w:ascii="Garamond" w:hAnsi="Garamond" w:eastAsia="Garamond"/>
      <w:i/>
      <w:iCs/>
      <w:sz w:val="24"/>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Garamond" w:hAnsi="Garamond" w:eastAsia="Garamond"/>
      <w:b/>
      <w:bCs/>
      <w:i/>
      <w:iCs/>
      <w:color w:val="4F81BD" w:themeColor="accent1"/>
      <w:sz w:val="24"/>
    </w:rPr>
  </w:style>
  <w:style w:type="character" w:customStyle="1" w:styleId="IntenseQuoteChar">
    <w:name w:val="Intense Quote Char"/>
    <w:basedOn w:val="DefaultParagraphFont"/>
    <w:link w:val="IntenseQuote"/>
    <w:uiPriority w:val="30"/>
    <w:rsid w:val="00FC693F"/>
    <w:rPr>
      <w:rFonts w:ascii="Garamond" w:hAnsi="Garamond" w:eastAsia="Garamond"/>
      <w:b/>
      <w:bCs/>
      <w:i/>
      <w:iCs/>
      <w:color w:val="4F81BD" w:themeColor="accent1"/>
      <w:sz w:val="24"/>
    </w:rPr>
  </w:style>
  <w:style w:type="character" w:styleId="SubtleEmphasis">
    <w:name w:val="Subtle Emphasis"/>
    <w:basedOn w:val="DefaultParagraphFont"/>
    <w:uiPriority w:val="19"/>
    <w:qFormat/>
    <w:rsid w:val="00FC693F"/>
    <w:rPr>
      <w:rFonts w:ascii="Garamond" w:hAnsi="Garamond" w:eastAsia="Garamond"/>
      <w:i/>
      <w:iCs/>
      <w:color w:val="808080" w:themeColor="text1" w:themeTint="7F"/>
      <w:sz w:val="24"/>
    </w:rPr>
  </w:style>
  <w:style w:type="character" w:styleId="IntenseEmphasis">
    <w:name w:val="Intense Emphasis"/>
    <w:basedOn w:val="DefaultParagraphFont"/>
    <w:uiPriority w:val="21"/>
    <w:qFormat/>
    <w:rsid w:val="00FC693F"/>
    <w:rPr>
      <w:rFonts w:ascii="Garamond" w:hAnsi="Garamond" w:eastAsia="Garamond"/>
      <w:b/>
      <w:bCs/>
      <w:i/>
      <w:iCs/>
      <w:color w:val="4F81BD" w:themeColor="accent1"/>
      <w:sz w:val="24"/>
    </w:rPr>
  </w:style>
  <w:style w:type="character" w:styleId="SubtleReference">
    <w:name w:val="Subtle Reference"/>
    <w:basedOn w:val="DefaultParagraphFont"/>
    <w:uiPriority w:val="31"/>
    <w:qFormat/>
    <w:rsid w:val="00FC693F"/>
    <w:rPr>
      <w:rFonts w:ascii="Garamond" w:hAnsi="Garamond" w:eastAsia="Garamond"/>
      <w:smallCaps/>
      <w:color w:val="C0504D" w:themeColor="accent2"/>
      <w:sz w:val="24"/>
      <w:u w:val="single"/>
    </w:rPr>
  </w:style>
  <w:style w:type="character" w:styleId="IntenseReference">
    <w:name w:val="Intense Reference"/>
    <w:basedOn w:val="DefaultParagraphFont"/>
    <w:uiPriority w:val="32"/>
    <w:qFormat/>
    <w:rsid w:val="00FC693F"/>
    <w:rPr>
      <w:rFonts w:ascii="Garamond" w:hAnsi="Garamond" w:eastAsia="Garamond"/>
      <w:b/>
      <w:bCs/>
      <w:smallCaps/>
      <w:color w:val="C0504D" w:themeColor="accent2"/>
      <w:spacing w:val="5"/>
      <w:sz w:val="24"/>
      <w:u w:val="single"/>
    </w:rPr>
  </w:style>
  <w:style w:type="character" w:styleId="BookTitle">
    <w:name w:val="Book Title"/>
    <w:basedOn w:val="DefaultParagraphFont"/>
    <w:uiPriority w:val="33"/>
    <w:qFormat/>
    <w:rsid w:val="00FC693F"/>
    <w:rPr>
      <w:rFonts w:ascii="Garamond" w:hAnsi="Garamond" w:eastAsia="Garamond"/>
      <w:b/>
      <w:bCs/>
      <w:smallCaps/>
      <w:spacing w:val="5"/>
      <w:sz w:val="24"/>
    </w:rPr>
  </w:style>
  <w:style w:type="paragraph" w:styleId="TOCHeading">
    <w:name w:val="TOC Heading"/>
    <w:basedOn w:val="Heading1"/>
    <w:next w:val="Normal"/>
    <w:uiPriority w:val="39"/>
    <w:semiHidden/>
    <w:unhideWhenUsed/>
    <w:qFormat/>
    <w:rsid w:val="00FC693F"/>
    <w:pPr>
      <w:outlineLvl w:val="9"/>
    </w:pPr>
    <w:rPr>
      <w:rFonts w:ascii="Garamond" w:hAnsi="Garamond" w:eastAsia="Garamond"/>
      <w:sz w:val="24"/>
    </w:rPr>
  </w:style>
  <w:style w:type="table" w:styleId="TableGrid">
    <w:name w:val="Table Grid"/>
    <w:basedOn w:val="TableNormal"/>
    <w:uiPriority w:val="59"/>
    <w:rsid w:val="00FC693F"/>
    <w:pPr>
      <w:spacing w:after="0" w:line="240" w:lineRule="auto"/>
    </w:pPr>
    <w:rPr>
      <w:rFonts w:ascii="Garamond" w:hAnsi="Garamond" w:eastAsia="Garamond"/>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Garamond" w:hAnsi="Garamond" w:eastAsia="Garamond"/>
      <w:color w:val="000000" w:themeColor="text1" w:themeShade="BF"/>
      <w:sz w:val="24"/>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Garamond" w:hAnsi="Garamond" w:eastAsia="Garamond"/>
      <w:color w:val="365F91" w:themeColor="accent1" w:themeShade="BF"/>
      <w:sz w:val="24"/>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Garamond" w:hAnsi="Garamond" w:eastAsia="Garamond"/>
      <w:color w:val="943634" w:themeColor="accent2" w:themeShade="BF"/>
      <w:sz w:val="2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Garamond" w:hAnsi="Garamond" w:eastAsia="Garamond"/>
      <w:color w:val="76923C" w:themeColor="accent3" w:themeShade="BF"/>
      <w:sz w:val="24"/>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Garamond" w:hAnsi="Garamond" w:eastAsia="Garamond"/>
      <w:color w:val="5F497A" w:themeColor="accent4" w:themeShade="BF"/>
      <w:sz w:val="24"/>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Garamond" w:hAnsi="Garamond" w:eastAsia="Garamond"/>
      <w:color w:val="31849B" w:themeColor="accent5" w:themeShade="BF"/>
      <w:sz w:val="24"/>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Garamond" w:hAnsi="Garamond" w:eastAsia="Garamond"/>
      <w:color w:val="E36C0A" w:themeColor="accent6" w:themeShade="BF"/>
      <w:sz w:val="24"/>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Garamond" w:hAnsi="Garamond" w:eastAsia="Garamond"/>
      <w:sz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Garamond" w:hAnsi="Garamond" w:eastAsia="Garamond"/>
      <w:sz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Garamond" w:hAnsi="Garamond" w:eastAsia="Garamond"/>
      <w:sz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Garamond" w:hAnsi="Garamond" w:eastAsia="Garamond"/>
      <w:sz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Garamond" w:hAnsi="Garamond" w:eastAsia="Garamond"/>
      <w:sz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Garamond" w:hAnsi="Garamond" w:eastAsia="Garamond"/>
      <w:sz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Garamond" w:hAnsi="Garamond" w:eastAsia="Garamond"/>
      <w:sz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Garamond" w:hAnsi="Garamond" w:eastAsia="Garamond"/>
      <w:sz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Garamond" w:hAnsi="Garamond" w:eastAsia="Garamond"/>
      <w:sz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Garamond" w:hAnsi="Garamond" w:eastAsia="Garamond"/>
      <w:sz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Garamond" w:hAnsi="Garamond" w:eastAsia="Garamond"/>
      <w:sz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Garamond" w:hAnsi="Garamond" w:eastAsia="Garamond"/>
      <w:sz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Garamond" w:hAnsi="Garamond" w:eastAsia="Garamond"/>
      <w:sz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Garamond" w:hAnsi="Garamond" w:eastAsia="Garamond"/>
      <w:sz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Garamond" w:hAnsi="Garamond" w:eastAsia="Garamond"/>
      <w:sz w:val="24"/>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Garamond" w:hAnsi="Garamond" w:eastAsia="Garamond"/>
      <w:sz w:val="24"/>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Garamond" w:hAnsi="Garamond" w:eastAsia="Garamond"/>
      <w:sz w:val="24"/>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Garamond" w:hAnsi="Garamond" w:eastAsia="Garamond"/>
      <w:sz w:val="24"/>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Garamond" w:hAnsi="Garamond" w:eastAsia="Garamond"/>
      <w:sz w:val="24"/>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Garamond" w:hAnsi="Garamond" w:eastAsia="Garamond"/>
      <w:sz w:val="24"/>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Garamond" w:hAnsi="Garamond" w:eastAsia="Garamond"/>
      <w:sz w:val="24"/>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Garamond" w:hAnsi="Garamond" w:eastAsia="Garamond"/>
      <w:sz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Garamond" w:hAnsi="Garamond" w:eastAsia="Garamond"/>
      <w:sz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Garamond" w:hAnsi="Garamond" w:eastAsia="Garamond"/>
      <w:sz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Garamond" w:hAnsi="Garamond" w:eastAsia="Garamond"/>
      <w:sz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Garamond" w:hAnsi="Garamond" w:eastAsia="Garamond"/>
      <w:sz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Garamond" w:hAnsi="Garamond" w:eastAsia="Garamond"/>
      <w:sz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Garamond" w:hAnsi="Garamond" w:eastAsia="Garamond"/>
      <w:sz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Garamond" w:hAnsi="Garamond" w:eastAsia="Garamond"/>
      <w:color w:val="000000" w:themeColor="text1"/>
      <w:sz w:val="24"/>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Garamond" w:hAnsi="Garamond" w:eastAsia="Garamond"/>
      <w:color w:val="000000" w:themeColor="text1"/>
      <w:sz w:val="24"/>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Garamond" w:hAnsi="Garamond" w:eastAsia="Garamond"/>
      <w:color w:val="000000" w:themeColor="text1"/>
      <w:sz w:val="2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Garamond" w:hAnsi="Garamond" w:eastAsia="Garamond"/>
      <w:color w:val="000000" w:themeColor="text1"/>
      <w:sz w:val="24"/>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Garamond" w:hAnsi="Garamond" w:eastAsia="Garamond"/>
      <w:color w:val="000000" w:themeColor="text1"/>
      <w:sz w:val="24"/>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Garamond" w:hAnsi="Garamond" w:eastAsia="Garamond"/>
      <w:color w:val="000000" w:themeColor="text1"/>
      <w:sz w:val="24"/>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Garamond" w:hAnsi="Garamond" w:eastAsia="Garamond"/>
      <w:color w:val="000000" w:themeColor="text1"/>
      <w:sz w:val="24"/>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Garamond" w:hAnsi="Garamond" w:eastAsia="Garamond"/>
      <w:color w:val="000000" w:themeColor="text1"/>
      <w:sz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Garamond" w:hAnsi="Garamond" w:eastAsia="Garamond"/>
      <w:color w:val="000000" w:themeColor="text1"/>
      <w:sz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Garamond" w:hAnsi="Garamond" w:eastAsia="Garamond"/>
      <w:color w:val="000000" w:themeColor="text1"/>
      <w:sz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Garamond" w:hAnsi="Garamond" w:eastAsia="Garamond"/>
      <w:color w:val="000000" w:themeColor="text1"/>
      <w:sz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Garamond" w:hAnsi="Garamond" w:eastAsia="Garamond"/>
      <w:color w:val="000000" w:themeColor="text1"/>
      <w:sz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Garamond" w:hAnsi="Garamond" w:eastAsia="Garamond"/>
      <w:color w:val="000000" w:themeColor="text1"/>
      <w:sz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Garamond" w:hAnsi="Garamond" w:eastAsia="Garamond"/>
      <w:color w:val="000000" w:themeColor="text1"/>
      <w:sz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Garamond" w:hAnsi="Garamond" w:eastAsia="Garamond"/>
      <w:sz w:val="24"/>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Garamond" w:hAnsi="Garamond" w:eastAsia="Garamond"/>
      <w:sz w:val="24"/>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Garamond" w:hAnsi="Garamond" w:eastAsia="Garamond"/>
      <w:sz w:val="24"/>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Garamond" w:hAnsi="Garamond" w:eastAsia="Garamond"/>
      <w:sz w:val="24"/>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Garamond" w:hAnsi="Garamond" w:eastAsia="Garamond"/>
      <w:sz w:val="24"/>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Garamond" w:hAnsi="Garamond" w:eastAsia="Garamond"/>
      <w:sz w:val="24"/>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Garamond" w:hAnsi="Garamond" w:eastAsia="Garamond"/>
      <w:sz w:val="24"/>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Garamond" w:hAnsi="Garamond" w:eastAsia="Garamond"/>
      <w:color w:val="000000" w:themeColor="text1"/>
      <w:sz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Garamond" w:hAnsi="Garamond" w:eastAsia="Garamond"/>
      <w:color w:val="000000" w:themeColor="text1"/>
      <w:sz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Garamond" w:hAnsi="Garamond" w:eastAsia="Garamond"/>
      <w:color w:val="000000" w:themeColor="text1"/>
      <w:sz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Garamond" w:hAnsi="Garamond" w:eastAsia="Garamond"/>
      <w:color w:val="000000" w:themeColor="text1"/>
      <w:sz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Garamond" w:hAnsi="Garamond" w:eastAsia="Garamond"/>
      <w:color w:val="000000" w:themeColor="text1"/>
      <w:sz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Garamond" w:hAnsi="Garamond" w:eastAsia="Garamond"/>
      <w:color w:val="000000" w:themeColor="text1"/>
      <w:sz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Garamond" w:hAnsi="Garamond" w:eastAsia="Garamond"/>
      <w:color w:val="000000" w:themeColor="text1"/>
      <w:sz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Garamond" w:hAnsi="Garamond" w:eastAsia="Garamond"/>
      <w:sz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Garamond" w:hAnsi="Garamond" w:eastAsia="Garamond"/>
      <w:sz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Garamond" w:hAnsi="Garamond" w:eastAsia="Garamond"/>
      <w:sz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Garamond" w:hAnsi="Garamond" w:eastAsia="Garamond"/>
      <w:sz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Garamond" w:hAnsi="Garamond" w:eastAsia="Garamond"/>
      <w:sz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Garamond" w:hAnsi="Garamond" w:eastAsia="Garamond"/>
      <w:sz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Garamond" w:hAnsi="Garamond" w:eastAsia="Garamond"/>
      <w:sz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Garamond" w:hAnsi="Garamond" w:eastAsia="Garamond"/>
      <w:color w:val="FFFFFF" w:themeColor="background1"/>
      <w:sz w:val="24"/>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Garamond" w:hAnsi="Garamond" w:eastAsia="Garamond"/>
      <w:color w:val="FFFFFF" w:themeColor="background1"/>
      <w:sz w:val="24"/>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Garamond" w:hAnsi="Garamond" w:eastAsia="Garamond"/>
      <w:color w:val="FFFFFF" w:themeColor="background1"/>
      <w:sz w:val="24"/>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Garamond" w:hAnsi="Garamond" w:eastAsia="Garamond"/>
      <w:color w:val="FFFFFF" w:themeColor="background1"/>
      <w:sz w:val="24"/>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Garamond" w:hAnsi="Garamond" w:eastAsia="Garamond"/>
      <w:color w:val="FFFFFF" w:themeColor="background1"/>
      <w:sz w:val="24"/>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Garamond" w:hAnsi="Garamond" w:eastAsia="Garamond"/>
      <w:color w:val="FFFFFF" w:themeColor="background1"/>
      <w:sz w:val="24"/>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Garamond" w:hAnsi="Garamond" w:eastAsia="Garamond"/>
      <w:color w:val="FFFFFF" w:themeColor="background1"/>
      <w:sz w:val="24"/>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Garamond" w:hAnsi="Garamond" w:eastAsia="Garamond"/>
      <w:color w:val="000000" w:themeColor="text1"/>
      <w:sz w:val="24"/>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Garamond" w:hAnsi="Garamond" w:eastAsia="Garamond"/>
      <w:color w:val="000000" w:themeColor="text1"/>
      <w:sz w:val="24"/>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Garamond" w:hAnsi="Garamond" w:eastAsia="Garamond"/>
      <w:color w:val="000000" w:themeColor="text1"/>
      <w:sz w:val="24"/>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Garamond" w:hAnsi="Garamond" w:eastAsia="Garamond"/>
      <w:color w:val="000000" w:themeColor="text1"/>
      <w:sz w:val="24"/>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Garamond" w:hAnsi="Garamond" w:eastAsia="Garamond"/>
      <w:color w:val="000000" w:themeColor="text1"/>
      <w:sz w:val="24"/>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Garamond" w:hAnsi="Garamond" w:eastAsia="Garamond"/>
      <w:color w:val="000000" w:themeColor="text1"/>
      <w:sz w:val="24"/>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Garamond" w:hAnsi="Garamond" w:eastAsia="Garamond"/>
      <w:color w:val="000000" w:themeColor="text1"/>
      <w:sz w:val="24"/>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Garamond" w:hAnsi="Garamond" w:eastAsia="Garamond"/>
      <w:color w:val="000000" w:themeColor="text1"/>
      <w:sz w:val="24"/>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Garamond" w:hAnsi="Garamond" w:eastAsia="Garamond"/>
      <w:color w:val="000000" w:themeColor="text1"/>
      <w:sz w:val="24"/>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Garamond" w:hAnsi="Garamond" w:eastAsia="Garamond"/>
      <w:color w:val="000000" w:themeColor="text1"/>
      <w:sz w:val="24"/>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Garamond" w:hAnsi="Garamond" w:eastAsia="Garamond"/>
      <w:color w:val="000000" w:themeColor="text1"/>
      <w:sz w:val="24"/>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Garamond" w:hAnsi="Garamond" w:eastAsia="Garamond"/>
      <w:color w:val="000000" w:themeColor="text1"/>
      <w:sz w:val="24"/>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Garamond" w:hAnsi="Garamond" w:eastAsia="Garamond"/>
      <w:color w:val="000000" w:themeColor="text1"/>
      <w:sz w:val="24"/>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Garamond" w:hAnsi="Garamond" w:eastAsia="Garamond"/>
      <w:color w:val="000000" w:themeColor="text1"/>
      <w:sz w:val="24"/>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Garamond" w:hAnsi="Garamond" w:eastAsia="Garamond"/>
      <w:color w:val="000000" w:themeColor="text1"/>
      <w:sz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Garamond" w:hAnsi="Garamond" w:eastAsia="Garamond"/>
      <w:color w:val="000000" w:themeColor="text1"/>
      <w:sz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Garamond" w:hAnsi="Garamond" w:eastAsia="Garamond"/>
      <w:color w:val="000000" w:themeColor="text1"/>
      <w:sz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Garamond" w:hAnsi="Garamond" w:eastAsia="Garamond"/>
      <w:color w:val="000000" w:themeColor="text1"/>
      <w:sz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Garamond" w:hAnsi="Garamond" w:eastAsia="Garamond"/>
      <w:color w:val="000000" w:themeColor="text1"/>
      <w:sz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Garamond" w:hAnsi="Garamond" w:eastAsia="Garamond"/>
      <w:color w:val="000000" w:themeColor="text1"/>
      <w:sz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Garamond" w:hAnsi="Garamond" w:eastAsia="Garamond"/>
      <w:color w:val="000000" w:themeColor="text1"/>
      <w:sz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RAILead">
    <w:name w:val="SRAI Lead"/>
    <w:pPr>
      <w:spacing w:after="180"/>
      <w:ind w:left="403" w:right="403"/>
    </w:pPr>
    <w:rPr>
      <w:rFonts w:ascii="Garamond" w:hAnsi="Garamond" w:eastAsia="Garamond"/>
      <w:i/>
      <w:color w:val="14253D"/>
      <w:sz w:val="24"/>
    </w:rPr>
  </w:style>
  <w:style w:type="paragraph" w:customStyle="1" w:styleId="SRAIEquation">
    <w:name w:val="SRAI Equation"/>
    <w:pPr>
      <w:spacing w:before="100" w:after="140"/>
      <w:jc w:val="center"/>
    </w:pPr>
    <w:rPr>
      <w:rFonts w:ascii="Garamond" w:hAnsi="Garamond" w:eastAsia="Garamond"/>
      <w:color w:val="14253D"/>
      <w:sz w:val="24"/>
    </w:rPr>
  </w:style>
  <w:style w:type="paragraph" w:customStyle="1" w:styleId="SRAICaption">
    <w:name w:val="SRAI Caption"/>
    <w:pPr>
      <w:jc w:val="center"/>
    </w:pPr>
    <w:rPr>
      <w:rFonts w:ascii="Garamond" w:hAnsi="Garamond" w:eastAsia="Garamond"/>
      <w:i/>
      <w:color w:val="5B6573"/>
      <w:sz w:val="24"/>
    </w:rPr>
  </w:style>
  <w:style w:type="paragraph" w:customStyle="1" w:styleId="SRAISmall">
    <w:name w:val="SRAI Small"/>
    <w:rPr>
      <w:rFonts w:ascii="Garamond" w:hAnsi="Garamond" w:eastAsia="Garamond"/>
      <w:color w:val="5B6573"/>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SRAI Book 3 Chapter 1 Neural Network Foundations</dc:title>
  <dc:subject>University-level controlled lesson for PU-B03-C01</dc:subject>
  <dc:creator>Mbaye Kebe</dc:creator>
  <cp:keywords>SRAI, deep learning, neural networks, evidence, reproducibility, PU-B03-C01</cp:keywords>
  <dc:description>generated by python-docx</dc:description>
  <cp:lastModifiedBy/>
  <cp:revision>1</cp:revision>
  <dcterms:created xsi:type="dcterms:W3CDTF">2013-12-23T23:15:00Z</dcterms:created>
  <dcterms:modified xsi:type="dcterms:W3CDTF">2013-12-23T23:15:00Z</dcterms:modified>
  <cp:category/>
</cp:coreProperties>
</file>