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aramond" w:hAnsi="Garamond"/>
          <w:sz w:val="24"/>
        </w:rPr>
        <w:t>MLOps Foundations Executive Brief</w:t>
      </w:r>
    </w:p>
    <w:p>
      <w:pPr>
        <w:pStyle w:val="Subtitle"/>
        <w:jc w:val="center"/>
      </w:pPr>
      <w:r>
        <w:rPr>
          <w:rFonts w:ascii="Garamond" w:hAnsi="Garamond"/>
          <w:sz w:val="24"/>
        </w:rPr>
        <w:t>SRAI Book 5 Lesson 1 | PU-B05-C01 | Executive Brief v0.1</w:t>
      </w:r>
    </w:p>
    <w:p>
      <w:pPr>
        <w:pStyle w:val="Subtitle"/>
        <w:jc w:val="center"/>
      </w:pPr>
      <w:r>
        <w:rPr>
          <w:rFonts w:ascii="Garamond" w:hAnsi="Garamond"/>
          <w:sz w:val="24"/>
        </w:rPr>
        <w:t>Mbaye Kebe</w:t>
      </w:r>
    </w:p>
    <w:p>
      <w:pPr>
        <w:pStyle w:val="Heading1"/>
      </w:pPr>
      <w:r>
        <w:rPr>
          <w:rFonts w:ascii="Garamond" w:hAnsi="Garamond"/>
          <w:sz w:val="24"/>
        </w:rPr>
        <w:t>Decision</w:t>
      </w:r>
    </w:p>
    <w:p>
      <w:r>
        <w:rPr>
          <w:rFonts w:ascii="Garamond" w:hAnsi="Garamond"/>
          <w:sz w:val="24"/>
        </w:rPr>
        <w:t>Treat MLOps as the operating and governance system for machine learning, not as deployment automation. Require an evidence chain from accepted data through retirement. Keep consequential release blocked until a named authority approves the declared use.</w:t>
      </w:r>
    </w:p>
    <w:p>
      <w:pPr>
        <w:pStyle w:val="Heading1"/>
      </w:pPr>
      <w:r>
        <w:rPr>
          <w:rFonts w:ascii="Garamond" w:hAnsi="Garamond"/>
          <w:sz w:val="24"/>
        </w:rPr>
        <w:t>Why this matters</w:t>
      </w:r>
    </w:p>
    <w:p>
      <w:r>
        <w:rPr>
          <w:rFonts w:ascii="Garamond" w:hAnsi="Garamond"/>
          <w:sz w:val="24"/>
        </w:rPr>
        <w:t>A model can perform well in development and still fail through changed data, inconsistent transformations, fragile infrastructure, silent degradation or unauthorized use. Public institutions must preserve records that remain understandable after staff, vendors and platforms change.</w:t>
      </w:r>
    </w:p>
    <w:p>
      <w:pPr>
        <w:pStyle w:val="Heading1"/>
      </w:pPr>
      <w:r>
        <w:rPr>
          <w:rFonts w:ascii="Garamond" w:hAnsi="Garamond"/>
          <w:sz w:val="24"/>
        </w:rPr>
        <w:t>Minimum operating controls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rFonts w:ascii="Garamond" w:hAnsi="Garamond"/>
                <w:b/>
                <w:color w:val="FFFFFF"/>
                <w:sz w:val="24"/>
              </w:rPr>
              <w:t>Control</w:t>
            </w:r>
          </w:p>
        </w:tc>
        <w:tc>
          <w:tcPr>
            <w:tcW w:type="dxa" w:w="4896"/>
            <w:shd w:fill="17365D"/>
          </w:tcPr>
          <w:p>
            <w:r>
              <w:rPr>
                <w:rFonts w:ascii="Garamond" w:hAnsi="Garamond"/>
                <w:b/>
                <w:color w:val="FFFFFF"/>
                <w:sz w:val="24"/>
              </w:rPr>
              <w:t>Executive question</w:t>
            </w:r>
          </w:p>
        </w:tc>
      </w:tr>
      <w:tr>
        <w:tc>
          <w:tcPr>
            <w:tcW w:type="dxa" w:w="4896"/>
            <w:vAlign w:val="center"/>
          </w:tcPr>
          <w:p>
            <w:r>
              <w:rPr>
                <w:rFonts w:ascii="Garamond" w:hAnsi="Garamond"/>
                <w:sz w:val="24"/>
              </w:rPr>
              <w:t>Purpose</w:t>
            </w:r>
          </w:p>
        </w:tc>
        <w:tc>
          <w:tcPr>
            <w:tcW w:type="dxa" w:w="4896"/>
            <w:vAlign w:val="center"/>
          </w:tcPr>
          <w:p>
            <w:r>
              <w:rPr>
                <w:rFonts w:ascii="Garamond" w:hAnsi="Garamond"/>
                <w:sz w:val="24"/>
              </w:rPr>
              <w:t>What decision may this system support, and what uses are prohibited?</w:t>
            </w:r>
          </w:p>
        </w:tc>
      </w:tr>
      <w:tr>
        <w:tc>
          <w:tcPr>
            <w:tcW w:type="dxa" w:w="4896"/>
            <w:vAlign w:val="center"/>
            <w:shd w:fill="EAF0F6"/>
          </w:tcPr>
          <w:p>
            <w:r>
              <w:rPr>
                <w:rFonts w:ascii="Garamond" w:hAnsi="Garamond"/>
                <w:sz w:val="24"/>
              </w:rPr>
              <w:t>Evidence</w:t>
            </w:r>
          </w:p>
        </w:tc>
        <w:tc>
          <w:tcPr>
            <w:tcW w:type="dxa" w:w="4896"/>
            <w:vAlign w:val="center"/>
            <w:shd w:fill="EAF0F6"/>
          </w:tcPr>
          <w:p>
            <w:r>
              <w:rPr>
                <w:rFonts w:ascii="Garamond" w:hAnsi="Garamond"/>
                <w:sz w:val="24"/>
              </w:rPr>
              <w:t>Can an independent reviewer reconstruct the candidate and evaluation?</w:t>
            </w:r>
          </w:p>
        </w:tc>
      </w:tr>
      <w:tr>
        <w:tc>
          <w:tcPr>
            <w:tcW w:type="dxa" w:w="4896"/>
            <w:vAlign w:val="center"/>
          </w:tcPr>
          <w:p>
            <w:r>
              <w:rPr>
                <w:rFonts w:ascii="Garamond" w:hAnsi="Garamond"/>
                <w:sz w:val="24"/>
              </w:rPr>
              <w:t>Accountability</w:t>
            </w:r>
          </w:p>
        </w:tc>
        <w:tc>
          <w:tcPr>
            <w:tcW w:type="dxa" w:w="4896"/>
            <w:vAlign w:val="center"/>
          </w:tcPr>
          <w:p>
            <w:r>
              <w:rPr>
                <w:rFonts w:ascii="Garamond" w:hAnsi="Garamond"/>
                <w:sz w:val="24"/>
              </w:rPr>
              <w:t>Who owns data, evaluation, operation, risk and approval?</w:t>
            </w:r>
          </w:p>
        </w:tc>
      </w:tr>
      <w:tr>
        <w:tc>
          <w:tcPr>
            <w:tcW w:type="dxa" w:w="4896"/>
            <w:vAlign w:val="center"/>
            <w:shd w:fill="EAF0F6"/>
          </w:tcPr>
          <w:p>
            <w:r>
              <w:rPr>
                <w:rFonts w:ascii="Garamond" w:hAnsi="Garamond"/>
                <w:sz w:val="24"/>
              </w:rPr>
              <w:t>Release</w:t>
            </w:r>
          </w:p>
        </w:tc>
        <w:tc>
          <w:tcPr>
            <w:tcW w:type="dxa" w:w="4896"/>
            <w:vAlign w:val="center"/>
            <w:shd w:fill="EAF0F6"/>
          </w:tcPr>
          <w:p>
            <w:r>
              <w:rPr>
                <w:rFonts w:ascii="Garamond" w:hAnsi="Garamond"/>
                <w:sz w:val="24"/>
              </w:rPr>
              <w:t>Which mandatory conditions block promotion?</w:t>
            </w:r>
          </w:p>
        </w:tc>
      </w:tr>
      <w:tr>
        <w:tc>
          <w:tcPr>
            <w:tcW w:type="dxa" w:w="4896"/>
            <w:vAlign w:val="center"/>
          </w:tcPr>
          <w:p>
            <w:r>
              <w:rPr>
                <w:rFonts w:ascii="Garamond" w:hAnsi="Garamond"/>
                <w:sz w:val="24"/>
              </w:rPr>
              <w:t>Monitoring</w:t>
            </w:r>
          </w:p>
        </w:tc>
        <w:tc>
          <w:tcPr>
            <w:tcW w:type="dxa" w:w="4896"/>
            <w:vAlign w:val="center"/>
          </w:tcPr>
          <w:p>
            <w:r>
              <w:rPr>
                <w:rFonts w:ascii="Garamond" w:hAnsi="Garamond"/>
                <w:sz w:val="24"/>
              </w:rPr>
              <w:t>Who receives alerts and what action follows?</w:t>
            </w:r>
          </w:p>
        </w:tc>
      </w:tr>
      <w:tr>
        <w:tc>
          <w:tcPr>
            <w:tcW w:type="dxa" w:w="4896"/>
            <w:vAlign w:val="center"/>
            <w:shd w:fill="EAF0F6"/>
          </w:tcPr>
          <w:p>
            <w:r>
              <w:rPr>
                <w:rFonts w:ascii="Garamond" w:hAnsi="Garamond"/>
                <w:sz w:val="24"/>
              </w:rPr>
              <w:t>Recovery</w:t>
            </w:r>
          </w:p>
        </w:tc>
        <w:tc>
          <w:tcPr>
            <w:tcW w:type="dxa" w:w="4896"/>
            <w:vAlign w:val="center"/>
            <w:shd w:fill="EAF0F6"/>
          </w:tcPr>
          <w:p>
            <w:r>
              <w:rPr>
                <w:rFonts w:ascii="Garamond" w:hAnsi="Garamond"/>
                <w:sz w:val="24"/>
              </w:rPr>
              <w:t>Can the complete known-good service be restored?</w:t>
            </w:r>
          </w:p>
        </w:tc>
      </w:tr>
      <w:tr>
        <w:tc>
          <w:tcPr>
            <w:tcW w:type="dxa" w:w="4896"/>
            <w:vAlign w:val="center"/>
          </w:tcPr>
          <w:p>
            <w:r>
              <w:rPr>
                <w:rFonts w:ascii="Garamond" w:hAnsi="Garamond"/>
                <w:sz w:val="24"/>
              </w:rPr>
              <w:t>Retirement</w:t>
            </w:r>
          </w:p>
        </w:tc>
        <w:tc>
          <w:tcPr>
            <w:tcW w:type="dxa" w:w="4896"/>
            <w:vAlign w:val="center"/>
          </w:tcPr>
          <w:p>
            <w:r>
              <w:rPr>
                <w:rFonts w:ascii="Garamond" w:hAnsi="Garamond"/>
                <w:sz w:val="24"/>
              </w:rPr>
              <w:t>How will traffic, credentials and downstream dependencies be closed?</w:t>
            </w:r>
          </w:p>
        </w:tc>
      </w:tr>
    </w:tbl>
    <w:p>
      <w:r>
        <w:rPr>
          <w:rFonts w:ascii="Garamond" w:hAnsi="Garamond"/>
          <w:sz w:val="24"/>
        </w:rPr>
        <w:br w:type="page"/>
      </w:r>
    </w:p>
    <w:p>
      <w:pPr>
        <w:pStyle w:val="Heading1"/>
      </w:pPr>
      <w:r>
        <w:rPr>
          <w:rFonts w:ascii="Garamond" w:hAnsi="Garamond"/>
          <w:sz w:val="24"/>
        </w:rPr>
        <w:t>Cross-sector implications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Sector</w:t>
            </w:r>
          </w:p>
        </w:tc>
        <w:tc>
          <w:tcPr>
            <w:tcW w:type="dxa" w:w="3264"/>
            <w:shd w:fill="17365D"/>
          </w:tcPr>
          <w:p>
            <w:r>
              <w:rPr>
                <w:rFonts w:ascii="Garamond" w:hAnsi="Garamond"/>
                <w:b/>
                <w:color w:val="FFFFFF"/>
                <w:sz w:val="24"/>
              </w:rPr>
              <w:t>Primary concern</w:t>
            </w:r>
          </w:p>
        </w:tc>
        <w:tc>
          <w:tcPr>
            <w:tcW w:type="dxa" w:w="3264"/>
            <w:shd w:fill="17365D"/>
          </w:tcPr>
          <w:p>
            <w:r>
              <w:rPr>
                <w:rFonts w:ascii="Garamond" w:hAnsi="Garamond"/>
                <w:b/>
                <w:color w:val="FFFFFF"/>
                <w:sz w:val="24"/>
              </w:rPr>
              <w:t>Required safeguard</w:t>
            </w:r>
          </w:p>
        </w:tc>
      </w:tr>
      <w:tr>
        <w:tc>
          <w:tcPr>
            <w:tcW w:type="dxa" w:w="3264"/>
            <w:vAlign w:val="center"/>
          </w:tcPr>
          <w:p>
            <w:r>
              <w:rPr>
                <w:rFonts w:ascii="Garamond" w:hAnsi="Garamond"/>
                <w:sz w:val="24"/>
              </w:rPr>
              <w:t>Agriculture</w:t>
            </w:r>
          </w:p>
        </w:tc>
        <w:tc>
          <w:tcPr>
            <w:tcW w:type="dxa" w:w="3264"/>
            <w:vAlign w:val="center"/>
          </w:tcPr>
          <w:p>
            <w:r>
              <w:rPr>
                <w:rFonts w:ascii="Garamond" w:hAnsi="Garamond"/>
                <w:sz w:val="24"/>
              </w:rPr>
              <w:t>Seasonal and spatial change</w:t>
            </w:r>
          </w:p>
        </w:tc>
        <w:tc>
          <w:tcPr>
            <w:tcW w:type="dxa" w:w="3264"/>
            <w:vAlign w:val="center"/>
          </w:tcPr>
          <w:p>
            <w:r>
              <w:rPr>
                <w:rFonts w:ascii="Garamond" w:hAnsi="Garamond"/>
                <w:sz w:val="24"/>
              </w:rPr>
              <w:t>Time-aware validation and field verification</w:t>
            </w:r>
          </w:p>
        </w:tc>
      </w:tr>
      <w:tr>
        <w:tc>
          <w:tcPr>
            <w:tcW w:type="dxa" w:w="3264"/>
            <w:vAlign w:val="center"/>
            <w:shd w:fill="EAF0F6"/>
          </w:tcPr>
          <w:p>
            <w:r>
              <w:rPr>
                <w:rFonts w:ascii="Garamond" w:hAnsi="Garamond"/>
                <w:sz w:val="24"/>
              </w:rPr>
              <w:t>Education</w:t>
            </w:r>
          </w:p>
        </w:tc>
        <w:tc>
          <w:tcPr>
            <w:tcW w:type="dxa" w:w="3264"/>
            <w:vAlign w:val="center"/>
            <w:shd w:fill="EAF0F6"/>
          </w:tcPr>
          <w:p>
            <w:r>
              <w:rPr>
                <w:rFonts w:ascii="Garamond" w:hAnsi="Garamond"/>
                <w:sz w:val="24"/>
              </w:rPr>
              <w:t>Support indicators becoming punitive</w:t>
            </w:r>
          </w:p>
        </w:tc>
        <w:tc>
          <w:tcPr>
            <w:tcW w:type="dxa" w:w="3264"/>
            <w:vAlign w:val="center"/>
            <w:shd w:fill="EAF0F6"/>
          </w:tcPr>
          <w:p>
            <w:r>
              <w:rPr>
                <w:rFonts w:ascii="Garamond" w:hAnsi="Garamond"/>
                <w:sz w:val="24"/>
              </w:rPr>
              <w:t>Human review and prohibited-use controls</w:t>
            </w:r>
          </w:p>
        </w:tc>
      </w:tr>
      <w:tr>
        <w:tc>
          <w:tcPr>
            <w:tcW w:type="dxa" w:w="3264"/>
            <w:vAlign w:val="center"/>
          </w:tcPr>
          <w:p>
            <w:r>
              <w:rPr>
                <w:rFonts w:ascii="Garamond" w:hAnsi="Garamond"/>
                <w:sz w:val="24"/>
              </w:rPr>
              <w:t>Health</w:t>
            </w:r>
          </w:p>
        </w:tc>
        <w:tc>
          <w:tcPr>
            <w:tcW w:type="dxa" w:w="3264"/>
            <w:vAlign w:val="center"/>
          </w:tcPr>
          <w:p>
            <w:r>
              <w:rPr>
                <w:rFonts w:ascii="Garamond" w:hAnsi="Garamond"/>
                <w:sz w:val="24"/>
              </w:rPr>
              <w:t>False reassurance or unsafe delay</w:t>
            </w:r>
          </w:p>
        </w:tc>
        <w:tc>
          <w:tcPr>
            <w:tcW w:type="dxa" w:w="3264"/>
            <w:vAlign w:val="center"/>
          </w:tcPr>
          <w:p>
            <w:r>
              <w:rPr>
                <w:rFonts w:ascii="Garamond" w:hAnsi="Garamond"/>
                <w:sz w:val="24"/>
              </w:rPr>
              <w:t>Clinical validation, escalation and conservative failure</w:t>
            </w:r>
          </w:p>
        </w:tc>
      </w:tr>
      <w:tr>
        <w:tc>
          <w:tcPr>
            <w:tcW w:type="dxa" w:w="3264"/>
            <w:vAlign w:val="center"/>
            <w:shd w:fill="EAF0F6"/>
          </w:tcPr>
          <w:p>
            <w:r>
              <w:rPr>
                <w:rFonts w:ascii="Garamond" w:hAnsi="Garamond"/>
                <w:sz w:val="24"/>
              </w:rPr>
              <w:t>Habitat</w:t>
            </w:r>
          </w:p>
        </w:tc>
        <w:tc>
          <w:tcPr>
            <w:tcW w:type="dxa" w:w="3264"/>
            <w:vAlign w:val="center"/>
            <w:shd w:fill="EAF0F6"/>
          </w:tcPr>
          <w:p>
            <w:r>
              <w:rPr>
                <w:rFonts w:ascii="Garamond" w:hAnsi="Garamond"/>
                <w:sz w:val="24"/>
              </w:rPr>
              <w:t>Community exclusion or spatial overclaim</w:t>
            </w:r>
          </w:p>
        </w:tc>
        <w:tc>
          <w:tcPr>
            <w:tcW w:type="dxa" w:w="3264"/>
            <w:vAlign w:val="center"/>
            <w:shd w:fill="EAF0F6"/>
          </w:tcPr>
          <w:p>
            <w:r>
              <w:rPr>
                <w:rFonts w:ascii="Garamond" w:hAnsi="Garamond"/>
                <w:sz w:val="24"/>
              </w:rPr>
              <w:t>Valid geographic resolution and contestability</w:t>
            </w:r>
          </w:p>
        </w:tc>
      </w:tr>
    </w:tbl>
    <w:p>
      <w:pPr>
        <w:pStyle w:val="Heading1"/>
      </w:pPr>
      <w:r>
        <w:rPr>
          <w:rFonts w:ascii="Garamond" w:hAnsi="Garamond"/>
          <w:sz w:val="24"/>
        </w:rPr>
        <w:t>Management actions</w:t>
      </w:r>
    </w:p>
    <w:p>
      <w:pPr>
        <w:pStyle w:val="ListBullet"/>
      </w:pPr>
      <w:r>
        <w:rPr>
          <w:rFonts w:ascii="Garamond" w:hAnsi="Garamond"/>
          <w:sz w:val="24"/>
        </w:rPr>
        <w:t>Approve an explicit intended-use statement and prohibited uses.</w:t>
      </w:r>
    </w:p>
    <w:p>
      <w:pPr>
        <w:pStyle w:val="ListBullet"/>
      </w:pPr>
      <w:r>
        <w:rPr>
          <w:rFonts w:ascii="Garamond" w:hAnsi="Garamond"/>
          <w:sz w:val="24"/>
        </w:rPr>
        <w:t>Fund reproducibility, monitoring and rollback as recurring operations.</w:t>
      </w:r>
    </w:p>
    <w:p>
      <w:pPr>
        <w:pStyle w:val="ListBullet"/>
      </w:pPr>
      <w:r>
        <w:rPr>
          <w:rFonts w:ascii="Garamond" w:hAnsi="Garamond"/>
          <w:sz w:val="24"/>
        </w:rPr>
        <w:t>Separate model building from independent evaluation and production approval.</w:t>
      </w:r>
    </w:p>
    <w:p>
      <w:pPr>
        <w:pStyle w:val="ListBullet"/>
      </w:pPr>
      <w:r>
        <w:rPr>
          <w:rFonts w:ascii="Garamond" w:hAnsi="Garamond"/>
          <w:sz w:val="24"/>
        </w:rPr>
        <w:t>Require immutable release manifests and authenticated decisions.</w:t>
      </w:r>
    </w:p>
    <w:p>
      <w:pPr>
        <w:pStyle w:val="ListBullet"/>
      </w:pPr>
      <w:r>
        <w:rPr>
          <w:rFonts w:ascii="Garamond" w:hAnsi="Garamond"/>
          <w:sz w:val="24"/>
        </w:rPr>
        <w:t>Review systems when data, purpose, population, policy or infrastructure changes.</w:t>
      </w:r>
    </w:p>
    <w:p>
      <w:r>
        <w:rPr>
          <w:rFonts w:ascii="Garamond" w:hAnsi="Garamond"/>
          <w:sz w:val="24"/>
        </w:rPr>
        <w:br w:type="page"/>
      </w:r>
    </w:p>
    <w:p>
      <w:pPr>
        <w:pStyle w:val="Heading1"/>
      </w:pPr>
      <w:r>
        <w:rPr>
          <w:rFonts w:ascii="Garamond" w:hAnsi="Garamond"/>
          <w:sz w:val="24"/>
        </w:rPr>
        <w:t>Lesson evidence</w:t>
      </w:r>
    </w:p>
    <w:p>
      <w:r>
        <w:rPr>
          <w:rFonts w:ascii="Garamond" w:hAnsi="Garamond"/>
          <w:sz w:val="24"/>
        </w:rPr>
        <w:t>The companion notebook builds a synthetic agricultural-risk classifier and records environment, configuration, accepted data, deterministic splits, baseline and candidate metrics, regional slices, artifact hashes, contract tests, drift evidence, a model card, release manifest and rollback record. The canonical run keeps governance approval false, so release remains correctly blocked.</w:t>
      </w:r>
    </w:p>
    <w:p>
      <w:pPr>
        <w:pStyle w:val="Heading1"/>
      </w:pPr>
      <w:r>
        <w:rPr>
          <w:rFonts w:ascii="Garamond" w:hAnsi="Garamond"/>
          <w:sz w:val="24"/>
        </w:rPr>
        <w:t>Executive conclusion</w:t>
      </w:r>
    </w:p>
    <w:p>
      <w:r>
        <w:rPr>
          <w:rFonts w:ascii="Garamond" w:hAnsi="Garamond"/>
          <w:sz w:val="24"/>
        </w:rPr>
        <w:t>MLOps creates value when it makes system behavior reconstructable, observable and reversible. Governance creates the authority and limits for use. Institutions need both. A successful pipeline provides evidence for a decision; it does not make the decision.</w:t>
      </w:r>
    </w:p>
    <w:sectPr w:rsidR="00FC693F" w:rsidRPr="0006063C" w:rsidSect="00034616">
      <w:headerReference w:type="default" r:id="rId9"/>
      <w:footerReference w:type="default" r:id="rId10"/>
      <w:pgSz w:w="12240" w:h="15840"/>
      <w:pgMar w:top="1296" w:right="1224" w:bottom="1296"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24"/>
      </w:rPr>
      <w:t xml:space="preserve">Page </w:t>
    </w:r>
    <w:r>
      <w:rPr>
        <w:rFonts w:ascii="Garamond" w:hAnsi="Garamond"/>
        <w:sz w:val="24"/>
      </w:rPr>
      <w:fldChar w:fldCharType="begin"/>
    </w:r>
    <w:r>
      <w:rPr>
        <w:rFonts w:ascii="Garamond" w:hAnsi="Garamond"/>
        <w:sz w:val="24"/>
      </w:rPr>
      <w:instrText xml:space="preserve"> PAGE </w:instrText>
    </w:r>
    <w:r>
      <w:rPr>
        <w:rFonts w:ascii="Garamond" w:hAnsi="Garamond"/>
        <w:sz w:val="24"/>
      </w:rPr>
      <w:fldChar w:fldCharType="separate"/>
    </w:r>
    <w:r>
      <w:rPr>
        <w:rFonts w:ascii="Garamond" w:hAnsi="Garamond"/>
        <w:sz w:val="24"/>
      </w:rPr>
      <w:t>1</w:t>
    </w:r>
    <w:r>
      <w:rPr>
        <w:rFonts w:ascii="Garamond" w:hAnsi="Garamond"/>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4"/>
      </w:rPr>
      <w:t>SRAI | MLOps and AI Engineering | PU-B05-C01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aramond" w:hAnsi="Garamond" w:eastAsia="Garamond"/>
      <w:color w:val="20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HeaderChar">
    <w:name w:val="Header Char"/>
    <w:basedOn w:val="DefaultParagraphFont"/>
    <w:link w:val="Header"/>
    <w:uiPriority w:val="99"/>
    <w:rsid w:val="00E618BF"/>
    <w:rPr>
      <w:rFonts w:ascii="Garamond" w:hAnsi="Garamond" w:eastAsia="Garamond"/>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FooterChar">
    <w:name w:val="Footer Char"/>
    <w:basedOn w:val="DefaultParagraphFont"/>
    <w:link w:val="Footer"/>
    <w:uiPriority w:val="99"/>
    <w:rsid w:val="00E618BF"/>
    <w:rPr>
      <w:rFonts w:ascii="Garamond" w:hAnsi="Garamond" w:eastAsia="Garamond"/>
      <w:sz w:val="24"/>
    </w:rPr>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Garamond" w:hAnsi="Garamond" w:eastAsia="Garamond"/>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Garamond" w:hAnsi="Garamond" w:eastAsia="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aramond" w:hAnsi="Garamond" w:eastAsia="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404040" w:themeColor="text1" w:themeTint="BF"/>
      <w:sz w:val="24"/>
      <w:szCs w:val="20"/>
    </w:rPr>
  </w:style>
  <w:style w:type="character" w:default="1" w:styleId="DefaultParagraphFont">
    <w:name w:val="Default Paragraph Font"/>
    <w:uiPriority w:val="1"/>
    <w:semiHidden/>
    <w:unhideWhenUsed/>
    <w:rPr>
      <w:rFonts w:ascii="Garamond" w:hAnsi="Garamond" w:eastAsia="Garamond"/>
      <w:sz w:val="24"/>
    </w:rPr>
  </w:style>
  <w:style w:type="table" w:default="1" w:styleId="TableNormal">
    <w:name w:val="Normal Table"/>
    <w:uiPriority w:val="99"/>
    <w:semiHidden/>
    <w:unhideWhenUsed/>
    <w:rPr>
      <w:rFonts w:ascii="Garamond" w:hAnsi="Garamond" w:eastAsia="Garamond"/>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sz w:val="24"/>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Garamond" w:hAnsi="Garamond" w:eastAsia="Garamond"/>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sz w:val="24"/>
    </w:rPr>
  </w:style>
  <w:style w:type="paragraph" w:styleId="BodyText">
    <w:name w:val="Body Text"/>
    <w:basedOn w:val="Normal"/>
    <w:link w:val="BodyTextChar"/>
    <w:uiPriority w:val="99"/>
    <w:unhideWhenUsed/>
    <w:rsid w:val="00AA1D8D"/>
    <w:pPr>
      <w:spacing w:after="120"/>
    </w:pPr>
    <w:rPr>
      <w:rFonts w:ascii="Garamond" w:hAnsi="Garamond" w:eastAsia="Garamond"/>
      <w:sz w:val="24"/>
    </w:rPr>
  </w:style>
  <w:style w:type="character" w:customStyle="1" w:styleId="BodyTextChar">
    <w:name w:val="Body Text Char"/>
    <w:basedOn w:val="DefaultParagraphFont"/>
    <w:link w:val="BodyText"/>
    <w:uiPriority w:val="99"/>
    <w:rsid w:val="00AA1D8D"/>
    <w:rPr>
      <w:rFonts w:ascii="Garamond" w:hAnsi="Garamond" w:eastAsia="Garamond"/>
      <w:sz w:val="24"/>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sz w:val="24"/>
    </w:rPr>
  </w:style>
  <w:style w:type="character" w:customStyle="1" w:styleId="BodyText2Char">
    <w:name w:val="Body Text 2 Char"/>
    <w:basedOn w:val="DefaultParagraphFont"/>
    <w:link w:val="BodyText2"/>
    <w:uiPriority w:val="99"/>
    <w:rsid w:val="00AA1D8D"/>
    <w:rPr>
      <w:rFonts w:ascii="Garamond" w:hAnsi="Garamond" w:eastAsia="Garamond"/>
      <w:sz w:val="24"/>
    </w:rPr>
  </w:style>
  <w:style w:type="paragraph" w:styleId="BodyText3">
    <w:name w:val="Body Text 3"/>
    <w:basedOn w:val="Normal"/>
    <w:link w:val="BodyText3Char"/>
    <w:uiPriority w:val="99"/>
    <w:unhideWhenUsed/>
    <w:rsid w:val="00AA1D8D"/>
    <w:pPr>
      <w:spacing w:after="120"/>
    </w:pPr>
    <w:rPr>
      <w:rFonts w:ascii="Garamond" w:hAnsi="Garamond" w:eastAsia="Garamond"/>
      <w:sz w:val="24"/>
      <w:szCs w:val="16"/>
    </w:rPr>
  </w:style>
  <w:style w:type="character" w:customStyle="1" w:styleId="BodyText3Char">
    <w:name w:val="Body Text 3 Char"/>
    <w:basedOn w:val="DefaultParagraphFont"/>
    <w:link w:val="BodyText3"/>
    <w:uiPriority w:val="99"/>
    <w:rsid w:val="00AA1D8D"/>
    <w:rPr>
      <w:rFonts w:ascii="Garamond" w:hAnsi="Garamond" w:eastAsia="Garamond"/>
      <w:sz w:val="24"/>
      <w:szCs w:val="16"/>
    </w:rPr>
  </w:style>
  <w:style w:type="paragraph" w:styleId="List">
    <w:name w:val="List"/>
    <w:basedOn w:val="Normal"/>
    <w:uiPriority w:val="99"/>
    <w:unhideWhenUsed/>
    <w:rsid w:val="00AA1D8D"/>
    <w:pPr>
      <w:ind w:left="360" w:hanging="360"/>
      <w:contextualSpacing/>
    </w:pPr>
    <w:rPr>
      <w:rFonts w:ascii="Garamond" w:hAnsi="Garamond" w:eastAsia="Garamond"/>
      <w:sz w:val="24"/>
    </w:rPr>
  </w:style>
  <w:style w:type="paragraph" w:styleId="List2">
    <w:name w:val="List 2"/>
    <w:basedOn w:val="Normal"/>
    <w:uiPriority w:val="99"/>
    <w:unhideWhenUsed/>
    <w:rsid w:val="00326F90"/>
    <w:pPr>
      <w:ind w:left="720" w:hanging="360"/>
      <w:contextualSpacing/>
    </w:pPr>
    <w:rPr>
      <w:rFonts w:ascii="Garamond" w:hAnsi="Garamond" w:eastAsia="Garamond"/>
      <w:sz w:val="24"/>
    </w:rPr>
  </w:style>
  <w:style w:type="paragraph" w:styleId="List3">
    <w:name w:val="List 3"/>
    <w:basedOn w:val="Normal"/>
    <w:uiPriority w:val="99"/>
    <w:unhideWhenUsed/>
    <w:rsid w:val="00326F90"/>
    <w:pPr>
      <w:ind w:left="1080" w:hanging="360"/>
      <w:contextualSpacing/>
    </w:pPr>
    <w:rPr>
      <w:rFonts w:ascii="Garamond" w:hAnsi="Garamond" w:eastAsia="Garamond"/>
      <w:sz w:val="24"/>
    </w:rPr>
  </w:style>
  <w:style w:type="paragraph" w:styleId="ListBullet">
    <w:name w:val="List Bullet"/>
    <w:basedOn w:val="Normal"/>
    <w:uiPriority w:val="99"/>
    <w:unhideWhenUsed/>
    <w:rsid w:val="00326F90"/>
    <w:pPr>
      <w:numPr>
        <w:numId w:val="1"/>
      </w:numPr>
      <w:contextualSpacing/>
    </w:pPr>
    <w:rPr>
      <w:rFonts w:ascii="Garamond" w:hAnsi="Garamond" w:eastAsia="Garamond"/>
      <w:sz w:val="24"/>
    </w:rPr>
  </w:style>
  <w:style w:type="paragraph" w:styleId="ListBullet2">
    <w:name w:val="List Bullet 2"/>
    <w:basedOn w:val="Normal"/>
    <w:uiPriority w:val="99"/>
    <w:unhideWhenUsed/>
    <w:rsid w:val="00326F90"/>
    <w:pPr>
      <w:numPr>
        <w:numId w:val="2"/>
      </w:numPr>
      <w:contextualSpacing/>
    </w:pPr>
    <w:rPr>
      <w:rFonts w:ascii="Garamond" w:hAnsi="Garamond" w:eastAsia="Garamond"/>
      <w:sz w:val="24"/>
    </w:rPr>
  </w:style>
  <w:style w:type="paragraph" w:styleId="ListBullet3">
    <w:name w:val="List Bullet 3"/>
    <w:basedOn w:val="Normal"/>
    <w:uiPriority w:val="99"/>
    <w:unhideWhenUsed/>
    <w:rsid w:val="00326F90"/>
    <w:pPr>
      <w:numPr>
        <w:numId w:val="3"/>
      </w:numPr>
      <w:contextualSpacing/>
    </w:pPr>
    <w:rPr>
      <w:rFonts w:ascii="Garamond" w:hAnsi="Garamond" w:eastAsia="Garamond"/>
      <w:sz w:val="24"/>
    </w:rPr>
  </w:style>
  <w:style w:type="paragraph" w:styleId="ListNumber">
    <w:name w:val="List Number"/>
    <w:basedOn w:val="Normal"/>
    <w:uiPriority w:val="99"/>
    <w:unhideWhenUsed/>
    <w:rsid w:val="00326F90"/>
    <w:pPr>
      <w:numPr>
        <w:numId w:val="5"/>
      </w:numPr>
      <w:contextualSpacing/>
    </w:pPr>
    <w:rPr>
      <w:rFonts w:ascii="Garamond" w:hAnsi="Garamond" w:eastAsia="Garamond"/>
      <w:sz w:val="24"/>
    </w:rPr>
  </w:style>
  <w:style w:type="paragraph" w:styleId="ListNumber2">
    <w:name w:val="List Number 2"/>
    <w:basedOn w:val="Normal"/>
    <w:uiPriority w:val="99"/>
    <w:unhideWhenUsed/>
    <w:rsid w:val="0029639D"/>
    <w:pPr>
      <w:numPr>
        <w:numId w:val="6"/>
      </w:numPr>
      <w:contextualSpacing/>
    </w:pPr>
    <w:rPr>
      <w:rFonts w:ascii="Garamond" w:hAnsi="Garamond" w:eastAsia="Garamond"/>
      <w:sz w:val="24"/>
    </w:rPr>
  </w:style>
  <w:style w:type="paragraph" w:styleId="ListNumber3">
    <w:name w:val="List Number 3"/>
    <w:basedOn w:val="Normal"/>
    <w:uiPriority w:val="99"/>
    <w:unhideWhenUsed/>
    <w:rsid w:val="0029639D"/>
    <w:pPr>
      <w:numPr>
        <w:numId w:val="7"/>
      </w:numPr>
      <w:contextualSpacing/>
    </w:pPr>
    <w:rPr>
      <w:rFonts w:ascii="Garamond" w:hAnsi="Garamond" w:eastAsia="Garamond"/>
      <w:sz w:val="24"/>
    </w:rPr>
  </w:style>
  <w:style w:type="paragraph" w:styleId="ListContinue">
    <w:name w:val="List Continue"/>
    <w:basedOn w:val="Normal"/>
    <w:uiPriority w:val="99"/>
    <w:unhideWhenUsed/>
    <w:rsid w:val="0029639D"/>
    <w:pPr>
      <w:spacing w:after="120"/>
      <w:ind w:left="360"/>
      <w:contextualSpacing/>
    </w:pPr>
    <w:rPr>
      <w:rFonts w:ascii="Garamond" w:hAnsi="Garamond" w:eastAsia="Garamond"/>
      <w:sz w:val="24"/>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sz w:val="24"/>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4"/>
      <w:szCs w:val="20"/>
    </w:rPr>
  </w:style>
  <w:style w:type="character" w:customStyle="1" w:styleId="MacroTextChar">
    <w:name w:val="Macro Text Char"/>
    <w:basedOn w:val="DefaultParagraphFont"/>
    <w:link w:val="MacroText"/>
    <w:uiPriority w:val="99"/>
    <w:rsid w:val="0029639D"/>
    <w:rPr>
      <w:rFonts w:ascii="Garamond" w:hAnsi="Garamond" w:eastAsia="Garamond"/>
      <w:sz w:val="24"/>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sz w:val="24"/>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24"/>
      <w:szCs w:val="18"/>
    </w:rPr>
  </w:style>
  <w:style w:type="character" w:styleId="Strong">
    <w:name w:val="Strong"/>
    <w:basedOn w:val="DefaultParagraphFont"/>
    <w:uiPriority w:val="22"/>
    <w:qFormat/>
    <w:rsid w:val="00FC693F"/>
    <w:rPr>
      <w:rFonts w:ascii="Garamond" w:hAnsi="Garamond" w:eastAsia="Garamond"/>
      <w:b/>
      <w:bCs/>
      <w:sz w:val="24"/>
    </w:rPr>
  </w:style>
  <w:style w:type="character" w:styleId="Emphasis">
    <w:name w:val="Emphasis"/>
    <w:basedOn w:val="DefaultParagraphFont"/>
    <w:uiPriority w:val="20"/>
    <w:qFormat/>
    <w:rsid w:val="00FC693F"/>
    <w:rPr>
      <w:rFonts w:ascii="Garamond" w:hAnsi="Garamond" w:eastAsia="Garamond"/>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sz w:val="24"/>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sz w:val="24"/>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sz w:val="24"/>
    </w:rPr>
  </w:style>
  <w:style w:type="character" w:styleId="SubtleReference">
    <w:name w:val="Subtle Reference"/>
    <w:basedOn w:val="DefaultParagraphFont"/>
    <w:uiPriority w:val="31"/>
    <w:qFormat/>
    <w:rsid w:val="00FC693F"/>
    <w:rPr>
      <w:rFonts w:ascii="Garamond" w:hAnsi="Garamond" w:eastAsia="Garamond"/>
      <w:smallCaps/>
      <w:color w:val="C0504D" w:themeColor="accent2"/>
      <w:sz w:val="24"/>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sz w:val="24"/>
      <w:u w:val="single"/>
    </w:rPr>
  </w:style>
  <w:style w:type="character" w:styleId="BookTitle">
    <w:name w:val="Book Title"/>
    <w:basedOn w:val="DefaultParagraphFont"/>
    <w:uiPriority w:val="33"/>
    <w:qFormat/>
    <w:rsid w:val="00FC693F"/>
    <w:rPr>
      <w:rFonts w:ascii="Garamond" w:hAnsi="Garamond" w:eastAsia="Garamond"/>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sz w:val="24"/>
    </w:rPr>
  </w:style>
  <w:style w:type="table" w:styleId="TableGrid">
    <w:name w:val="Table Grid"/>
    <w:basedOn w:val="TableNormal"/>
    <w:uiPriority w:val="59"/>
    <w:rsid w:val="00FC693F"/>
    <w:pPr>
      <w:spacing w:after="0" w:line="240" w:lineRule="auto"/>
    </w:pPr>
    <w:rPr>
      <w:rFonts w:ascii="Garamond" w:hAnsi="Garamond" w:eastAsia="Garamond"/>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AILead">
    <w:name w:val="SRAI Lead"/>
    <w:pPr>
      <w:spacing w:after="180"/>
      <w:ind w:left="403" w:right="403"/>
    </w:pPr>
    <w:rPr>
      <w:rFonts w:ascii="Garamond" w:hAnsi="Garamond" w:eastAsia="Garamond"/>
      <w:i/>
      <w:color w:val="14253D"/>
      <w:sz w:val="24"/>
    </w:rPr>
  </w:style>
  <w:style w:type="paragraph" w:customStyle="1" w:styleId="SRAIEquation">
    <w:name w:val="SRAI Equation"/>
    <w:pPr>
      <w:spacing w:before="100" w:after="140"/>
      <w:jc w:val="center"/>
    </w:pPr>
    <w:rPr>
      <w:rFonts w:ascii="Garamond" w:hAnsi="Garamond" w:eastAsia="Garamond"/>
      <w:color w:val="14253D"/>
      <w:sz w:val="24"/>
    </w:rPr>
  </w:style>
  <w:style w:type="paragraph" w:customStyle="1" w:styleId="SRAICaption">
    <w:name w:val="SRAI Caption"/>
    <w:pPr>
      <w:jc w:val="center"/>
    </w:pPr>
    <w:rPr>
      <w:rFonts w:ascii="Garamond" w:hAnsi="Garamond" w:eastAsia="Garamond"/>
      <w:i/>
      <w:color w:val="5B6573"/>
      <w:sz w:val="24"/>
    </w:rPr>
  </w:style>
  <w:style w:type="paragraph" w:customStyle="1" w:styleId="SRAISmall">
    <w:name w:val="SRAI Small"/>
    <w:rPr>
      <w:rFonts w:ascii="Garamond" w:hAnsi="Garamond" w:eastAsia="Garamond"/>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SRAI Book 3 Chapter 1 Neural Network Foundations</dc:title>
  <dc:subject>University-level controlled lesson for PU-B03-C01</dc:subject>
  <dc:creator>Mbaye Kebe</dc:creator>
  <cp:keywords>SRAI, deep learning, neural networks, evidence, reproducibility, PU-B03-C01</cp:keywords>
  <dc:description>generated by python-docx</dc:description>
  <cp:lastModifiedBy/>
  <cp:revision>1</cp:revision>
  <dcterms:created xsi:type="dcterms:W3CDTF">2013-12-23T23:15:00Z</dcterms:created>
  <dcterms:modified xsi:type="dcterms:W3CDTF">2013-12-23T23:15:00Z</dcterms:modified>
  <cp:category/>
</cp:coreProperties>
</file>