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Strategy and Transformation Exercises and Solutions</w:t>
      </w:r>
    </w:p>
    <w:p>
      <w:pPr>
        <w:pStyle w:val="Subtitle"/>
        <w:jc w:val="center"/>
      </w:pPr>
      <w:r>
        <w:t>Executive and practitioner assessment package</w:t>
      </w:r>
    </w:p>
    <w:p>
      <w:pPr>
        <w:jc w:val="center"/>
      </w:pPr>
      <w:r>
        <w:t>SRAI  |  PU-B09-C01  |  Foundation candidate v0.2  |  9 September 2026</w:t>
      </w:r>
    </w:p>
    <w:p/>
    <w:p>
      <w:pPr>
        <w:pStyle w:val="Heading1"/>
      </w:pPr>
      <w:r>
        <w:t>Purpose and scoring standard</w:t>
      </w:r>
    </w:p>
    <w:p>
      <w:r>
        <w:t>These exercises test whether learners can convert ambition into accountable institutional decisions. Full credit requires assumptions, evidence, consequences and decision authority to be explicit.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Decision quality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Evidence and assumptions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Governance and accountability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Feasibility and sequencing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Clarity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10%</w:t>
            </w:r>
          </w:p>
        </w:tc>
      </w:tr>
    </w:tbl>
    <w:p>
      <w:r>
        <w:br w:type="page"/>
      </w:r>
    </w:p>
    <w:p>
      <w:pPr>
        <w:pStyle w:val="Heading1"/>
      </w:pPr>
      <w:r>
        <w:t>Part I Exercises</w:t>
      </w:r>
    </w:p>
    <w:p>
      <w:pPr>
        <w:pStyle w:val="Heading2"/>
      </w:pPr>
      <w:r>
        <w:t>Exercise 1 Mandate and outcome</w:t>
      </w:r>
    </w:p>
    <w:p>
      <w:r>
        <w:t>A ministry proposes an AI assistant to improve agricultural extension. Write a one-sentence transformation thesis and identify the accountable benefit owner.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2 Evidence classification</w:t>
      </w:r>
    </w:p>
    <w:p>
      <w:r>
        <w:t>Classify mandate documents, user interviews, system logs, model benchmarks and vendor claims as primary, operational, experimental or asserted evidence.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3 Readiness profile</w:t>
      </w:r>
    </w:p>
    <w:p>
      <w:r>
        <w:t>Score governance, data, people, technology, finance and operations from 0 to 4. Explain why the lowest dimension matters more than the average.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4 Use-case boundary</w:t>
      </w:r>
    </w:p>
    <w:p>
      <w:r>
        <w:t>Define the decision, user, inputs, outputs, exclusions and escalation path for an AI-enabled census quality review.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5 Simpler alternative</w:t>
      </w:r>
    </w:p>
    <w:p>
      <w:r>
        <w:t>Compare an AI proposal with workflow redesign, rule-based validation and improved reporting.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6 Portfolio scoring</w:t>
      </w:r>
    </w:p>
    <w:p>
      <w:r>
        <w:t>Create weights for strategic value, feasibility, evidence confidence, urgency and learning value. State two mandatory gates.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7 Sensitivity analysis</w:t>
      </w:r>
    </w:p>
    <w:p>
      <w:r>
        <w:t>Re-rank the portfolio after reducing data-readiness weight and increasing equity weight.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8 Decision record</w:t>
      </w:r>
    </w:p>
    <w:p>
      <w:r>
        <w:t>Draft a gate decision for a pilot with strong demand but incomplete data lineage.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9 Operating model</w:t>
      </w:r>
    </w:p>
    <w:p>
      <w:r>
        <w:t>Assign outcome, data, technical, risk and adoption ownership for one initiative.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10 Roadmap dependencies</w:t>
      </w:r>
    </w:p>
    <w:p>
      <w:r>
        <w:t>Sequence data definitions, access controls, prototype, field validation, training and deployment.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11 Benefits register</w:t>
      </w:r>
    </w:p>
    <w:p>
      <w:r>
        <w:t>Specify adoption, outcome, equity, cost and incident measures.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12 Procurement control</w:t>
      </w:r>
    </w:p>
    <w:p>
      <w:r>
        <w:t>Write five contract clauses that reduce vendor dependency.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13 Uncertainty briefing</w:t>
      </w:r>
    </w:p>
    <w:p>
      <w:r>
        <w:t>Translate a wide confidence interval into an executive recommendation.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14 Case transfer</w:t>
      </w:r>
    </w:p>
    <w:p>
      <w:r>
        <w:t>Use one consulting case in the lesson to identify a lesson that transfers to AI strategy without calling the historical assignment an AI deployment.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Exercise 15 Board decision memo</w:t>
      </w:r>
    </w:p>
    <w:p>
      <w:r>
        <w:t>Prepare a 250-word recommendation: scale, redesign, defer or stop one initiative.</w:t>
      </w:r>
    </w:p>
    <w:p>
      <w:r>
        <w:t>Required output: a concise decision artifact with evidence and ownership.</w:t>
      </w:r>
    </w:p>
    <w:p>
      <w:r>
        <w:t>Response space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 II Instructor solutions and marking guidance</w:t>
      </w:r>
    </w:p>
    <w:p>
      <w:pPr>
        <w:pStyle w:val="Heading2"/>
      </w:pPr>
      <w:r>
        <w:t>Solution 1 Mandate and outcome</w:t>
      </w:r>
    </w:p>
    <w:p>
      <w:r>
        <w:t>The thesis must link the assistant to a measurable extension decision, named beneficiaries and a time horizon. The benefit owner is the executive with authority over extension outcomes, not the technology supplier.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2 Evidence classification</w:t>
      </w:r>
    </w:p>
    <w:p>
      <w:r>
        <w:t>Mandates are primary institutional evidence; interviews are contextual evidence; logs are operational evidence; controlled benchmarks are experimental evidence; vendor claims remain asserted until independently verified.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3 Readiness profile</w:t>
      </w:r>
    </w:p>
    <w:p>
      <w:r>
        <w:t>A defensible answer documents every score. The weakest dimension can become a binding constraint; a high average cannot compensate for absent authority, unsafe data or no operational owner.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4 Use-case boundary</w:t>
      </w:r>
    </w:p>
    <w:p>
      <w:r>
        <w:t>The boundary should keep final acceptance with authorized census staff, exclude automatic correction of source records and route anomalies to documented human review.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5 Simpler alternative</w:t>
      </w:r>
    </w:p>
    <w:p>
      <w:r>
        <w:t>Choose AI only when it adds measurable value beyond simpler controls. The comparison must include cost, implementation time, evidence quality and operational burden.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6 Portfolio scoring</w:t>
      </w:r>
    </w:p>
    <w:p>
      <w:r>
        <w:t>Weights must sum to 100 percent. Privacy legality and accountable human oversight are suitable gates because a weighted benefit score must not cancel a failed safeguard.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7 Sensitivity analysis</w:t>
      </w:r>
    </w:p>
    <w:p>
      <w:r>
        <w:t>A robust recommendation remains near the top across plausible weights. A rank reversal signals a decision that depends on contested priorities and must be discussed explicitly.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8 Decision record</w:t>
      </w:r>
    </w:p>
    <w:p>
      <w:r>
        <w:t>A sound record normally authorizes only bounded discovery or remediation, names the lineage evidence required, assigns owners, sets a review date and prohibits production scale-up.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9 Operating model</w:t>
      </w:r>
    </w:p>
    <w:p>
      <w:r>
        <w:t>Each role must have decision rights and evidence obligations. Combining roles requires an explicit conflict-of-interest control and escalation route.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10 Roadmap dependencies</w:t>
      </w:r>
    </w:p>
    <w:p>
      <w:r>
        <w:t>Definitions and lawful access precede development; prototype precedes field validation; training precedes operational handover; deployment follows evidence and authorization gates.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11 Benefits register</w:t>
      </w:r>
    </w:p>
    <w:p>
      <w:r>
        <w:t>Measures need baselines, targets, frequency, source, accountable owner and action thresholds. Model accuracy alone is not a transformation benefit.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12 Procurement control</w:t>
      </w:r>
    </w:p>
    <w:p>
      <w:r>
        <w:t>Expected clauses cover data rights, interfaces, documentation, audit evidence, knowledge transfer, portability, security duties and exit support.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13 Uncertainty briefing</w:t>
      </w:r>
    </w:p>
    <w:p>
      <w:r>
        <w:t>State what remains unknown, whether the decision is reversible, the downside exposure, what evidence would reduce uncertainty and the conditions for stopping.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14 Case transfer</w:t>
      </w:r>
    </w:p>
    <w:p>
      <w:r>
        <w:t>The response should name the original institutional challenge and derive a present-day control, while clearly separating historical evidence from the proposed AI application.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2"/>
      </w:pPr>
      <w:r>
        <w:t>Solution 15 Board decision memo</w:t>
      </w:r>
    </w:p>
    <w:p>
      <w:r>
        <w:t>The memo should state the decision, evidence, alternatives, residual risks, conditions, owner, next review date and stopping rule. Concision and accountability matter more than technical detail.</w:t>
      </w:r>
    </w:p>
    <w:p>
      <w:pPr>
        <w:ind w:left="360" w:hanging="259"/>
      </w:pPr>
      <w:r>
        <w:rPr>
          <w:b/>
        </w:rPr>
        <w:t xml:space="preserve">• </w:t>
      </w:r>
      <w:r>
        <w:t>Award full credit when the decision and owner are explicit.</w:t>
      </w:r>
    </w:p>
    <w:p>
      <w:pPr>
        <w:ind w:left="360" w:hanging="259"/>
      </w:pPr>
      <w:r>
        <w:rPr>
          <w:b/>
        </w:rPr>
        <w:t xml:space="preserve">• </w:t>
      </w:r>
      <w:r>
        <w:t>Reduce credit for untested assumptions presented as facts.</w:t>
      </w:r>
    </w:p>
    <w:p>
      <w:pPr>
        <w:ind w:left="360" w:hanging="259"/>
      </w:pPr>
      <w:r>
        <w:rPr>
          <w:b/>
        </w:rPr>
        <w:t xml:space="preserve">• </w:t>
      </w:r>
      <w:r>
        <w:t>Do not reward technical sophistication that bypasses a mandatory control.</w:t>
      </w:r>
    </w:p>
    <w:p>
      <w:pPr>
        <w:pStyle w:val="Heading1"/>
      </w:pPr>
      <w:r>
        <w:t>Capstone marking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Evidence-backed decision; explicit authority, conditions and stopping rule.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Competent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Sound logic with minor gaps in evidence or ownership.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Developing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Useful ideas but weak decision framing or control design.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Insufficient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Technology description without accountable institutional decision.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SRAI  |  PU-B09-C01  |  AI Strategy and Transformation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Strategy and Transformation</dc:title>
  <dc:subject>PU-B09-C01</dc:subject>
  <dc:creator>Mbaye Kebe</dc:creator>
  <cp:keywords>SRAI, AI strategy, transformation, executive leadership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