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Strategy and Transformation Executive Brief</w:t>
      </w:r>
    </w:p>
    <w:p>
      <w:pPr>
        <w:pStyle w:val="Subtitle"/>
        <w:jc w:val="center"/>
      </w:pPr>
      <w:r>
        <w:t>Board and senior leadership decision guide</w:t>
      </w:r>
    </w:p>
    <w:p>
      <w:pPr>
        <w:jc w:val="center"/>
      </w:pPr>
      <w:r>
        <w:t>SRAI  |  PU-B09-C01  |  Foundation candidate v0.2  |  9 September 2026</w:t>
      </w:r>
    </w:p>
    <w:p/>
    <w:p>
      <w:pPr>
        <w:pStyle w:val="Heading1"/>
      </w:pPr>
      <w:r>
        <w:t>Executive decision</w:t>
      </w:r>
    </w:p>
    <w:p>
      <w:r>
        <w:t>Treat AI strategy as a governed portfolio of institutional decisions, not a list of technology projects. Authorize investment only where mission value, evidence, readiness, ownership and safeguards are credible together.</w:t>
      </w:r>
    </w:p>
    <w:p>
      <w:pPr>
        <w:pStyle w:val="Heading1"/>
      </w:pPr>
      <w:r>
        <w:t>Why this matters now</w:t>
      </w:r>
    </w:p>
    <w:p>
      <w:pPr>
        <w:ind w:left="360" w:hanging="259"/>
      </w:pPr>
      <w:r>
        <w:rPr>
          <w:b/>
        </w:rPr>
        <w:t xml:space="preserve">• </w:t>
      </w:r>
      <w:r>
        <w:t>AI demand is rising faster than many institutions can establish data ownership and operating controls.</w:t>
      </w:r>
    </w:p>
    <w:p>
      <w:pPr>
        <w:ind w:left="360" w:hanging="259"/>
      </w:pPr>
      <w:r>
        <w:rPr>
          <w:b/>
        </w:rPr>
        <w:t xml:space="preserve">• </w:t>
      </w:r>
      <w:r>
        <w:t>Pilots can create recurring cost and vendor dependence without delivering sustained outcomes.</w:t>
      </w:r>
    </w:p>
    <w:p>
      <w:pPr>
        <w:ind w:left="360" w:hanging="259"/>
      </w:pPr>
      <w:r>
        <w:rPr>
          <w:b/>
        </w:rPr>
        <w:t xml:space="preserve">• </w:t>
      </w:r>
      <w:r>
        <w:t>Public-sector and development settings require traceability, equity, continuity and local capability in addition to model performance.</w:t>
      </w:r>
    </w:p>
    <w:p>
      <w:pPr>
        <w:pStyle w:val="Heading1"/>
      </w:pPr>
      <w:r>
        <w:t>Five board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Evidence expected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What decision improves?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Baseline, beneficiary and outcome measure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Why AI?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Comparison with simpler alternatives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Who is accountable?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Named outcome, data, technical and risk owners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What can stop progression?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Mandatory gates and stopping rules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How will value persist?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Operating budget, capability and exit plan</w:t>
            </w:r>
          </w:p>
        </w:tc>
      </w:tr>
    </w:tbl>
    <w:p>
      <w:r>
        <w:br w:type="page"/>
      </w:r>
    </w:p>
    <w:p>
      <w:pPr>
        <w:pStyle w:val="Heading1"/>
      </w:pPr>
      <w:r>
        <w:t>Portfolio decision model</w:t>
      </w:r>
    </w:p>
    <w:p>
      <w:r>
        <w:t>Score value, feasibility, evidence confidence, urgency and learning value, but keep non-negotiable legal, privacy, safety and human-authority gates separate. A high weighted score cannot compensate for a failed gate.</w:t>
      </w:r>
    </w:p>
    <w:p>
      <w:pPr>
        <w:pStyle w:val="Heading1"/>
      </w:pPr>
      <w:r>
        <w:t>Recommended 90-day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Leadership action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Days 1–30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Confirm mandate, decision rights, use-case boundaries and evidence inventory.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Days 31–60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Assess readiness, compare alternatives, score the portfolio and identify remediation.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Days 61–90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Authorize bounded pilots, establish monitoring, capability transfer and decision reviews.</w:t>
            </w:r>
          </w:p>
        </w:tc>
      </w:tr>
    </w:tbl>
    <w:p>
      <w:pPr>
        <w:pStyle w:val="Heading1"/>
      </w:pPr>
      <w:r>
        <w:t>Consulting lessons applied</w:t>
      </w:r>
    </w:p>
    <w:p>
      <w:pPr>
        <w:ind w:left="360" w:hanging="259"/>
      </w:pPr>
      <w:r>
        <w:rPr>
          <w:b/>
        </w:rPr>
        <w:t xml:space="preserve">• </w:t>
      </w:r>
      <w:r>
        <w:t>Agricultural census modernization shows that definitions, frames and field governance precede analytics.</w:t>
      </w:r>
    </w:p>
    <w:p>
      <w:pPr>
        <w:ind w:left="360" w:hanging="259"/>
      </w:pPr>
      <w:r>
        <w:rPr>
          <w:b/>
        </w:rPr>
        <w:t xml:space="preserve">• </w:t>
      </w:r>
      <w:r>
        <w:t>Information warehouses show that integration and ownership are institutional—not merely technical—work.</w:t>
      </w:r>
    </w:p>
    <w:p>
      <w:pPr>
        <w:ind w:left="360" w:hanging="259"/>
      </w:pPr>
      <w:r>
        <w:rPr>
          <w:b/>
        </w:rPr>
        <w:t xml:space="preserve">• </w:t>
      </w:r>
      <w:r>
        <w:t>Results-based monitoring shows that indicators require baselines, sources, review cycles and accountable action.</w:t>
      </w:r>
    </w:p>
    <w:p>
      <w:pPr>
        <w:ind w:left="360" w:hanging="259"/>
      </w:pPr>
      <w:r>
        <w:rPr>
          <w:b/>
        </w:rPr>
        <w:t xml:space="preserve">• </w:t>
      </w:r>
      <w:r>
        <w:t>Food-loss modelling shows that uncertainty must be translated into consequences and field validation.</w:t>
      </w:r>
    </w:p>
    <w:p>
      <w:r>
        <w:br w:type="page"/>
      </w:r>
    </w:p>
    <w:p>
      <w:pPr>
        <w:pStyle w:val="Heading1"/>
      </w:pPr>
      <w:r>
        <w:t>Decision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/>
        </w:trPr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4939"/>
            <w:shd w:fill="17365D"/>
          </w:tcPr>
          <w:p>
            <w:r>
              <w:rPr>
                <w:b/>
                <w:color w:val="FFFFFF"/>
              </w:rPr>
              <w:t>Board test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Mandate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Is the outcome authorized and materially important?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Are data, assumptions and limitations documented?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Safeguards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Are legality, privacy, security, equity and human authority adequate?</w:t>
            </w:r>
          </w:p>
        </w:tc>
      </w:tr>
      <w:tr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Operations</w:t>
            </w:r>
          </w:p>
        </w:tc>
        <w:tc>
          <w:tcPr>
            <w:tcW w:type="dxa" w:w="4939"/>
            <w:vAlign w:val="center"/>
            <w:shd w:fill="EEF2F5"/>
          </w:tcPr>
          <w:p>
            <w:r>
              <w:rPr>
                <w:sz w:val="18"/>
              </w:rPr>
              <w:t>Can named teams run, monitor and challenge the system?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8"/>
              </w:rPr>
              <w:t>Do measured benefits justify total recurring cost and residual risk?</w:t>
            </w:r>
          </w:p>
        </w:tc>
      </w:tr>
    </w:tbl>
    <w:p>
      <w:pPr>
        <w:pStyle w:val="Heading1"/>
      </w:pPr>
      <w:r>
        <w:t>Immediate recommendation</w:t>
      </w:r>
    </w:p>
    <w:p>
      <w:r>
        <w:t>Approve a controlled discovery portfolio rather than enterprise-wide deployment. Require decision records at each gate, finance foundational data and capability work, and stop initiatives that cannot demonstrate sustained institutional value.</w:t>
      </w:r>
    </w:p>
    <w:p>
      <w:pPr>
        <w:pStyle w:val="Heading1"/>
      </w:pPr>
      <w:r>
        <w:t>Executive takeaway</w:t>
      </w:r>
    </w:p>
    <w:p>
      <w:r>
        <w:t>The strategy is credible when leadership can explain what will be funded, deferred and stopped—and why.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SRAI  |  PU-B09-C01  |  AI Strategy and Transformation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Strategy and Transformation</dc:title>
  <dc:subject>PU-B09-C01</dc:subject>
  <dc:creator>Mbaye Kebe</dc:creator>
  <cp:keywords>SRAI, AI strategy, transformation, executive leadership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