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F6B78"/>
          <w:sz w:val="17"/>
        </w:rPr>
        <w:t>SRAI OFFICIAL STATISTICS AND AI PATHWAY</w:t>
      </w:r>
    </w:p>
    <w:p>
      <w:pPr>
        <w:pStyle w:val="Title"/>
      </w:pPr>
      <w:r>
        <w:t>National Information Ecosystem Executive Brief</w:t>
      </w:r>
    </w:p>
    <w:p>
      <w:pPr>
        <w:spacing w:after="280"/>
      </w:pPr>
      <w:r>
        <w:t>OS-A01-A02 | Candidate version 0.1 | September 2026</w:t>
      </w:r>
    </w:p>
    <w:p>
      <w:r>
        <w:rPr>
          <w:rFonts w:ascii="Aptos" w:hAnsi="Aptos"/>
          <w:b/>
          <w:color w:val="000000"/>
          <w:sz w:val="22"/>
        </w:rPr>
        <w:t xml:space="preserve">Decision required. </w:t>
      </w:r>
      <w:r>
        <w:t>Treat AI readiness as an institutional and statistical-system question before treating it as a technology procurement question. Authorize a bounded ecosystem diagnostic, resolve the most consequential data and accountability gaps, and allow an AI pilot only when purpose, authority, evidence, safeguards and recurrent capacity are explicit.</w:t>
      </w:r>
    </w:p>
    <w:p>
      <w:pPr>
        <w:pStyle w:val="Heading1"/>
      </w:pPr>
      <w:r>
        <w:t>Executive conclusion</w:t>
      </w:r>
    </w:p>
    <w:p>
      <w:r>
        <w:t>Official statistics are produced through a national information ecosystem: public institutions, sector producers, administrative systems, research bodies, private data holders, technology providers, funders, oversight bodies and users. A capable national statistical office remains central, but it cannot guarantee timely and trustworthy information if definitions conflict, exchanges fail, identifiers do not align, source coverage is biased, experimental results are generalized too far, or operating capacity depends on temporary projects.</w:t>
      </w:r>
    </w:p>
    <w:p>
      <w:r>
        <w:t>The appropriate leadership response is therefore not a general instruction to use AI. It is a controlled sequence: define the decision need; map actors, assets and flows; test fitness for use; establish authority and safeguards; improve non-AI dependencies; and then screen a narrow AI-assisted task against a credible baseline.</w:t>
      </w:r>
    </w:p>
    <w:p>
      <w:pPr>
        <w:pStyle w:val="Heading1"/>
      </w:pPr>
      <w:r>
        <w:t>What leaders should authorize now</w:t>
      </w:r>
    </w:p>
    <w:tbl>
      <w:tblPr>
        <w:tblW w:type="auto" w:w="0"/>
        <w:tblLayout w:type="autofit"/>
        <w:tblLook w:firstColumn="1" w:firstRow="1" w:lastColumn="0" w:lastRow="0" w:noHBand="0" w:noVBand="1" w:val="04A0"/>
      </w:tblPr>
      <w:tblGrid>
        <w:gridCol w:w="3293"/>
        <w:gridCol w:w="3293"/>
        <w:gridCol w:w="3293"/>
      </w:tblGrid>
      <w:tr>
        <w:trPr>
          <w:tblHeader/>
        </w:trPr>
        <w:tc>
          <w:tcPr>
            <w:tcW w:type="dxa" w:w="1944"/>
            <w:shd w:fill="1F4E78"/>
            <w:vAlign w:val="center"/>
            <w:tcMar>
              <w:top w:w="100" w:type="dxa"/>
              <w:start w:w="100" w:type="dxa"/>
              <w:bottom w:w="100" w:type="dxa"/>
              <w:end w:w="100" w:type="dxa"/>
            </w:tcMar>
          </w:tcPr>
          <w:p>
            <w:r>
              <w:rPr>
                <w:rFonts w:ascii="Aptos" w:hAnsi="Aptos"/>
                <w:b/>
                <w:color w:val="FFFFFF"/>
                <w:sz w:val="18"/>
              </w:rPr>
              <w:t>Action</w:t>
            </w:r>
          </w:p>
        </w:tc>
        <w:tc>
          <w:tcPr>
            <w:tcW w:type="dxa" w:w="3384"/>
            <w:shd w:fill="1F4E78"/>
            <w:vAlign w:val="center"/>
            <w:tcMar>
              <w:top w:w="100" w:type="dxa"/>
              <w:start w:w="100" w:type="dxa"/>
              <w:bottom w:w="100" w:type="dxa"/>
              <w:end w:w="100" w:type="dxa"/>
            </w:tcMar>
          </w:tcPr>
          <w:p>
            <w:r>
              <w:rPr>
                <w:rFonts w:ascii="Aptos" w:hAnsi="Aptos"/>
                <w:b/>
                <w:color w:val="FFFFFF"/>
                <w:sz w:val="18"/>
              </w:rPr>
              <w:t>Leadership purpose</w:t>
            </w:r>
          </w:p>
        </w:tc>
        <w:tc>
          <w:tcPr>
            <w:tcW w:type="dxa" w:w="4176"/>
            <w:shd w:fill="1F4E78"/>
            <w:vAlign w:val="center"/>
            <w:tcMar>
              <w:top w:w="100" w:type="dxa"/>
              <w:start w:w="100" w:type="dxa"/>
              <w:bottom w:w="100" w:type="dxa"/>
              <w:end w:w="100" w:type="dxa"/>
            </w:tcMar>
          </w:tcPr>
          <w:p>
            <w:r>
              <w:rPr>
                <w:rFonts w:ascii="Aptos" w:hAnsi="Aptos"/>
                <w:b/>
                <w:color w:val="FFFFFF"/>
                <w:sz w:val="18"/>
              </w:rPr>
              <w:t>Minimum evidence</w:t>
            </w:r>
          </w:p>
        </w:tc>
      </w:tr>
      <w:tr>
        <w:tc>
          <w:tcPr>
            <w:tcW w:type="dxa" w:w="1944"/>
            <w:vAlign w:val="center"/>
            <w:tcMar>
              <w:top w:w="100" w:type="dxa"/>
              <w:start w:w="100" w:type="dxa"/>
              <w:bottom w:w="100" w:type="dxa"/>
              <w:end w:w="100" w:type="dxa"/>
            </w:tcMar>
          </w:tcPr>
          <w:p>
            <w:pPr>
              <w:spacing w:after="40" w:line="240" w:lineRule="auto"/>
            </w:pPr>
            <w:r>
              <w:rPr>
                <w:rFonts w:ascii="Aptos" w:hAnsi="Aptos"/>
                <w:color w:val="000000"/>
                <w:sz w:val="17"/>
              </w:rPr>
              <w:t>1 Scope one decision chain</w:t>
            </w:r>
          </w:p>
        </w:tc>
        <w:tc>
          <w:tcPr>
            <w:tcW w:type="dxa" w:w="3384"/>
            <w:vAlign w:val="center"/>
            <w:tcMar>
              <w:top w:w="100" w:type="dxa"/>
              <w:start w:w="100" w:type="dxa"/>
              <w:bottom w:w="100" w:type="dxa"/>
              <w:end w:w="100" w:type="dxa"/>
            </w:tcMar>
          </w:tcPr>
          <w:p>
            <w:pPr>
              <w:spacing w:after="40" w:line="240" w:lineRule="auto"/>
            </w:pPr>
            <w:r>
              <w:rPr>
                <w:rFonts w:ascii="Aptos" w:hAnsi="Aptos"/>
                <w:color w:val="000000"/>
                <w:sz w:val="17"/>
              </w:rPr>
              <w:t>Keep the diagnostic tied to a public decision and deadline.</w:t>
            </w:r>
          </w:p>
        </w:tc>
        <w:tc>
          <w:tcPr>
            <w:tcW w:type="dxa" w:w="4176"/>
            <w:vAlign w:val="center"/>
            <w:tcMar>
              <w:top w:w="100" w:type="dxa"/>
              <w:start w:w="100" w:type="dxa"/>
              <w:bottom w:w="100" w:type="dxa"/>
              <w:end w:w="100" w:type="dxa"/>
            </w:tcMar>
          </w:tcPr>
          <w:p>
            <w:pPr>
              <w:spacing w:after="40" w:line="240" w:lineRule="auto"/>
            </w:pPr>
            <w:r>
              <w:rPr>
                <w:rFonts w:ascii="Aptos" w:hAnsi="Aptos"/>
                <w:color w:val="000000"/>
                <w:sz w:val="17"/>
              </w:rPr>
              <w:t>Named user, product, population, geography, reference period and consequence of error.</w:t>
            </w:r>
          </w:p>
        </w:tc>
      </w:tr>
      <w:tr>
        <w:tc>
          <w:tcPr>
            <w:tcW w:type="dxa" w:w="1944"/>
            <w:vAlign w:val="center"/>
            <w:tcMar>
              <w:top w:w="100" w:type="dxa"/>
              <w:start w:w="100" w:type="dxa"/>
              <w:bottom w:w="100" w:type="dxa"/>
              <w:end w:w="100" w:type="dxa"/>
            </w:tcMar>
            <w:shd w:fill="EAF2F8"/>
          </w:tcPr>
          <w:p>
            <w:pPr>
              <w:spacing w:after="40" w:line="240" w:lineRule="auto"/>
            </w:pPr>
            <w:r>
              <w:rPr>
                <w:rFonts w:ascii="Aptos" w:hAnsi="Aptos"/>
                <w:color w:val="000000"/>
                <w:sz w:val="17"/>
              </w:rPr>
              <w:t>2 Name accountable roles</w:t>
            </w:r>
          </w:p>
        </w:tc>
        <w:tc>
          <w:tcPr>
            <w:tcW w:type="dxa" w:w="3384"/>
            <w:vAlign w:val="center"/>
            <w:tcMar>
              <w:top w:w="100" w:type="dxa"/>
              <w:start w:w="100" w:type="dxa"/>
              <w:bottom w:w="100" w:type="dxa"/>
              <w:end w:w="100" w:type="dxa"/>
            </w:tcMar>
            <w:shd w:fill="EAF2F8"/>
          </w:tcPr>
          <w:p>
            <w:pPr>
              <w:spacing w:after="40" w:line="240" w:lineRule="auto"/>
            </w:pPr>
            <w:r>
              <w:rPr>
                <w:rFonts w:ascii="Aptos" w:hAnsi="Aptos"/>
                <w:color w:val="000000"/>
                <w:sz w:val="17"/>
              </w:rPr>
              <w:t>Separate source ownership, production, methods, coordination, technology and release authority.</w:t>
            </w:r>
          </w:p>
        </w:tc>
        <w:tc>
          <w:tcPr>
            <w:tcW w:type="dxa" w:w="4176"/>
            <w:vAlign w:val="center"/>
            <w:tcMar>
              <w:top w:w="100" w:type="dxa"/>
              <w:start w:w="100" w:type="dxa"/>
              <w:bottom w:w="100" w:type="dxa"/>
              <w:end w:w="100" w:type="dxa"/>
            </w:tcMar>
            <w:shd w:fill="EAF2F8"/>
          </w:tcPr>
          <w:p>
            <w:pPr>
              <w:spacing w:after="40" w:line="240" w:lineRule="auto"/>
            </w:pPr>
            <w:r>
              <w:rPr>
                <w:rFonts w:ascii="Aptos" w:hAnsi="Aptos"/>
                <w:color w:val="000000"/>
                <w:sz w:val="17"/>
              </w:rPr>
              <w:t>Mandate references, responsible roles and unresolved authority questions.</w:t>
            </w:r>
          </w:p>
        </w:tc>
      </w:tr>
      <w:tr>
        <w:tc>
          <w:tcPr>
            <w:tcW w:type="dxa" w:w="1944"/>
            <w:vAlign w:val="center"/>
            <w:tcMar>
              <w:top w:w="100" w:type="dxa"/>
              <w:start w:w="100" w:type="dxa"/>
              <w:bottom w:w="100" w:type="dxa"/>
              <w:end w:w="100" w:type="dxa"/>
            </w:tcMar>
          </w:tcPr>
          <w:p>
            <w:pPr>
              <w:spacing w:after="40" w:line="240" w:lineRule="auto"/>
            </w:pPr>
            <w:r>
              <w:rPr>
                <w:rFonts w:ascii="Aptos" w:hAnsi="Aptos"/>
                <w:color w:val="000000"/>
                <w:sz w:val="17"/>
              </w:rPr>
              <w:t>3 Map critical assets and flows</w:t>
            </w:r>
          </w:p>
        </w:tc>
        <w:tc>
          <w:tcPr>
            <w:tcW w:type="dxa" w:w="3384"/>
            <w:vAlign w:val="center"/>
            <w:tcMar>
              <w:top w:w="100" w:type="dxa"/>
              <w:start w:w="100" w:type="dxa"/>
              <w:bottom w:w="100" w:type="dxa"/>
              <w:end w:w="100" w:type="dxa"/>
            </w:tcMar>
          </w:tcPr>
          <w:p>
            <w:pPr>
              <w:spacing w:after="40" w:line="240" w:lineRule="auto"/>
            </w:pPr>
            <w:r>
              <w:rPr>
                <w:rFonts w:ascii="Aptos" w:hAnsi="Aptos"/>
                <w:color w:val="000000"/>
                <w:sz w:val="17"/>
              </w:rPr>
              <w:t>Expose where meaning, quality, time or accountability is lost.</w:t>
            </w:r>
          </w:p>
        </w:tc>
        <w:tc>
          <w:tcPr>
            <w:tcW w:type="dxa" w:w="4176"/>
            <w:vAlign w:val="center"/>
            <w:tcMar>
              <w:top w:w="100" w:type="dxa"/>
              <w:start w:w="100" w:type="dxa"/>
              <w:bottom w:w="100" w:type="dxa"/>
              <w:end w:w="100" w:type="dxa"/>
            </w:tcMar>
          </w:tcPr>
          <w:p>
            <w:pPr>
              <w:spacing w:after="40" w:line="240" w:lineRule="auto"/>
            </w:pPr>
            <w:r>
              <w:rPr>
                <w:rFonts w:ascii="Aptos" w:hAnsi="Aptos"/>
                <w:color w:val="000000"/>
                <w:sz w:val="17"/>
              </w:rPr>
              <w:t>Stable identifiers, provenance, handoffs, transformations, controls, delays and fallback.</w:t>
            </w:r>
          </w:p>
        </w:tc>
      </w:tr>
      <w:tr>
        <w:tc>
          <w:tcPr>
            <w:tcW w:type="dxa" w:w="1944"/>
            <w:vAlign w:val="center"/>
            <w:tcMar>
              <w:top w:w="100" w:type="dxa"/>
              <w:start w:w="100" w:type="dxa"/>
              <w:bottom w:w="100" w:type="dxa"/>
              <w:end w:w="100" w:type="dxa"/>
            </w:tcMar>
            <w:shd w:fill="EAF2F8"/>
          </w:tcPr>
          <w:p>
            <w:pPr>
              <w:spacing w:after="40" w:line="240" w:lineRule="auto"/>
            </w:pPr>
            <w:r>
              <w:rPr>
                <w:rFonts w:ascii="Aptos" w:hAnsi="Aptos"/>
                <w:color w:val="000000"/>
                <w:sz w:val="17"/>
              </w:rPr>
              <w:t>4 Resolve priority dependencies</w:t>
            </w:r>
          </w:p>
        </w:tc>
        <w:tc>
          <w:tcPr>
            <w:tcW w:type="dxa" w:w="3384"/>
            <w:vAlign w:val="center"/>
            <w:tcMar>
              <w:top w:w="100" w:type="dxa"/>
              <w:start w:w="100" w:type="dxa"/>
              <w:bottom w:w="100" w:type="dxa"/>
              <w:end w:w="100" w:type="dxa"/>
            </w:tcMar>
            <w:shd w:fill="EAF2F8"/>
          </w:tcPr>
          <w:p>
            <w:pPr>
              <w:spacing w:after="40" w:line="240" w:lineRule="auto"/>
            </w:pPr>
            <w:r>
              <w:rPr>
                <w:rFonts w:ascii="Aptos" w:hAnsi="Aptos"/>
                <w:color w:val="000000"/>
                <w:sz w:val="17"/>
              </w:rPr>
              <w:t>Avoid using AI to conceal weak metadata, access or coordination.</w:t>
            </w:r>
          </w:p>
        </w:tc>
        <w:tc>
          <w:tcPr>
            <w:tcW w:type="dxa" w:w="4176"/>
            <w:vAlign w:val="center"/>
            <w:tcMar>
              <w:top w:w="100" w:type="dxa"/>
              <w:start w:w="100" w:type="dxa"/>
              <w:bottom w:w="100" w:type="dxa"/>
              <w:end w:w="100" w:type="dxa"/>
            </w:tcMar>
            <w:shd w:fill="EAF2F8"/>
          </w:tcPr>
          <w:p>
            <w:pPr>
              <w:spacing w:after="40" w:line="240" w:lineRule="auto"/>
            </w:pPr>
            <w:r>
              <w:rPr>
                <w:rFonts w:ascii="Aptos" w:hAnsi="Aptos"/>
                <w:color w:val="000000"/>
                <w:sz w:val="17"/>
              </w:rPr>
              <w:t>Action owners, deadlines and verification evidence.</w:t>
            </w:r>
          </w:p>
        </w:tc>
      </w:tr>
      <w:tr>
        <w:tc>
          <w:tcPr>
            <w:tcW w:type="dxa" w:w="1944"/>
            <w:vAlign w:val="center"/>
            <w:tcMar>
              <w:top w:w="100" w:type="dxa"/>
              <w:start w:w="100" w:type="dxa"/>
              <w:bottom w:w="100" w:type="dxa"/>
              <w:end w:w="100" w:type="dxa"/>
            </w:tcMar>
          </w:tcPr>
          <w:p>
            <w:pPr>
              <w:spacing w:after="40" w:line="240" w:lineRule="auto"/>
            </w:pPr>
            <w:r>
              <w:rPr>
                <w:rFonts w:ascii="Aptos" w:hAnsi="Aptos"/>
                <w:color w:val="000000"/>
                <w:sz w:val="17"/>
              </w:rPr>
              <w:t>5 Gate any AI pilot</w:t>
            </w:r>
          </w:p>
        </w:tc>
        <w:tc>
          <w:tcPr>
            <w:tcW w:type="dxa" w:w="3384"/>
            <w:vAlign w:val="center"/>
            <w:tcMar>
              <w:top w:w="100" w:type="dxa"/>
              <w:start w:w="100" w:type="dxa"/>
              <w:bottom w:w="100" w:type="dxa"/>
              <w:end w:w="100" w:type="dxa"/>
            </w:tcMar>
          </w:tcPr>
          <w:p>
            <w:pPr>
              <w:spacing w:after="40" w:line="240" w:lineRule="auto"/>
            </w:pPr>
            <w:r>
              <w:rPr>
                <w:rFonts w:ascii="Aptos" w:hAnsi="Aptos"/>
                <w:color w:val="000000"/>
                <w:sz w:val="17"/>
              </w:rPr>
              <w:t>Protect official-statistics quality and public trust.</w:t>
            </w:r>
          </w:p>
        </w:tc>
        <w:tc>
          <w:tcPr>
            <w:tcW w:type="dxa" w:w="4176"/>
            <w:vAlign w:val="center"/>
            <w:tcMar>
              <w:top w:w="100" w:type="dxa"/>
              <w:start w:w="100" w:type="dxa"/>
              <w:bottom w:w="100" w:type="dxa"/>
              <w:end w:w="100" w:type="dxa"/>
            </w:tcMar>
          </w:tcPr>
          <w:p>
            <w:pPr>
              <w:spacing w:after="40" w:line="240" w:lineRule="auto"/>
            </w:pPr>
            <w:r>
              <w:rPr>
                <w:rFonts w:ascii="Aptos" w:hAnsi="Aptos"/>
                <w:color w:val="000000"/>
                <w:sz w:val="17"/>
              </w:rPr>
              <w:t>Baseline, benchmark, human review, security boundary, stop rules and funded operating model.</w:t>
            </w:r>
          </w:p>
        </w:tc>
      </w:tr>
    </w:tbl>
    <w:p>
      <w:pPr>
        <w:spacing w:after="20"/>
      </w:pPr>
    </w:p>
    <w:p>
      <w:pPr>
        <w:pStyle w:val="Heading1"/>
      </w:pPr>
      <w:r>
        <w:t>The institutional shift</w:t>
      </w:r>
    </w:p>
    <w:p>
      <w:r>
        <w:t>An organization chart shows where units sit. An ecosystem map shows how information actually moves and where responsibility changes. One institution may own operational records, another may produce statistics, another may approve methods, and another may operate the technical platform. When these roles are collapsed into a single institutional label, accountability gaps and competing claims remain hidden.</w:t>
      </w:r>
    </w:p>
    <w:tbl>
      <w:tblPr>
        <w:tblW w:type="auto" w:w="0"/>
        <w:tblLayout w:type="autofit"/>
        <w:tblLook w:firstColumn="1" w:firstRow="1" w:lastColumn="0" w:lastRow="0" w:noHBand="0" w:noVBand="1" w:val="04A0"/>
      </w:tblPr>
      <w:tblGrid>
        <w:gridCol w:w="4939"/>
        <w:gridCol w:w="4939"/>
      </w:tblGrid>
      <w:tr>
        <w:trPr>
          <w:tblHeader/>
        </w:trPr>
        <w:tc>
          <w:tcPr>
            <w:tcW w:type="dxa" w:w="2376"/>
            <w:shd w:fill="1F4E78"/>
            <w:vAlign w:val="center"/>
            <w:tcMar>
              <w:top w:w="100" w:type="dxa"/>
              <w:start w:w="100" w:type="dxa"/>
              <w:bottom w:w="100" w:type="dxa"/>
              <w:end w:w="100" w:type="dxa"/>
            </w:tcMar>
          </w:tcPr>
          <w:p>
            <w:r>
              <w:rPr>
                <w:rFonts w:ascii="Aptos" w:hAnsi="Aptos"/>
                <w:b/>
                <w:color w:val="FFFFFF"/>
                <w:sz w:val="18"/>
              </w:rPr>
              <w:t>Role</w:t>
            </w:r>
          </w:p>
        </w:tc>
        <w:tc>
          <w:tcPr>
            <w:tcW w:type="dxa" w:w="7200"/>
            <w:shd w:fill="1F4E78"/>
            <w:vAlign w:val="center"/>
            <w:tcMar>
              <w:top w:w="100" w:type="dxa"/>
              <w:start w:w="100" w:type="dxa"/>
              <w:bottom w:w="100" w:type="dxa"/>
              <w:end w:w="100" w:type="dxa"/>
            </w:tcMar>
          </w:tcPr>
          <w:p>
            <w:r>
              <w:rPr>
                <w:rFonts w:ascii="Aptos" w:hAnsi="Aptos"/>
                <w:b/>
                <w:color w:val="FFFFFF"/>
                <w:sz w:val="18"/>
              </w:rPr>
              <w:t>Executive question</w:t>
            </w:r>
          </w:p>
        </w:tc>
      </w:tr>
      <w:tr>
        <w:tc>
          <w:tcPr>
            <w:tcW w:type="dxa" w:w="2376"/>
            <w:vAlign w:val="center"/>
            <w:tcMar>
              <w:top w:w="100" w:type="dxa"/>
              <w:start w:w="100" w:type="dxa"/>
              <w:bottom w:w="100" w:type="dxa"/>
              <w:end w:w="100" w:type="dxa"/>
            </w:tcMar>
          </w:tcPr>
          <w:p>
            <w:pPr>
              <w:spacing w:after="40" w:line="240" w:lineRule="auto"/>
            </w:pPr>
            <w:r>
              <w:rPr>
                <w:rFonts w:ascii="Aptos" w:hAnsi="Aptos"/>
                <w:color w:val="000000"/>
                <w:sz w:val="17"/>
              </w:rPr>
              <w:t>Source owner</w:t>
            </w:r>
          </w:p>
        </w:tc>
        <w:tc>
          <w:tcPr>
            <w:tcW w:type="dxa" w:w="7200"/>
            <w:vAlign w:val="center"/>
            <w:tcMar>
              <w:top w:w="100" w:type="dxa"/>
              <w:start w:w="100" w:type="dxa"/>
              <w:bottom w:w="100" w:type="dxa"/>
              <w:end w:w="100" w:type="dxa"/>
            </w:tcMar>
          </w:tcPr>
          <w:p>
            <w:pPr>
              <w:spacing w:after="40" w:line="240" w:lineRule="auto"/>
            </w:pPr>
            <w:r>
              <w:rPr>
                <w:rFonts w:ascii="Aptos" w:hAnsi="Aptos"/>
                <w:color w:val="000000"/>
                <w:sz w:val="17"/>
              </w:rPr>
              <w:t>Who controls the original operational or observed data?</w:t>
            </w:r>
          </w:p>
        </w:tc>
      </w:tr>
      <w:tr>
        <w:tc>
          <w:tcPr>
            <w:tcW w:type="dxa" w:w="2376"/>
            <w:vAlign w:val="center"/>
            <w:tcMar>
              <w:top w:w="100" w:type="dxa"/>
              <w:start w:w="100" w:type="dxa"/>
              <w:bottom w:w="100" w:type="dxa"/>
              <w:end w:w="100" w:type="dxa"/>
            </w:tcMar>
            <w:shd w:fill="EAF2F8"/>
          </w:tcPr>
          <w:p>
            <w:pPr>
              <w:spacing w:after="40" w:line="240" w:lineRule="auto"/>
            </w:pPr>
            <w:r>
              <w:rPr>
                <w:rFonts w:ascii="Aptos" w:hAnsi="Aptos"/>
                <w:color w:val="000000"/>
                <w:sz w:val="17"/>
              </w:rPr>
              <w:t>Statistical producer</w:t>
            </w:r>
          </w:p>
        </w:tc>
        <w:tc>
          <w:tcPr>
            <w:tcW w:type="dxa" w:w="7200"/>
            <w:vAlign w:val="center"/>
            <w:tcMar>
              <w:top w:w="100" w:type="dxa"/>
              <w:start w:w="100" w:type="dxa"/>
              <w:bottom w:w="100" w:type="dxa"/>
              <w:end w:w="100" w:type="dxa"/>
            </w:tcMar>
            <w:shd w:fill="EAF2F8"/>
          </w:tcPr>
          <w:p>
            <w:pPr>
              <w:spacing w:after="40" w:line="240" w:lineRule="auto"/>
            </w:pPr>
            <w:r>
              <w:rPr>
                <w:rFonts w:ascii="Aptos" w:hAnsi="Aptos"/>
                <w:color w:val="000000"/>
                <w:sz w:val="17"/>
              </w:rPr>
              <w:t>Who transforms sources into a statistical output?</w:t>
            </w:r>
          </w:p>
        </w:tc>
      </w:tr>
      <w:tr>
        <w:tc>
          <w:tcPr>
            <w:tcW w:type="dxa" w:w="2376"/>
            <w:vAlign w:val="center"/>
            <w:tcMar>
              <w:top w:w="100" w:type="dxa"/>
              <w:start w:w="100" w:type="dxa"/>
              <w:bottom w:w="100" w:type="dxa"/>
              <w:end w:w="100" w:type="dxa"/>
            </w:tcMar>
          </w:tcPr>
          <w:p>
            <w:pPr>
              <w:spacing w:after="40" w:line="240" w:lineRule="auto"/>
            </w:pPr>
            <w:r>
              <w:rPr>
                <w:rFonts w:ascii="Aptos" w:hAnsi="Aptos"/>
                <w:color w:val="000000"/>
                <w:sz w:val="17"/>
              </w:rPr>
              <w:t>Methodological authority</w:t>
            </w:r>
          </w:p>
        </w:tc>
        <w:tc>
          <w:tcPr>
            <w:tcW w:type="dxa" w:w="7200"/>
            <w:vAlign w:val="center"/>
            <w:tcMar>
              <w:top w:w="100" w:type="dxa"/>
              <w:start w:w="100" w:type="dxa"/>
              <w:bottom w:w="100" w:type="dxa"/>
              <w:end w:w="100" w:type="dxa"/>
            </w:tcMar>
          </w:tcPr>
          <w:p>
            <w:pPr>
              <w:spacing w:after="40" w:line="240" w:lineRule="auto"/>
            </w:pPr>
            <w:r>
              <w:rPr>
                <w:rFonts w:ascii="Aptos" w:hAnsi="Aptos"/>
                <w:color w:val="000000"/>
                <w:sz w:val="17"/>
              </w:rPr>
              <w:t>Who approves concepts, methods, revisions and release?</w:t>
            </w:r>
          </w:p>
        </w:tc>
      </w:tr>
      <w:tr>
        <w:tc>
          <w:tcPr>
            <w:tcW w:type="dxa" w:w="2376"/>
            <w:vAlign w:val="center"/>
            <w:tcMar>
              <w:top w:w="100" w:type="dxa"/>
              <w:start w:w="100" w:type="dxa"/>
              <w:bottom w:w="100" w:type="dxa"/>
              <w:end w:w="100" w:type="dxa"/>
            </w:tcMar>
            <w:shd w:fill="EAF2F8"/>
          </w:tcPr>
          <w:p>
            <w:pPr>
              <w:spacing w:after="40" w:line="240" w:lineRule="auto"/>
            </w:pPr>
            <w:r>
              <w:rPr>
                <w:rFonts w:ascii="Aptos" w:hAnsi="Aptos"/>
                <w:color w:val="000000"/>
                <w:sz w:val="17"/>
              </w:rPr>
              <w:t>Steward</w:t>
            </w:r>
          </w:p>
        </w:tc>
        <w:tc>
          <w:tcPr>
            <w:tcW w:type="dxa" w:w="7200"/>
            <w:vAlign w:val="center"/>
            <w:tcMar>
              <w:top w:w="100" w:type="dxa"/>
              <w:start w:w="100" w:type="dxa"/>
              <w:bottom w:w="100" w:type="dxa"/>
              <w:end w:w="100" w:type="dxa"/>
            </w:tcMar>
            <w:shd w:fill="EAF2F8"/>
          </w:tcPr>
          <w:p>
            <w:pPr>
              <w:spacing w:after="40" w:line="240" w:lineRule="auto"/>
            </w:pPr>
            <w:r>
              <w:rPr>
                <w:rFonts w:ascii="Aptos" w:hAnsi="Aptos"/>
                <w:color w:val="000000"/>
                <w:sz w:val="17"/>
              </w:rPr>
              <w:t>Who maintains metadata, access rules, quality evidence and change communication?</w:t>
            </w:r>
          </w:p>
        </w:tc>
      </w:tr>
      <w:tr>
        <w:tc>
          <w:tcPr>
            <w:tcW w:type="dxa" w:w="2376"/>
            <w:vAlign w:val="center"/>
            <w:tcMar>
              <w:top w:w="100" w:type="dxa"/>
              <w:start w:w="100" w:type="dxa"/>
              <w:bottom w:w="100" w:type="dxa"/>
              <w:end w:w="100" w:type="dxa"/>
            </w:tcMar>
          </w:tcPr>
          <w:p>
            <w:pPr>
              <w:spacing w:after="40" w:line="240" w:lineRule="auto"/>
            </w:pPr>
            <w:r>
              <w:rPr>
                <w:rFonts w:ascii="Aptos" w:hAnsi="Aptos"/>
                <w:color w:val="000000"/>
                <w:sz w:val="17"/>
              </w:rPr>
              <w:t>Coordinator</w:t>
            </w:r>
          </w:p>
        </w:tc>
        <w:tc>
          <w:tcPr>
            <w:tcW w:type="dxa" w:w="7200"/>
            <w:vAlign w:val="center"/>
            <w:tcMar>
              <w:top w:w="100" w:type="dxa"/>
              <w:start w:w="100" w:type="dxa"/>
              <w:bottom w:w="100" w:type="dxa"/>
              <w:end w:w="100" w:type="dxa"/>
            </w:tcMar>
          </w:tcPr>
          <w:p>
            <w:pPr>
              <w:spacing w:after="40" w:line="240" w:lineRule="auto"/>
            </w:pPr>
            <w:r>
              <w:rPr>
                <w:rFonts w:ascii="Aptos" w:hAnsi="Aptos"/>
                <w:color w:val="000000"/>
                <w:sz w:val="17"/>
              </w:rPr>
              <w:t>Who resolves duplication and sets common standards?</w:t>
            </w:r>
          </w:p>
        </w:tc>
      </w:tr>
      <w:tr>
        <w:tc>
          <w:tcPr>
            <w:tcW w:type="dxa" w:w="2376"/>
            <w:vAlign w:val="center"/>
            <w:tcMar>
              <w:top w:w="100" w:type="dxa"/>
              <w:start w:w="100" w:type="dxa"/>
              <w:bottom w:w="100" w:type="dxa"/>
              <w:end w:w="100" w:type="dxa"/>
            </w:tcMar>
            <w:shd w:fill="EAF2F8"/>
          </w:tcPr>
          <w:p>
            <w:pPr>
              <w:spacing w:after="40" w:line="240" w:lineRule="auto"/>
            </w:pPr>
            <w:r>
              <w:rPr>
                <w:rFonts w:ascii="Aptos" w:hAnsi="Aptos"/>
                <w:color w:val="000000"/>
                <w:sz w:val="17"/>
              </w:rPr>
              <w:t>Technology provider</w:t>
            </w:r>
          </w:p>
        </w:tc>
        <w:tc>
          <w:tcPr>
            <w:tcW w:type="dxa" w:w="7200"/>
            <w:vAlign w:val="center"/>
            <w:tcMar>
              <w:top w:w="100" w:type="dxa"/>
              <w:start w:w="100" w:type="dxa"/>
              <w:bottom w:w="100" w:type="dxa"/>
              <w:end w:w="100" w:type="dxa"/>
            </w:tcMar>
            <w:shd w:fill="EAF2F8"/>
          </w:tcPr>
          <w:p>
            <w:pPr>
              <w:spacing w:after="40" w:line="240" w:lineRule="auto"/>
            </w:pPr>
            <w:r>
              <w:rPr>
                <w:rFonts w:ascii="Aptos" w:hAnsi="Aptos"/>
                <w:color w:val="000000"/>
                <w:sz w:val="17"/>
              </w:rPr>
              <w:t>Who operates infrastructure, models and support?</w:t>
            </w:r>
          </w:p>
        </w:tc>
      </w:tr>
      <w:tr>
        <w:tc>
          <w:tcPr>
            <w:tcW w:type="dxa" w:w="2376"/>
            <w:vAlign w:val="center"/>
            <w:tcMar>
              <w:top w:w="100" w:type="dxa"/>
              <w:start w:w="100" w:type="dxa"/>
              <w:bottom w:w="100" w:type="dxa"/>
              <w:end w:w="100" w:type="dxa"/>
            </w:tcMar>
          </w:tcPr>
          <w:p>
            <w:pPr>
              <w:spacing w:after="40" w:line="240" w:lineRule="auto"/>
            </w:pPr>
            <w:r>
              <w:rPr>
                <w:rFonts w:ascii="Aptos" w:hAnsi="Aptos"/>
                <w:color w:val="000000"/>
                <w:sz w:val="17"/>
              </w:rPr>
              <w:t>Oversight body</w:t>
            </w:r>
          </w:p>
        </w:tc>
        <w:tc>
          <w:tcPr>
            <w:tcW w:type="dxa" w:w="7200"/>
            <w:vAlign w:val="center"/>
            <w:tcMar>
              <w:top w:w="100" w:type="dxa"/>
              <w:start w:w="100" w:type="dxa"/>
              <w:bottom w:w="100" w:type="dxa"/>
              <w:end w:w="100" w:type="dxa"/>
            </w:tcMar>
          </w:tcPr>
          <w:p>
            <w:pPr>
              <w:spacing w:after="40" w:line="240" w:lineRule="auto"/>
            </w:pPr>
            <w:r>
              <w:rPr>
                <w:rFonts w:ascii="Aptos" w:hAnsi="Aptos"/>
                <w:color w:val="000000"/>
                <w:sz w:val="17"/>
              </w:rPr>
              <w:t>Who enforces legal, confidentiality, security and ethical requirements?</w:t>
            </w:r>
          </w:p>
        </w:tc>
      </w:tr>
      <w:tr>
        <w:tc>
          <w:tcPr>
            <w:tcW w:type="dxa" w:w="2376"/>
            <w:vAlign w:val="center"/>
            <w:tcMar>
              <w:top w:w="100" w:type="dxa"/>
              <w:start w:w="100" w:type="dxa"/>
              <w:bottom w:w="100" w:type="dxa"/>
              <w:end w:w="100" w:type="dxa"/>
            </w:tcMar>
            <w:shd w:fill="EAF2F8"/>
          </w:tcPr>
          <w:p>
            <w:pPr>
              <w:spacing w:after="40" w:line="240" w:lineRule="auto"/>
            </w:pPr>
            <w:r>
              <w:rPr>
                <w:rFonts w:ascii="Aptos" w:hAnsi="Aptos"/>
                <w:color w:val="000000"/>
                <w:sz w:val="17"/>
              </w:rPr>
              <w:t>User or affected group</w:t>
            </w:r>
          </w:p>
        </w:tc>
        <w:tc>
          <w:tcPr>
            <w:tcW w:type="dxa" w:w="7200"/>
            <w:vAlign w:val="center"/>
            <w:tcMar>
              <w:top w:w="100" w:type="dxa"/>
              <w:start w:w="100" w:type="dxa"/>
              <w:bottom w:w="100" w:type="dxa"/>
              <w:end w:w="100" w:type="dxa"/>
            </w:tcMar>
            <w:shd w:fill="EAF2F8"/>
          </w:tcPr>
          <w:p>
            <w:pPr>
              <w:spacing w:after="40" w:line="240" w:lineRule="auto"/>
            </w:pPr>
            <w:r>
              <w:rPr>
                <w:rFonts w:ascii="Aptos" w:hAnsi="Aptos"/>
                <w:color w:val="000000"/>
                <w:sz w:val="17"/>
              </w:rPr>
              <w:t>Who makes decisions or bears the consequences?</w:t>
            </w:r>
          </w:p>
        </w:tc>
      </w:tr>
    </w:tbl>
    <w:p>
      <w:pPr>
        <w:spacing w:after="20"/>
      </w:pPr>
    </w:p>
    <w:p>
      <w:pPr>
        <w:pStyle w:val="Heading2"/>
      </w:pPr>
      <w:r>
        <w:t>Evidence discipline</w:t>
      </w:r>
    </w:p>
    <w:p>
      <w:r>
        <w:t>Every material claim should be marked as evidenced, reported or unknown. Unknown is a legitimate diagnostic result. It identifies the evidence owner and prevents informed opinion from becoming an institutional fact.</w:t>
      </w:r>
    </w:p>
    <w:p>
      <w:pPr>
        <w:pStyle w:val="Heading1"/>
      </w:pPr>
      <w:r>
        <w:t>Priority risk picture</w:t>
      </w:r>
    </w:p>
    <w:tbl>
      <w:tblPr>
        <w:tblW w:type="auto" w:w="0"/>
        <w:tblLayout w:type="autofit"/>
        <w:tblLook w:firstColumn="1" w:firstRow="1" w:lastColumn="0" w:lastRow="0" w:noHBand="0" w:noVBand="1" w:val="04A0"/>
      </w:tblPr>
      <w:tblGrid>
        <w:gridCol w:w="3293"/>
        <w:gridCol w:w="3293"/>
        <w:gridCol w:w="3293"/>
      </w:tblGrid>
      <w:tr>
        <w:trPr>
          <w:tblHeader/>
        </w:trPr>
        <w:tc>
          <w:tcPr>
            <w:tcW w:type="dxa" w:w="2088"/>
            <w:shd w:fill="1F4E78"/>
            <w:vAlign w:val="center"/>
            <w:tcMar>
              <w:top w:w="100" w:type="dxa"/>
              <w:start w:w="100" w:type="dxa"/>
              <w:bottom w:w="100" w:type="dxa"/>
              <w:end w:w="100" w:type="dxa"/>
            </w:tcMar>
          </w:tcPr>
          <w:p>
            <w:r>
              <w:rPr>
                <w:rFonts w:ascii="Aptos" w:hAnsi="Aptos"/>
                <w:b/>
                <w:color w:val="FFFFFF"/>
                <w:sz w:val="18"/>
              </w:rPr>
              <w:t>Risk</w:t>
            </w:r>
          </w:p>
        </w:tc>
        <w:tc>
          <w:tcPr>
            <w:tcW w:type="dxa" w:w="3744"/>
            <w:shd w:fill="1F4E78"/>
            <w:vAlign w:val="center"/>
            <w:tcMar>
              <w:top w:w="100" w:type="dxa"/>
              <w:start w:w="100" w:type="dxa"/>
              <w:bottom w:w="100" w:type="dxa"/>
              <w:end w:w="100" w:type="dxa"/>
            </w:tcMar>
          </w:tcPr>
          <w:p>
            <w:r>
              <w:rPr>
                <w:rFonts w:ascii="Aptos" w:hAnsi="Aptos"/>
                <w:b/>
                <w:color w:val="FFFFFF"/>
                <w:sz w:val="18"/>
              </w:rPr>
              <w:t>Why it matters</w:t>
            </w:r>
          </w:p>
        </w:tc>
        <w:tc>
          <w:tcPr>
            <w:tcW w:type="dxa" w:w="3744"/>
            <w:shd w:fill="1F4E78"/>
            <w:vAlign w:val="center"/>
            <w:tcMar>
              <w:top w:w="100" w:type="dxa"/>
              <w:start w:w="100" w:type="dxa"/>
              <w:bottom w:w="100" w:type="dxa"/>
              <w:end w:w="100" w:type="dxa"/>
            </w:tcMar>
          </w:tcPr>
          <w:p>
            <w:r>
              <w:rPr>
                <w:rFonts w:ascii="Aptos" w:hAnsi="Aptos"/>
                <w:b/>
                <w:color w:val="FFFFFF"/>
                <w:sz w:val="18"/>
              </w:rPr>
              <w:t>Immediate control</w:t>
            </w:r>
          </w:p>
        </w:tc>
      </w:tr>
      <w:tr>
        <w:tc>
          <w:tcPr>
            <w:tcW w:type="dxa" w:w="2088"/>
            <w:vAlign w:val="center"/>
            <w:tcMar>
              <w:top w:w="100" w:type="dxa"/>
              <w:start w:w="100" w:type="dxa"/>
              <w:bottom w:w="100" w:type="dxa"/>
              <w:end w:w="100" w:type="dxa"/>
            </w:tcMar>
          </w:tcPr>
          <w:p>
            <w:pPr>
              <w:spacing w:after="40" w:line="240" w:lineRule="auto"/>
            </w:pPr>
            <w:r>
              <w:rPr>
                <w:rFonts w:ascii="Aptos" w:hAnsi="Aptos"/>
                <w:color w:val="000000"/>
                <w:sz w:val="17"/>
              </w:rPr>
              <w:t>Conflicting concepts and revisions</w:t>
            </w:r>
          </w:p>
        </w:tc>
        <w:tc>
          <w:tcPr>
            <w:tcW w:type="dxa" w:w="3744"/>
            <w:vAlign w:val="center"/>
            <w:tcMar>
              <w:top w:w="100" w:type="dxa"/>
              <w:start w:w="100" w:type="dxa"/>
              <w:bottom w:w="100" w:type="dxa"/>
              <w:end w:w="100" w:type="dxa"/>
            </w:tcMar>
          </w:tcPr>
          <w:p>
            <w:pPr>
              <w:spacing w:after="40" w:line="240" w:lineRule="auto"/>
            </w:pPr>
            <w:r>
              <w:rPr>
                <w:rFonts w:ascii="Aptos" w:hAnsi="Aptos"/>
                <w:color w:val="000000"/>
                <w:sz w:val="17"/>
              </w:rPr>
              <w:t>Different estimates can both appear official while measuring different things.</w:t>
            </w:r>
          </w:p>
        </w:tc>
        <w:tc>
          <w:tcPr>
            <w:tcW w:type="dxa" w:w="3744"/>
            <w:vAlign w:val="center"/>
            <w:tcMar>
              <w:top w:w="100" w:type="dxa"/>
              <w:start w:w="100" w:type="dxa"/>
              <w:bottom w:w="100" w:type="dxa"/>
              <w:end w:w="100" w:type="dxa"/>
            </w:tcMar>
          </w:tcPr>
          <w:p>
            <w:pPr>
              <w:spacing w:after="40" w:line="240" w:lineRule="auto"/>
            </w:pPr>
            <w:r>
              <w:rPr>
                <w:rFonts w:ascii="Aptos" w:hAnsi="Aptos"/>
                <w:color w:val="000000"/>
                <w:sz w:val="17"/>
              </w:rPr>
              <w:t>Agree definitions, classifications, revision status and provenance.</w:t>
            </w:r>
          </w:p>
        </w:tc>
      </w:tr>
      <w:tr>
        <w:tc>
          <w:tcPr>
            <w:tcW w:type="dxa" w:w="2088"/>
            <w:vAlign w:val="center"/>
            <w:tcMar>
              <w:top w:w="100" w:type="dxa"/>
              <w:start w:w="100" w:type="dxa"/>
              <w:bottom w:w="100" w:type="dxa"/>
              <w:end w:w="100" w:type="dxa"/>
            </w:tcMar>
            <w:shd w:fill="EAF2F8"/>
          </w:tcPr>
          <w:p>
            <w:pPr>
              <w:spacing w:after="40" w:line="240" w:lineRule="auto"/>
            </w:pPr>
            <w:r>
              <w:rPr>
                <w:rFonts w:ascii="Aptos" w:hAnsi="Aptos"/>
                <w:color w:val="000000"/>
                <w:sz w:val="17"/>
              </w:rPr>
              <w:t>Coverage and selection bias</w:t>
            </w:r>
          </w:p>
        </w:tc>
        <w:tc>
          <w:tcPr>
            <w:tcW w:type="dxa" w:w="3744"/>
            <w:vAlign w:val="center"/>
            <w:tcMar>
              <w:top w:w="100" w:type="dxa"/>
              <w:start w:w="100" w:type="dxa"/>
              <w:bottom w:w="100" w:type="dxa"/>
              <w:end w:w="100" w:type="dxa"/>
            </w:tcMar>
            <w:shd w:fill="EAF2F8"/>
          </w:tcPr>
          <w:p>
            <w:pPr>
              <w:spacing w:after="40" w:line="240" w:lineRule="auto"/>
            </w:pPr>
            <w:r>
              <w:rPr>
                <w:rFonts w:ascii="Aptos" w:hAnsi="Aptos"/>
                <w:color w:val="000000"/>
                <w:sz w:val="17"/>
              </w:rPr>
              <w:t>Timely administrative, extension, geospatial or private sources may omit critical populations.</w:t>
            </w:r>
          </w:p>
        </w:tc>
        <w:tc>
          <w:tcPr>
            <w:tcW w:type="dxa" w:w="3744"/>
            <w:vAlign w:val="center"/>
            <w:tcMar>
              <w:top w:w="100" w:type="dxa"/>
              <w:start w:w="100" w:type="dxa"/>
              <w:bottom w:w="100" w:type="dxa"/>
              <w:end w:w="100" w:type="dxa"/>
            </w:tcMar>
            <w:shd w:fill="EAF2F8"/>
          </w:tcPr>
          <w:p>
            <w:pPr>
              <w:spacing w:after="40" w:line="240" w:lineRule="auto"/>
            </w:pPr>
            <w:r>
              <w:rPr>
                <w:rFonts w:ascii="Aptos" w:hAnsi="Aptos"/>
                <w:color w:val="000000"/>
                <w:sz w:val="17"/>
              </w:rPr>
              <w:t>Measure coverage against the target population and validate by domain.</w:t>
            </w:r>
          </w:p>
        </w:tc>
      </w:tr>
      <w:tr>
        <w:tc>
          <w:tcPr>
            <w:tcW w:type="dxa" w:w="2088"/>
            <w:vAlign w:val="center"/>
            <w:tcMar>
              <w:top w:w="100" w:type="dxa"/>
              <w:start w:w="100" w:type="dxa"/>
              <w:bottom w:w="100" w:type="dxa"/>
              <w:end w:w="100" w:type="dxa"/>
            </w:tcMar>
          </w:tcPr>
          <w:p>
            <w:pPr>
              <w:spacing w:after="40" w:line="240" w:lineRule="auto"/>
            </w:pPr>
            <w:r>
              <w:rPr>
                <w:rFonts w:ascii="Aptos" w:hAnsi="Aptos"/>
                <w:color w:val="000000"/>
                <w:sz w:val="17"/>
              </w:rPr>
              <w:t>Missing identifiers</w:t>
            </w:r>
          </w:p>
        </w:tc>
        <w:tc>
          <w:tcPr>
            <w:tcW w:type="dxa" w:w="3744"/>
            <w:vAlign w:val="center"/>
            <w:tcMar>
              <w:top w:w="100" w:type="dxa"/>
              <w:start w:w="100" w:type="dxa"/>
              <w:bottom w:w="100" w:type="dxa"/>
              <w:end w:w="100" w:type="dxa"/>
            </w:tcMar>
          </w:tcPr>
          <w:p>
            <w:pPr>
              <w:spacing w:after="40" w:line="240" w:lineRule="auto"/>
            </w:pPr>
            <w:r>
              <w:rPr>
                <w:rFonts w:ascii="Aptos" w:hAnsi="Aptos"/>
                <w:color w:val="000000"/>
                <w:sz w:val="17"/>
              </w:rPr>
              <w:t>Linkage can introduce exclusions, false matches and untraceable transformations.</w:t>
            </w:r>
          </w:p>
        </w:tc>
        <w:tc>
          <w:tcPr>
            <w:tcW w:type="dxa" w:w="3744"/>
            <w:vAlign w:val="center"/>
            <w:tcMar>
              <w:top w:w="100" w:type="dxa"/>
              <w:start w:w="100" w:type="dxa"/>
              <w:bottom w:w="100" w:type="dxa"/>
              <w:end w:w="100" w:type="dxa"/>
            </w:tcMar>
          </w:tcPr>
          <w:p>
            <w:pPr>
              <w:spacing w:after="40" w:line="240" w:lineRule="auto"/>
            </w:pPr>
            <w:r>
              <w:rPr>
                <w:rFonts w:ascii="Aptos" w:hAnsi="Aptos"/>
                <w:color w:val="000000"/>
                <w:sz w:val="17"/>
              </w:rPr>
              <w:t>Establish governed linkage rules and quantify linkage error.</w:t>
            </w:r>
          </w:p>
        </w:tc>
      </w:tr>
      <w:tr>
        <w:tc>
          <w:tcPr>
            <w:tcW w:type="dxa" w:w="2088"/>
            <w:vAlign w:val="center"/>
            <w:tcMar>
              <w:top w:w="100" w:type="dxa"/>
              <w:start w:w="100" w:type="dxa"/>
              <w:bottom w:w="100" w:type="dxa"/>
              <w:end w:w="100" w:type="dxa"/>
            </w:tcMar>
            <w:shd w:fill="EAF2F8"/>
          </w:tcPr>
          <w:p>
            <w:pPr>
              <w:spacing w:after="40" w:line="240" w:lineRule="auto"/>
            </w:pPr>
            <w:r>
              <w:rPr>
                <w:rFonts w:ascii="Aptos" w:hAnsi="Aptos"/>
                <w:color w:val="000000"/>
                <w:sz w:val="17"/>
              </w:rPr>
              <w:t>Narrow pilot evidence</w:t>
            </w:r>
          </w:p>
        </w:tc>
        <w:tc>
          <w:tcPr>
            <w:tcW w:type="dxa" w:w="3744"/>
            <w:vAlign w:val="center"/>
            <w:tcMar>
              <w:top w:w="100" w:type="dxa"/>
              <w:start w:w="100" w:type="dxa"/>
              <w:bottom w:w="100" w:type="dxa"/>
              <w:end w:w="100" w:type="dxa"/>
            </w:tcMar>
            <w:shd w:fill="EAF2F8"/>
          </w:tcPr>
          <w:p>
            <w:pPr>
              <w:spacing w:after="40" w:line="240" w:lineRule="auto"/>
            </w:pPr>
            <w:r>
              <w:rPr>
                <w:rFonts w:ascii="Aptos" w:hAnsi="Aptos"/>
                <w:color w:val="000000"/>
                <w:sz w:val="17"/>
              </w:rPr>
              <w:t>High accuracy in accessible districts may not generalize nationally.</w:t>
            </w:r>
          </w:p>
        </w:tc>
        <w:tc>
          <w:tcPr>
            <w:tcW w:type="dxa" w:w="3744"/>
            <w:vAlign w:val="center"/>
            <w:tcMar>
              <w:top w:w="100" w:type="dxa"/>
              <w:start w:w="100" w:type="dxa"/>
              <w:bottom w:w="100" w:type="dxa"/>
              <w:end w:w="100" w:type="dxa"/>
            </w:tcMar>
            <w:shd w:fill="EAF2F8"/>
          </w:tcPr>
          <w:p>
            <w:pPr>
              <w:spacing w:after="40" w:line="240" w:lineRule="auto"/>
            </w:pPr>
            <w:r>
              <w:rPr>
                <w:rFonts w:ascii="Aptos" w:hAnsi="Aptos"/>
                <w:color w:val="000000"/>
                <w:sz w:val="17"/>
              </w:rPr>
              <w:t>Use independent, geographically stratified validation and explicit information boundaries.</w:t>
            </w:r>
          </w:p>
        </w:tc>
      </w:tr>
      <w:tr>
        <w:tc>
          <w:tcPr>
            <w:tcW w:type="dxa" w:w="2088"/>
            <w:vAlign w:val="center"/>
            <w:tcMar>
              <w:top w:w="100" w:type="dxa"/>
              <w:start w:w="100" w:type="dxa"/>
              <w:bottom w:w="100" w:type="dxa"/>
              <w:end w:w="100" w:type="dxa"/>
            </w:tcMar>
          </w:tcPr>
          <w:p>
            <w:pPr>
              <w:spacing w:after="40" w:line="240" w:lineRule="auto"/>
            </w:pPr>
            <w:r>
              <w:rPr>
                <w:rFonts w:ascii="Aptos" w:hAnsi="Aptos"/>
                <w:color w:val="000000"/>
                <w:sz w:val="17"/>
              </w:rPr>
              <w:t>Fragile operational capacity</w:t>
            </w:r>
          </w:p>
        </w:tc>
        <w:tc>
          <w:tcPr>
            <w:tcW w:type="dxa" w:w="3744"/>
            <w:vAlign w:val="center"/>
            <w:tcMar>
              <w:top w:w="100" w:type="dxa"/>
              <w:start w:w="100" w:type="dxa"/>
              <w:bottom w:w="100" w:type="dxa"/>
              <w:end w:w="100" w:type="dxa"/>
            </w:tcMar>
          </w:tcPr>
          <w:p>
            <w:pPr>
              <w:spacing w:after="40" w:line="240" w:lineRule="auto"/>
            </w:pPr>
            <w:r>
              <w:rPr>
                <w:rFonts w:ascii="Aptos" w:hAnsi="Aptos"/>
                <w:color w:val="000000"/>
                <w:sz w:val="17"/>
              </w:rPr>
              <w:t>A pilot may depend on one analyst, short funding or an external supplier.</w:t>
            </w:r>
          </w:p>
        </w:tc>
        <w:tc>
          <w:tcPr>
            <w:tcW w:type="dxa" w:w="3744"/>
            <w:vAlign w:val="center"/>
            <w:tcMar>
              <w:top w:w="100" w:type="dxa"/>
              <w:start w:w="100" w:type="dxa"/>
              <w:bottom w:w="100" w:type="dxa"/>
              <w:end w:w="100" w:type="dxa"/>
            </w:tcMar>
          </w:tcPr>
          <w:p>
            <w:pPr>
              <w:spacing w:after="40" w:line="240" w:lineRule="auto"/>
            </w:pPr>
            <w:r>
              <w:rPr>
                <w:rFonts w:ascii="Aptos" w:hAnsi="Aptos"/>
                <w:color w:val="000000"/>
                <w:sz w:val="17"/>
              </w:rPr>
              <w:t>Fund recurrent roles, reproducible pipelines, handover and fallback.</w:t>
            </w:r>
          </w:p>
        </w:tc>
      </w:tr>
      <w:tr>
        <w:tc>
          <w:tcPr>
            <w:tcW w:type="dxa" w:w="2088"/>
            <w:vAlign w:val="center"/>
            <w:tcMar>
              <w:top w:w="100" w:type="dxa"/>
              <w:start w:w="100" w:type="dxa"/>
              <w:bottom w:w="100" w:type="dxa"/>
              <w:end w:w="100" w:type="dxa"/>
            </w:tcMar>
            <w:shd w:fill="EAF2F8"/>
          </w:tcPr>
          <w:p>
            <w:pPr>
              <w:spacing w:after="40" w:line="240" w:lineRule="auto"/>
            </w:pPr>
            <w:r>
              <w:rPr>
                <w:rFonts w:ascii="Aptos" w:hAnsi="Aptos"/>
                <w:color w:val="000000"/>
                <w:sz w:val="17"/>
              </w:rPr>
              <w:t>Confidentiality and unlawful reuse</w:t>
            </w:r>
          </w:p>
        </w:tc>
        <w:tc>
          <w:tcPr>
            <w:tcW w:type="dxa" w:w="3744"/>
            <w:vAlign w:val="center"/>
            <w:tcMar>
              <w:top w:w="100" w:type="dxa"/>
              <w:start w:w="100" w:type="dxa"/>
              <w:bottom w:w="100" w:type="dxa"/>
              <w:end w:w="100" w:type="dxa"/>
            </w:tcMar>
            <w:shd w:fill="EAF2F8"/>
          </w:tcPr>
          <w:p>
            <w:pPr>
              <w:spacing w:after="40" w:line="240" w:lineRule="auto"/>
            </w:pPr>
            <w:r>
              <w:rPr>
                <w:rFonts w:ascii="Aptos" w:hAnsi="Aptos"/>
                <w:color w:val="000000"/>
                <w:sz w:val="17"/>
              </w:rPr>
              <w:t>Improper inputs can breach law, trust and statistical confidentiality.</w:t>
            </w:r>
          </w:p>
        </w:tc>
        <w:tc>
          <w:tcPr>
            <w:tcW w:type="dxa" w:w="3744"/>
            <w:vAlign w:val="center"/>
            <w:tcMar>
              <w:top w:w="100" w:type="dxa"/>
              <w:start w:w="100" w:type="dxa"/>
              <w:bottom w:w="100" w:type="dxa"/>
              <w:end w:w="100" w:type="dxa"/>
            </w:tcMar>
            <w:shd w:fill="EAF2F8"/>
          </w:tcPr>
          <w:p>
            <w:pPr>
              <w:spacing w:after="40" w:line="240" w:lineRule="auto"/>
            </w:pPr>
            <w:r>
              <w:rPr>
                <w:rFonts w:ascii="Aptos" w:hAnsi="Aptos"/>
                <w:color w:val="000000"/>
                <w:sz w:val="17"/>
              </w:rPr>
              <w:t>Confirm legal basis, minimization, access controls and disclosure review.</w:t>
            </w:r>
          </w:p>
        </w:tc>
      </w:tr>
    </w:tbl>
    <w:p>
      <w:pPr>
        <w:spacing w:after="20"/>
      </w:pPr>
    </w:p>
    <w:p>
      <w:pPr>
        <w:pStyle w:val="Heading1"/>
      </w:pPr>
      <w:r>
        <w:t>Kintaba decision example</w:t>
      </w:r>
    </w:p>
    <w:p>
      <w:r>
        <w:t>The fictional Republic of Kintaba needs district crop-production information six weeks before its annual survey estimate is released. The ecosystem includes a national statistics directorate, agriculture ministry, extension service, land administration, meteorological service, food-security secretariat, research institute, university geospatial laboratory, market service, mobile operator, farmer organizations and government digital service.</w:t>
      </w:r>
    </w:p>
    <w:p>
      <w:r>
        <w:t>The case deliberately contains contradictions: maize production is reported as both 4.8 and 4.2 million tonnes without visible definitions or revision status; extension coverage is stronger near roads; 19 of 82 weather stations have substantial missing observations; holdings, parcels, extension reports and survey units lack a common identifier; satellite accuracy is reported from 600 labelled fields in only three accessible districts; and the geospatial project has eight months of funding and one trained analyst.</w:t>
      </w:r>
    </w:p>
    <w:p>
      <w:pPr>
        <w:pStyle w:val="Heading2"/>
      </w:pPr>
      <w:r>
        <w:t>Decision on the proposed automated estimate</w:t>
      </w:r>
    </w:p>
    <w:p>
      <w:r>
        <w:t>A proposal to use generative AI and satellite imagery to produce district crop estimates automatically should not proceed as stated. The system lacks the evidence and operating controls required for an automated official estimate. A defensible next step is to reconcile concepts and revision status, document the early-estimate protocol, establish an independent benchmark, assess geographic and subgroup performance, confirm access and security, and name the human authority responsible for review and release.</w:t>
      </w:r>
    </w:p>
    <w:p>
      <w:r>
        <w:t>A narrower controlled pilot may later test satellite classification for selected crops and districts, or assist analysts in documenting discrepancies and missing metadata. Generative AI should not act as the estimator, methodological authority or release authority.</w:t>
      </w:r>
    </w:p>
    <w:p>
      <w:pPr>
        <w:pStyle w:val="Heading1"/>
      </w:pPr>
      <w:r>
        <w:t>AI pilot authorization gate</w:t>
      </w:r>
    </w:p>
    <w:tbl>
      <w:tblPr>
        <w:tblW w:type="auto" w:w="0"/>
        <w:tblLayout w:type="autofit"/>
        <w:tblLook w:firstColumn="1" w:firstRow="1" w:lastColumn="0" w:lastRow="0" w:noHBand="0" w:noVBand="1" w:val="04A0"/>
      </w:tblPr>
      <w:tblGrid>
        <w:gridCol w:w="4939"/>
        <w:gridCol w:w="4939"/>
      </w:tblGrid>
      <w:tr>
        <w:trPr>
          <w:tblHeader/>
        </w:trPr>
        <w:tc>
          <w:tcPr>
            <w:tcW w:type="dxa" w:w="1872"/>
            <w:shd w:fill="1F4E78"/>
            <w:vAlign w:val="center"/>
            <w:tcMar>
              <w:top w:w="100" w:type="dxa"/>
              <w:start w:w="100" w:type="dxa"/>
              <w:bottom w:w="100" w:type="dxa"/>
              <w:end w:w="100" w:type="dxa"/>
            </w:tcMar>
          </w:tcPr>
          <w:p>
            <w:r>
              <w:rPr>
                <w:rFonts w:ascii="Aptos" w:hAnsi="Aptos"/>
                <w:b/>
                <w:color w:val="FFFFFF"/>
                <w:sz w:val="18"/>
              </w:rPr>
              <w:t>Gate</w:t>
            </w:r>
          </w:p>
        </w:tc>
        <w:tc>
          <w:tcPr>
            <w:tcW w:type="dxa" w:w="7704"/>
            <w:shd w:fill="1F4E78"/>
            <w:vAlign w:val="center"/>
            <w:tcMar>
              <w:top w:w="100" w:type="dxa"/>
              <w:start w:w="100" w:type="dxa"/>
              <w:bottom w:w="100" w:type="dxa"/>
              <w:end w:w="100" w:type="dxa"/>
            </w:tcMar>
          </w:tcPr>
          <w:p>
            <w:r>
              <w:rPr>
                <w:rFonts w:ascii="Aptos" w:hAnsi="Aptos"/>
                <w:b/>
                <w:color w:val="FFFFFF"/>
                <w:sz w:val="18"/>
              </w:rPr>
              <w:t>Question that must have an evidenced answer</w:t>
            </w:r>
          </w:p>
        </w:tc>
      </w:tr>
      <w:tr>
        <w:tc>
          <w:tcPr>
            <w:tcW w:type="dxa" w:w="1872"/>
            <w:vAlign w:val="center"/>
            <w:tcMar>
              <w:top w:w="100" w:type="dxa"/>
              <w:start w:w="100" w:type="dxa"/>
              <w:bottom w:w="100" w:type="dxa"/>
              <w:end w:w="100" w:type="dxa"/>
            </w:tcMar>
          </w:tcPr>
          <w:p>
            <w:pPr>
              <w:spacing w:after="40" w:line="240" w:lineRule="auto"/>
            </w:pPr>
            <w:r>
              <w:rPr>
                <w:rFonts w:ascii="Aptos" w:hAnsi="Aptos"/>
                <w:color w:val="000000"/>
                <w:sz w:val="17"/>
              </w:rPr>
              <w:t>Purpose</w:t>
            </w:r>
          </w:p>
        </w:tc>
        <w:tc>
          <w:tcPr>
            <w:tcW w:type="dxa" w:w="7704"/>
            <w:vAlign w:val="center"/>
            <w:tcMar>
              <w:top w:w="100" w:type="dxa"/>
              <w:start w:w="100" w:type="dxa"/>
              <w:bottom w:w="100" w:type="dxa"/>
              <w:end w:w="100" w:type="dxa"/>
            </w:tcMar>
          </w:tcPr>
          <w:p>
            <w:pPr>
              <w:spacing w:after="40" w:line="240" w:lineRule="auto"/>
            </w:pPr>
            <w:r>
              <w:rPr>
                <w:rFonts w:ascii="Aptos" w:hAnsi="Aptos"/>
                <w:color w:val="000000"/>
                <w:sz w:val="17"/>
              </w:rPr>
              <w:t>What exact decision and statistical product will improve?</w:t>
            </w:r>
          </w:p>
        </w:tc>
      </w:tr>
      <w:tr>
        <w:tc>
          <w:tcPr>
            <w:tcW w:type="dxa" w:w="1872"/>
            <w:vAlign w:val="center"/>
            <w:tcMar>
              <w:top w:w="100" w:type="dxa"/>
              <w:start w:w="100" w:type="dxa"/>
              <w:bottom w:w="100" w:type="dxa"/>
              <w:end w:w="100" w:type="dxa"/>
            </w:tcMar>
            <w:shd w:fill="EAF2F8"/>
          </w:tcPr>
          <w:p>
            <w:pPr>
              <w:spacing w:after="40" w:line="240" w:lineRule="auto"/>
            </w:pPr>
            <w:r>
              <w:rPr>
                <w:rFonts w:ascii="Aptos" w:hAnsi="Aptos"/>
                <w:color w:val="000000"/>
                <w:sz w:val="17"/>
              </w:rPr>
              <w:t>Baseline</w:t>
            </w:r>
          </w:p>
        </w:tc>
        <w:tc>
          <w:tcPr>
            <w:tcW w:type="dxa" w:w="7704"/>
            <w:vAlign w:val="center"/>
            <w:tcMar>
              <w:top w:w="100" w:type="dxa"/>
              <w:start w:w="100" w:type="dxa"/>
              <w:bottom w:w="100" w:type="dxa"/>
              <w:end w:w="100" w:type="dxa"/>
            </w:tcMar>
            <w:shd w:fill="EAF2F8"/>
          </w:tcPr>
          <w:p>
            <w:pPr>
              <w:spacing w:after="40" w:line="240" w:lineRule="auto"/>
            </w:pPr>
            <w:r>
              <w:rPr>
                <w:rFonts w:ascii="Aptos" w:hAnsi="Aptos"/>
                <w:color w:val="000000"/>
                <w:sz w:val="17"/>
              </w:rPr>
              <w:t>What current method, timing, cost and error evidence will the pilot be compared with?</w:t>
            </w:r>
          </w:p>
        </w:tc>
      </w:tr>
      <w:tr>
        <w:tc>
          <w:tcPr>
            <w:tcW w:type="dxa" w:w="1872"/>
            <w:vAlign w:val="center"/>
            <w:tcMar>
              <w:top w:w="100" w:type="dxa"/>
              <w:start w:w="100" w:type="dxa"/>
              <w:bottom w:w="100" w:type="dxa"/>
              <w:end w:w="100" w:type="dxa"/>
            </w:tcMar>
          </w:tcPr>
          <w:p>
            <w:pPr>
              <w:spacing w:after="40" w:line="240" w:lineRule="auto"/>
            </w:pPr>
            <w:r>
              <w:rPr>
                <w:rFonts w:ascii="Aptos" w:hAnsi="Aptos"/>
                <w:color w:val="000000"/>
                <w:sz w:val="17"/>
              </w:rPr>
              <w:t>Data</w:t>
            </w:r>
          </w:p>
        </w:tc>
        <w:tc>
          <w:tcPr>
            <w:tcW w:type="dxa" w:w="7704"/>
            <w:vAlign w:val="center"/>
            <w:tcMar>
              <w:top w:w="100" w:type="dxa"/>
              <w:start w:w="100" w:type="dxa"/>
              <w:bottom w:w="100" w:type="dxa"/>
              <w:end w:w="100" w:type="dxa"/>
            </w:tcMar>
          </w:tcPr>
          <w:p>
            <w:pPr>
              <w:spacing w:after="40" w:line="240" w:lineRule="auto"/>
            </w:pPr>
            <w:r>
              <w:rPr>
                <w:rFonts w:ascii="Aptos" w:hAnsi="Aptos"/>
                <w:color w:val="000000"/>
                <w:sz w:val="17"/>
              </w:rPr>
              <w:t>Which sources are permitted, representative, documented and operationally stable?</w:t>
            </w:r>
          </w:p>
        </w:tc>
      </w:tr>
      <w:tr>
        <w:tc>
          <w:tcPr>
            <w:tcW w:type="dxa" w:w="1872"/>
            <w:vAlign w:val="center"/>
            <w:tcMar>
              <w:top w:w="100" w:type="dxa"/>
              <w:start w:w="100" w:type="dxa"/>
              <w:bottom w:w="100" w:type="dxa"/>
              <w:end w:w="100" w:type="dxa"/>
            </w:tcMar>
            <w:shd w:fill="EAF2F8"/>
          </w:tcPr>
          <w:p>
            <w:pPr>
              <w:spacing w:after="40" w:line="240" w:lineRule="auto"/>
            </w:pPr>
            <w:r>
              <w:rPr>
                <w:rFonts w:ascii="Aptos" w:hAnsi="Aptos"/>
                <w:color w:val="000000"/>
                <w:sz w:val="17"/>
              </w:rPr>
              <w:t>Quality</w:t>
            </w:r>
          </w:p>
        </w:tc>
        <w:tc>
          <w:tcPr>
            <w:tcW w:type="dxa" w:w="7704"/>
            <w:vAlign w:val="center"/>
            <w:tcMar>
              <w:top w:w="100" w:type="dxa"/>
              <w:start w:w="100" w:type="dxa"/>
              <w:bottom w:w="100" w:type="dxa"/>
              <w:end w:w="100" w:type="dxa"/>
            </w:tcMar>
            <w:shd w:fill="EAF2F8"/>
          </w:tcPr>
          <w:p>
            <w:pPr>
              <w:spacing w:after="40" w:line="240" w:lineRule="auto"/>
            </w:pPr>
            <w:r>
              <w:rPr>
                <w:rFonts w:ascii="Aptos" w:hAnsi="Aptos"/>
                <w:color w:val="000000"/>
                <w:sz w:val="17"/>
              </w:rPr>
              <w:t>What benchmark, domains, seasons, subgroups and tolerances are required?</w:t>
            </w:r>
          </w:p>
        </w:tc>
      </w:tr>
      <w:tr>
        <w:tc>
          <w:tcPr>
            <w:tcW w:type="dxa" w:w="1872"/>
            <w:vAlign w:val="center"/>
            <w:tcMar>
              <w:top w:w="100" w:type="dxa"/>
              <w:start w:w="100" w:type="dxa"/>
              <w:bottom w:w="100" w:type="dxa"/>
              <w:end w:w="100" w:type="dxa"/>
            </w:tcMar>
          </w:tcPr>
          <w:p>
            <w:pPr>
              <w:spacing w:after="40" w:line="240" w:lineRule="auto"/>
            </w:pPr>
            <w:r>
              <w:rPr>
                <w:rFonts w:ascii="Aptos" w:hAnsi="Aptos"/>
                <w:color w:val="000000"/>
                <w:sz w:val="17"/>
              </w:rPr>
              <w:t>Authority</w:t>
            </w:r>
          </w:p>
        </w:tc>
        <w:tc>
          <w:tcPr>
            <w:tcW w:type="dxa" w:w="7704"/>
            <w:vAlign w:val="center"/>
            <w:tcMar>
              <w:top w:w="100" w:type="dxa"/>
              <w:start w:w="100" w:type="dxa"/>
              <w:bottom w:w="100" w:type="dxa"/>
              <w:end w:w="100" w:type="dxa"/>
            </w:tcMar>
          </w:tcPr>
          <w:p>
            <w:pPr>
              <w:spacing w:after="40" w:line="240" w:lineRule="auto"/>
            </w:pPr>
            <w:r>
              <w:rPr>
                <w:rFonts w:ascii="Aptos" w:hAnsi="Aptos"/>
                <w:color w:val="000000"/>
                <w:sz w:val="17"/>
              </w:rPr>
              <w:t>Who owns the estimate, method, revision, review and release decision?</w:t>
            </w:r>
          </w:p>
        </w:tc>
      </w:tr>
      <w:tr>
        <w:tc>
          <w:tcPr>
            <w:tcW w:type="dxa" w:w="1872"/>
            <w:vAlign w:val="center"/>
            <w:tcMar>
              <w:top w:w="100" w:type="dxa"/>
              <w:start w:w="100" w:type="dxa"/>
              <w:bottom w:w="100" w:type="dxa"/>
              <w:end w:w="100" w:type="dxa"/>
            </w:tcMar>
            <w:shd w:fill="EAF2F8"/>
          </w:tcPr>
          <w:p>
            <w:pPr>
              <w:spacing w:after="40" w:line="240" w:lineRule="auto"/>
            </w:pPr>
            <w:r>
              <w:rPr>
                <w:rFonts w:ascii="Aptos" w:hAnsi="Aptos"/>
                <w:color w:val="000000"/>
                <w:sz w:val="17"/>
              </w:rPr>
              <w:t>Human review</w:t>
            </w:r>
          </w:p>
        </w:tc>
        <w:tc>
          <w:tcPr>
            <w:tcW w:type="dxa" w:w="7704"/>
            <w:vAlign w:val="center"/>
            <w:tcMar>
              <w:top w:w="100" w:type="dxa"/>
              <w:start w:w="100" w:type="dxa"/>
              <w:bottom w:w="100" w:type="dxa"/>
              <w:end w:w="100" w:type="dxa"/>
            </w:tcMar>
            <w:shd w:fill="EAF2F8"/>
          </w:tcPr>
          <w:p>
            <w:pPr>
              <w:spacing w:after="40" w:line="240" w:lineRule="auto"/>
            </w:pPr>
            <w:r>
              <w:rPr>
                <w:rFonts w:ascii="Aptos" w:hAnsi="Aptos"/>
                <w:color w:val="000000"/>
                <w:sz w:val="17"/>
              </w:rPr>
              <w:t>Which qualified official can challenge, override or stop the system?</w:t>
            </w:r>
          </w:p>
        </w:tc>
      </w:tr>
      <w:tr>
        <w:tc>
          <w:tcPr>
            <w:tcW w:type="dxa" w:w="1872"/>
            <w:vAlign w:val="center"/>
            <w:tcMar>
              <w:top w:w="100" w:type="dxa"/>
              <w:start w:w="100" w:type="dxa"/>
              <w:bottom w:w="100" w:type="dxa"/>
              <w:end w:w="100" w:type="dxa"/>
            </w:tcMar>
          </w:tcPr>
          <w:p>
            <w:pPr>
              <w:spacing w:after="40" w:line="240" w:lineRule="auto"/>
            </w:pPr>
            <w:r>
              <w:rPr>
                <w:rFonts w:ascii="Aptos" w:hAnsi="Aptos"/>
                <w:color w:val="000000"/>
                <w:sz w:val="17"/>
              </w:rPr>
              <w:t>Security</w:t>
            </w:r>
          </w:p>
        </w:tc>
        <w:tc>
          <w:tcPr>
            <w:tcW w:type="dxa" w:w="7704"/>
            <w:vAlign w:val="center"/>
            <w:tcMar>
              <w:top w:w="100" w:type="dxa"/>
              <w:start w:w="100" w:type="dxa"/>
              <w:bottom w:w="100" w:type="dxa"/>
              <w:end w:w="100" w:type="dxa"/>
            </w:tcMar>
          </w:tcPr>
          <w:p>
            <w:pPr>
              <w:spacing w:after="40" w:line="240" w:lineRule="auto"/>
            </w:pPr>
            <w:r>
              <w:rPr>
                <w:rFonts w:ascii="Aptos" w:hAnsi="Aptos"/>
                <w:color w:val="000000"/>
                <w:sz w:val="17"/>
              </w:rPr>
              <w:t>What information may enter each tool and environment?</w:t>
            </w:r>
          </w:p>
        </w:tc>
      </w:tr>
      <w:tr>
        <w:tc>
          <w:tcPr>
            <w:tcW w:type="dxa" w:w="1872"/>
            <w:vAlign w:val="center"/>
            <w:tcMar>
              <w:top w:w="100" w:type="dxa"/>
              <w:start w:w="100" w:type="dxa"/>
              <w:bottom w:w="100" w:type="dxa"/>
              <w:end w:w="100" w:type="dxa"/>
            </w:tcMar>
            <w:shd w:fill="EAF2F8"/>
          </w:tcPr>
          <w:p>
            <w:pPr>
              <w:spacing w:after="40" w:line="240" w:lineRule="auto"/>
            </w:pPr>
            <w:r>
              <w:rPr>
                <w:rFonts w:ascii="Aptos" w:hAnsi="Aptos"/>
                <w:color w:val="000000"/>
                <w:sz w:val="17"/>
              </w:rPr>
              <w:t>Sustainability</w:t>
            </w:r>
          </w:p>
        </w:tc>
        <w:tc>
          <w:tcPr>
            <w:tcW w:type="dxa" w:w="7704"/>
            <w:vAlign w:val="center"/>
            <w:tcMar>
              <w:top w:w="100" w:type="dxa"/>
              <w:start w:w="100" w:type="dxa"/>
              <w:bottom w:w="100" w:type="dxa"/>
              <w:end w:w="100" w:type="dxa"/>
            </w:tcMar>
            <w:shd w:fill="EAF2F8"/>
          </w:tcPr>
          <w:p>
            <w:pPr>
              <w:spacing w:after="40" w:line="240" w:lineRule="auto"/>
            </w:pPr>
            <w:r>
              <w:rPr>
                <w:rFonts w:ascii="Aptos" w:hAnsi="Aptos"/>
                <w:color w:val="000000"/>
                <w:sz w:val="17"/>
              </w:rPr>
              <w:t>What recurrent skills, funding, infrastructure, supplier and fallback arrangements exist?</w:t>
            </w:r>
          </w:p>
        </w:tc>
      </w:tr>
    </w:tbl>
    <w:p>
      <w:pPr>
        <w:spacing w:after="20"/>
      </w:pPr>
    </w:p>
    <w:p>
      <w:pPr>
        <w:pStyle w:val="Heading1"/>
      </w:pPr>
      <w:r>
        <w:t>Recommended ninety day leadership agenda</w:t>
      </w:r>
    </w:p>
    <w:tbl>
      <w:tblPr>
        <w:tblW w:type="auto" w:w="0"/>
        <w:tblLayout w:type="autofit"/>
        <w:tblLook w:firstColumn="1" w:firstRow="1" w:lastColumn="0" w:lastRow="0" w:noHBand="0" w:noVBand="1" w:val="04A0"/>
      </w:tblPr>
      <w:tblGrid>
        <w:gridCol w:w="3293"/>
        <w:gridCol w:w="3293"/>
        <w:gridCol w:w="3293"/>
      </w:tblGrid>
      <w:tr>
        <w:trPr>
          <w:tblHeader/>
        </w:trPr>
        <w:tc>
          <w:tcPr>
            <w:tcW w:type="dxa" w:w="1656"/>
            <w:shd w:fill="1F4E78"/>
            <w:vAlign w:val="center"/>
            <w:tcMar>
              <w:top w:w="100" w:type="dxa"/>
              <w:start w:w="100" w:type="dxa"/>
              <w:bottom w:w="100" w:type="dxa"/>
              <w:end w:w="100" w:type="dxa"/>
            </w:tcMar>
          </w:tcPr>
          <w:p>
            <w:r>
              <w:rPr>
                <w:rFonts w:ascii="Aptos" w:hAnsi="Aptos"/>
                <w:b/>
                <w:color w:val="FFFFFF"/>
                <w:sz w:val="18"/>
              </w:rPr>
              <w:t>Period</w:t>
            </w:r>
          </w:p>
        </w:tc>
        <w:tc>
          <w:tcPr>
            <w:tcW w:type="dxa" w:w="5112"/>
            <w:shd w:fill="1F4E78"/>
            <w:vAlign w:val="center"/>
            <w:tcMar>
              <w:top w:w="100" w:type="dxa"/>
              <w:start w:w="100" w:type="dxa"/>
              <w:bottom w:w="100" w:type="dxa"/>
              <w:end w:w="100" w:type="dxa"/>
            </w:tcMar>
          </w:tcPr>
          <w:p>
            <w:r>
              <w:rPr>
                <w:rFonts w:ascii="Aptos" w:hAnsi="Aptos"/>
                <w:b/>
                <w:color w:val="FFFFFF"/>
                <w:sz w:val="18"/>
              </w:rPr>
              <w:t>Leadership action</w:t>
            </w:r>
          </w:p>
        </w:tc>
        <w:tc>
          <w:tcPr>
            <w:tcW w:type="dxa" w:w="2808"/>
            <w:shd w:fill="1F4E78"/>
            <w:vAlign w:val="center"/>
            <w:tcMar>
              <w:top w:w="100" w:type="dxa"/>
              <w:start w:w="100" w:type="dxa"/>
              <w:bottom w:w="100" w:type="dxa"/>
              <w:end w:w="100" w:type="dxa"/>
            </w:tcMar>
          </w:tcPr>
          <w:p>
            <w:r>
              <w:rPr>
                <w:rFonts w:ascii="Aptos" w:hAnsi="Aptos"/>
                <w:b/>
                <w:color w:val="FFFFFF"/>
                <w:sz w:val="18"/>
              </w:rPr>
              <w:t>Output</w:t>
            </w:r>
          </w:p>
        </w:tc>
      </w:tr>
      <w:tr>
        <w:tc>
          <w:tcPr>
            <w:tcW w:type="dxa" w:w="1656"/>
            <w:vAlign w:val="center"/>
            <w:tcMar>
              <w:top w:w="100" w:type="dxa"/>
              <w:start w:w="100" w:type="dxa"/>
              <w:bottom w:w="100" w:type="dxa"/>
              <w:end w:w="100" w:type="dxa"/>
            </w:tcMar>
          </w:tcPr>
          <w:p>
            <w:pPr>
              <w:spacing w:after="40" w:line="240" w:lineRule="auto"/>
            </w:pPr>
            <w:r>
              <w:rPr>
                <w:rFonts w:ascii="Aptos" w:hAnsi="Aptos"/>
                <w:color w:val="000000"/>
                <w:sz w:val="17"/>
              </w:rPr>
              <w:t>Days 1 to 15</w:t>
            </w:r>
          </w:p>
        </w:tc>
        <w:tc>
          <w:tcPr>
            <w:tcW w:type="dxa" w:w="5112"/>
            <w:vAlign w:val="center"/>
            <w:tcMar>
              <w:top w:w="100" w:type="dxa"/>
              <w:start w:w="100" w:type="dxa"/>
              <w:bottom w:w="100" w:type="dxa"/>
              <w:end w:w="100" w:type="dxa"/>
            </w:tcMar>
          </w:tcPr>
          <w:p>
            <w:pPr>
              <w:spacing w:after="40" w:line="240" w:lineRule="auto"/>
            </w:pPr>
            <w:r>
              <w:rPr>
                <w:rFonts w:ascii="Aptos" w:hAnsi="Aptos"/>
                <w:color w:val="000000"/>
                <w:sz w:val="17"/>
              </w:rPr>
              <w:t>Appoint sponsor, statistical lead, domain lead, stewardship lead and security contact. Select one decision chain.</w:t>
            </w:r>
          </w:p>
        </w:tc>
        <w:tc>
          <w:tcPr>
            <w:tcW w:type="dxa" w:w="2808"/>
            <w:vAlign w:val="center"/>
            <w:tcMar>
              <w:top w:w="100" w:type="dxa"/>
              <w:start w:w="100" w:type="dxa"/>
              <w:bottom w:w="100" w:type="dxa"/>
              <w:end w:w="100" w:type="dxa"/>
            </w:tcMar>
          </w:tcPr>
          <w:p>
            <w:pPr>
              <w:spacing w:after="40" w:line="240" w:lineRule="auto"/>
            </w:pPr>
            <w:r>
              <w:rPr>
                <w:rFonts w:ascii="Aptos" w:hAnsi="Aptos"/>
                <w:color w:val="000000"/>
                <w:sz w:val="17"/>
              </w:rPr>
              <w:t>Approved scope and accountable roles.</w:t>
            </w:r>
          </w:p>
        </w:tc>
      </w:tr>
      <w:tr>
        <w:tc>
          <w:tcPr>
            <w:tcW w:type="dxa" w:w="1656"/>
            <w:vAlign w:val="center"/>
            <w:tcMar>
              <w:top w:w="100" w:type="dxa"/>
              <w:start w:w="100" w:type="dxa"/>
              <w:bottom w:w="100" w:type="dxa"/>
              <w:end w:w="100" w:type="dxa"/>
            </w:tcMar>
            <w:shd w:fill="EAF2F8"/>
          </w:tcPr>
          <w:p>
            <w:pPr>
              <w:spacing w:after="40" w:line="240" w:lineRule="auto"/>
            </w:pPr>
            <w:r>
              <w:rPr>
                <w:rFonts w:ascii="Aptos" w:hAnsi="Aptos"/>
                <w:color w:val="000000"/>
                <w:sz w:val="17"/>
              </w:rPr>
              <w:t>Days 16 to 40</w:t>
            </w:r>
          </w:p>
        </w:tc>
        <w:tc>
          <w:tcPr>
            <w:tcW w:type="dxa" w:w="5112"/>
            <w:vAlign w:val="center"/>
            <w:tcMar>
              <w:top w:w="100" w:type="dxa"/>
              <w:start w:w="100" w:type="dxa"/>
              <w:bottom w:w="100" w:type="dxa"/>
              <w:end w:w="100" w:type="dxa"/>
            </w:tcMar>
            <w:shd w:fill="EAF2F8"/>
          </w:tcPr>
          <w:p>
            <w:pPr>
              <w:spacing w:after="40" w:line="240" w:lineRule="auto"/>
            </w:pPr>
            <w:r>
              <w:rPr>
                <w:rFonts w:ascii="Aptos" w:hAnsi="Aptos"/>
                <w:color w:val="000000"/>
                <w:sz w:val="17"/>
              </w:rPr>
              <w:t>Map actors, authority, assets, flows, users, quality evidence and unknowns.</w:t>
            </w:r>
          </w:p>
        </w:tc>
        <w:tc>
          <w:tcPr>
            <w:tcW w:type="dxa" w:w="2808"/>
            <w:vAlign w:val="center"/>
            <w:tcMar>
              <w:top w:w="100" w:type="dxa"/>
              <w:start w:w="100" w:type="dxa"/>
              <w:bottom w:w="100" w:type="dxa"/>
              <w:end w:w="100" w:type="dxa"/>
            </w:tcMar>
            <w:shd w:fill="EAF2F8"/>
          </w:tcPr>
          <w:p>
            <w:pPr>
              <w:spacing w:after="40" w:line="240" w:lineRule="auto"/>
            </w:pPr>
            <w:r>
              <w:rPr>
                <w:rFonts w:ascii="Aptos" w:hAnsi="Aptos"/>
                <w:color w:val="000000"/>
                <w:sz w:val="17"/>
              </w:rPr>
              <w:t>Evidence-backed ecosystem map.</w:t>
            </w:r>
          </w:p>
        </w:tc>
      </w:tr>
      <w:tr>
        <w:tc>
          <w:tcPr>
            <w:tcW w:type="dxa" w:w="1656"/>
            <w:vAlign w:val="center"/>
            <w:tcMar>
              <w:top w:w="100" w:type="dxa"/>
              <w:start w:w="100" w:type="dxa"/>
              <w:bottom w:w="100" w:type="dxa"/>
              <w:end w:w="100" w:type="dxa"/>
            </w:tcMar>
          </w:tcPr>
          <w:p>
            <w:pPr>
              <w:spacing w:after="40" w:line="240" w:lineRule="auto"/>
            </w:pPr>
            <w:r>
              <w:rPr>
                <w:rFonts w:ascii="Aptos" w:hAnsi="Aptos"/>
                <w:color w:val="000000"/>
                <w:sz w:val="17"/>
              </w:rPr>
              <w:t>Days 41 to 60</w:t>
            </w:r>
          </w:p>
        </w:tc>
        <w:tc>
          <w:tcPr>
            <w:tcW w:type="dxa" w:w="5112"/>
            <w:vAlign w:val="center"/>
            <w:tcMar>
              <w:top w:w="100" w:type="dxa"/>
              <w:start w:w="100" w:type="dxa"/>
              <w:bottom w:w="100" w:type="dxa"/>
              <w:end w:w="100" w:type="dxa"/>
            </w:tcMar>
          </w:tcPr>
          <w:p>
            <w:pPr>
              <w:spacing w:after="40" w:line="240" w:lineRule="auto"/>
            </w:pPr>
            <w:r>
              <w:rPr>
                <w:rFonts w:ascii="Aptos" w:hAnsi="Aptos"/>
                <w:color w:val="000000"/>
                <w:sz w:val="17"/>
              </w:rPr>
              <w:t>Prioritize no more than five gaps by consequence and dependency.</w:t>
            </w:r>
          </w:p>
        </w:tc>
        <w:tc>
          <w:tcPr>
            <w:tcW w:type="dxa" w:w="2808"/>
            <w:vAlign w:val="center"/>
            <w:tcMar>
              <w:top w:w="100" w:type="dxa"/>
              <w:start w:w="100" w:type="dxa"/>
              <w:bottom w:w="100" w:type="dxa"/>
              <w:end w:w="100" w:type="dxa"/>
            </w:tcMar>
          </w:tcPr>
          <w:p>
            <w:pPr>
              <w:spacing w:after="40" w:line="240" w:lineRule="auto"/>
            </w:pPr>
            <w:r>
              <w:rPr>
                <w:rFonts w:ascii="Aptos" w:hAnsi="Aptos"/>
                <w:color w:val="000000"/>
                <w:sz w:val="17"/>
              </w:rPr>
              <w:t>Owned action register and verification plan.</w:t>
            </w:r>
          </w:p>
        </w:tc>
      </w:tr>
      <w:tr>
        <w:tc>
          <w:tcPr>
            <w:tcW w:type="dxa" w:w="1656"/>
            <w:vAlign w:val="center"/>
            <w:tcMar>
              <w:top w:w="100" w:type="dxa"/>
              <w:start w:w="100" w:type="dxa"/>
              <w:bottom w:w="100" w:type="dxa"/>
              <w:end w:w="100" w:type="dxa"/>
            </w:tcMar>
            <w:shd w:fill="EAF2F8"/>
          </w:tcPr>
          <w:p>
            <w:pPr>
              <w:spacing w:after="40" w:line="240" w:lineRule="auto"/>
            </w:pPr>
            <w:r>
              <w:rPr>
                <w:rFonts w:ascii="Aptos" w:hAnsi="Aptos"/>
                <w:color w:val="000000"/>
                <w:sz w:val="17"/>
              </w:rPr>
              <w:t>Days 61 to 75</w:t>
            </w:r>
          </w:p>
        </w:tc>
        <w:tc>
          <w:tcPr>
            <w:tcW w:type="dxa" w:w="5112"/>
            <w:vAlign w:val="center"/>
            <w:tcMar>
              <w:top w:w="100" w:type="dxa"/>
              <w:start w:w="100" w:type="dxa"/>
              <w:bottom w:w="100" w:type="dxa"/>
              <w:end w:w="100" w:type="dxa"/>
            </w:tcMar>
            <w:shd w:fill="EAF2F8"/>
          </w:tcPr>
          <w:p>
            <w:pPr>
              <w:spacing w:after="40" w:line="240" w:lineRule="auto"/>
            </w:pPr>
            <w:r>
              <w:rPr>
                <w:rFonts w:ascii="Aptos" w:hAnsi="Aptos"/>
                <w:color w:val="000000"/>
                <w:sz w:val="17"/>
              </w:rPr>
              <w:t>Define the baseline and screen one bounded AI-assisted task.</w:t>
            </w:r>
          </w:p>
        </w:tc>
        <w:tc>
          <w:tcPr>
            <w:tcW w:type="dxa" w:w="2808"/>
            <w:vAlign w:val="center"/>
            <w:tcMar>
              <w:top w:w="100" w:type="dxa"/>
              <w:start w:w="100" w:type="dxa"/>
              <w:bottom w:w="100" w:type="dxa"/>
              <w:end w:w="100" w:type="dxa"/>
            </w:tcMar>
            <w:shd w:fill="EAF2F8"/>
          </w:tcPr>
          <w:p>
            <w:pPr>
              <w:spacing w:after="40" w:line="240" w:lineRule="auto"/>
            </w:pPr>
            <w:r>
              <w:rPr>
                <w:rFonts w:ascii="Aptos" w:hAnsi="Aptos"/>
                <w:color w:val="000000"/>
                <w:sz w:val="17"/>
              </w:rPr>
              <w:t>Proceed, investigate or do-not-pursue recommendation.</w:t>
            </w:r>
          </w:p>
        </w:tc>
      </w:tr>
      <w:tr>
        <w:tc>
          <w:tcPr>
            <w:tcW w:type="dxa" w:w="1656"/>
            <w:vAlign w:val="center"/>
            <w:tcMar>
              <w:top w:w="100" w:type="dxa"/>
              <w:start w:w="100" w:type="dxa"/>
              <w:bottom w:w="100" w:type="dxa"/>
              <w:end w:w="100" w:type="dxa"/>
            </w:tcMar>
          </w:tcPr>
          <w:p>
            <w:pPr>
              <w:spacing w:after="40" w:line="240" w:lineRule="auto"/>
            </w:pPr>
            <w:r>
              <w:rPr>
                <w:rFonts w:ascii="Aptos" w:hAnsi="Aptos"/>
                <w:color w:val="000000"/>
                <w:sz w:val="17"/>
              </w:rPr>
              <w:t>Days 76 to 90</w:t>
            </w:r>
          </w:p>
        </w:tc>
        <w:tc>
          <w:tcPr>
            <w:tcW w:type="dxa" w:w="5112"/>
            <w:vAlign w:val="center"/>
            <w:tcMar>
              <w:top w:w="100" w:type="dxa"/>
              <w:start w:w="100" w:type="dxa"/>
              <w:bottom w:w="100" w:type="dxa"/>
              <w:end w:w="100" w:type="dxa"/>
            </w:tcMar>
          </w:tcPr>
          <w:p>
            <w:pPr>
              <w:spacing w:after="40" w:line="240" w:lineRule="auto"/>
            </w:pPr>
            <w:r>
              <w:rPr>
                <w:rFonts w:ascii="Aptos" w:hAnsi="Aptos"/>
                <w:color w:val="000000"/>
                <w:sz w:val="17"/>
              </w:rPr>
              <w:t>If eligible, approve a controlled pilot protocol with stop rules and independent review.</w:t>
            </w:r>
          </w:p>
        </w:tc>
        <w:tc>
          <w:tcPr>
            <w:tcW w:type="dxa" w:w="2808"/>
            <w:vAlign w:val="center"/>
            <w:tcMar>
              <w:top w:w="100" w:type="dxa"/>
              <w:start w:w="100" w:type="dxa"/>
              <w:bottom w:w="100" w:type="dxa"/>
              <w:end w:w="100" w:type="dxa"/>
            </w:tcMar>
          </w:tcPr>
          <w:p>
            <w:pPr>
              <w:spacing w:after="40" w:line="240" w:lineRule="auto"/>
            </w:pPr>
            <w:r>
              <w:rPr>
                <w:rFonts w:ascii="Aptos" w:hAnsi="Aptos"/>
                <w:color w:val="000000"/>
                <w:sz w:val="17"/>
              </w:rPr>
              <w:t>Signed pilot charter or documented decision not to pilot.</w:t>
            </w:r>
          </w:p>
        </w:tc>
      </w:tr>
    </w:tbl>
    <w:p>
      <w:pPr>
        <w:spacing w:after="20"/>
      </w:pPr>
    </w:p>
    <w:p>
      <w:pPr>
        <w:pStyle w:val="Heading2"/>
      </w:pPr>
      <w:r>
        <w:t>Measures of progress</w:t>
      </w:r>
    </w:p>
    <w:p>
      <w:pPr>
        <w:pStyle w:val="ListBullet"/>
      </w:pPr>
      <w:r>
        <w:t>Critical actors and roles have stable identifiers and documented authority.</w:t>
      </w:r>
    </w:p>
    <w:p>
      <w:pPr>
        <w:pStyle w:val="ListBullet"/>
      </w:pPr>
      <w:r>
        <w:t>Priority data assets have owners, provenance, quality evidence, access conditions and known changes.</w:t>
      </w:r>
    </w:p>
    <w:p>
      <w:pPr>
        <w:pStyle w:val="ListBullet"/>
      </w:pPr>
      <w:r>
        <w:t>One critical flow is traceable from source to user decision, including transformations and delays.</w:t>
      </w:r>
    </w:p>
    <w:p>
      <w:pPr>
        <w:pStyle w:val="ListBullet"/>
      </w:pPr>
      <w:r>
        <w:t>Material claims are labelled as evidenced, reported or unknown.</w:t>
      </w:r>
    </w:p>
    <w:p>
      <w:pPr>
        <w:pStyle w:val="ListBullet"/>
      </w:pPr>
      <w:r>
        <w:t>The leading non-AI dependencies have owners, deadlines and verification evidence.</w:t>
      </w:r>
    </w:p>
    <w:p>
      <w:pPr>
        <w:pStyle w:val="ListBullet"/>
      </w:pPr>
      <w:r>
        <w:t>Any AI pilot has a baseline, independent benchmark, human authority, security boundary, stop rules and recurrent resources.</w:t>
      </w:r>
    </w:p>
    <w:p>
      <w:pPr>
        <w:pStyle w:val="Heading1"/>
      </w:pPr>
      <w:r>
        <w:t>Leadership position</w:t>
      </w:r>
    </w:p>
    <w:p>
      <w:r>
        <w:t>The responsible position is neither to reject AI categorically nor to authorize it generically. Leadership should create a governed route from public purpose to evidence, from evidence to controlled testing, and from testing to an accountable decision. In official statistics, the central question is not whether an algorithm can produce an output. It is whether the institution can explain what the output means, whom it represents, how uncertainty and error were assessed, who is responsible, and why the result is fit for the intended public use.</w:t>
      </w:r>
    </w:p>
    <w:p>
      <w:pPr>
        <w:pStyle w:val="Heading1"/>
      </w:pPr>
      <w:r>
        <w:t>Proposed executive decision</w:t>
      </w:r>
    </w:p>
    <w:p>
      <w:r>
        <w:t>Approve a ninety-day national information ecosystem diagnostic for one priority statistical decision chain. Do not authorize automated official estimates or operational AI deployment through this decision. Require the diagnostic team to return with an evidence-backed map, a prioritized dependency register, a baseline, and a recommendation to proceed, investigate further or stop.</w:t>
      </w:r>
    </w:p>
    <w:tbl>
      <w:tblPr>
        <w:tblW w:type="auto" w:w="0"/>
        <w:tblLayout w:type="autofit"/>
        <w:tblLook w:firstColumn="1" w:firstRow="1" w:lastColumn="0" w:lastRow="0" w:noHBand="0" w:noVBand="1" w:val="04A0"/>
      </w:tblPr>
      <w:tblGrid>
        <w:gridCol w:w="4939"/>
        <w:gridCol w:w="4939"/>
      </w:tblGrid>
      <w:tr>
        <w:trPr>
          <w:tblHeader/>
        </w:trPr>
        <w:tc>
          <w:tcPr>
            <w:tcW w:type="dxa" w:w="2880"/>
            <w:shd w:fill="1F4E78"/>
            <w:vAlign w:val="center"/>
            <w:tcMar>
              <w:top w:w="100" w:type="dxa"/>
              <w:start w:w="100" w:type="dxa"/>
              <w:bottom w:w="100" w:type="dxa"/>
              <w:end w:w="100" w:type="dxa"/>
            </w:tcMar>
          </w:tcPr>
          <w:p>
            <w:r>
              <w:rPr>
                <w:rFonts w:ascii="Aptos" w:hAnsi="Aptos"/>
                <w:b/>
                <w:color w:val="FFFFFF"/>
                <w:sz w:val="18"/>
              </w:rPr>
              <w:t>Decision field</w:t>
            </w:r>
          </w:p>
        </w:tc>
        <w:tc>
          <w:tcPr>
            <w:tcW w:type="dxa" w:w="6696"/>
            <w:shd w:fill="1F4E78"/>
            <w:vAlign w:val="center"/>
            <w:tcMar>
              <w:top w:w="100" w:type="dxa"/>
              <w:start w:w="100" w:type="dxa"/>
              <w:bottom w:w="100" w:type="dxa"/>
              <w:end w:w="100" w:type="dxa"/>
            </w:tcMar>
          </w:tcPr>
          <w:p>
            <w:r>
              <w:rPr>
                <w:rFonts w:ascii="Aptos" w:hAnsi="Aptos"/>
                <w:b/>
                <w:color w:val="FFFFFF"/>
                <w:sz w:val="18"/>
              </w:rPr>
              <w:t>Record</w:t>
            </w:r>
          </w:p>
        </w:tc>
      </w:tr>
      <w:tr>
        <w:tc>
          <w:tcPr>
            <w:tcW w:type="dxa" w:w="2880"/>
            <w:vAlign w:val="center"/>
            <w:tcMar>
              <w:top w:w="100" w:type="dxa"/>
              <w:start w:w="100" w:type="dxa"/>
              <w:bottom w:w="100" w:type="dxa"/>
              <w:end w:w="100" w:type="dxa"/>
            </w:tcMar>
          </w:tcPr>
          <w:p>
            <w:pPr>
              <w:spacing w:after="40" w:line="240" w:lineRule="auto"/>
            </w:pPr>
            <w:r>
              <w:rPr>
                <w:rFonts w:ascii="Aptos" w:hAnsi="Aptos"/>
                <w:color w:val="000000"/>
                <w:sz w:val="17"/>
              </w:rPr>
              <w:t>Accountable sponsor</w:t>
            </w:r>
          </w:p>
        </w:tc>
        <w:tc>
          <w:tcPr>
            <w:tcW w:type="dxa" w:w="6696"/>
            <w:vAlign w:val="center"/>
            <w:tcMar>
              <w:top w:w="100" w:type="dxa"/>
              <w:start w:w="100" w:type="dxa"/>
              <w:bottom w:w="100" w:type="dxa"/>
              <w:end w:w="100" w:type="dxa"/>
            </w:tcMar>
          </w:tcPr>
          <w:p>
            <w:pPr>
              <w:spacing w:after="40" w:line="240" w:lineRule="auto"/>
            </w:pPr>
            <w:r>
              <w:rPr>
                <w:rFonts w:ascii="Aptos" w:hAnsi="Aptos"/>
                <w:color w:val="000000"/>
                <w:sz w:val="17"/>
              </w:rPr>
              <w:t>Name and position</w:t>
            </w:r>
          </w:p>
        </w:tc>
      </w:tr>
      <w:tr>
        <w:tc>
          <w:tcPr>
            <w:tcW w:type="dxa" w:w="2880"/>
            <w:vAlign w:val="center"/>
            <w:tcMar>
              <w:top w:w="100" w:type="dxa"/>
              <w:start w:w="100" w:type="dxa"/>
              <w:bottom w:w="100" w:type="dxa"/>
              <w:end w:w="100" w:type="dxa"/>
            </w:tcMar>
            <w:shd w:fill="EAF2F8"/>
          </w:tcPr>
          <w:p>
            <w:pPr>
              <w:spacing w:after="40" w:line="240" w:lineRule="auto"/>
            </w:pPr>
            <w:r>
              <w:rPr>
                <w:rFonts w:ascii="Aptos" w:hAnsi="Aptos"/>
                <w:color w:val="000000"/>
                <w:sz w:val="17"/>
              </w:rPr>
              <w:t>Priority decision chain</w:t>
            </w:r>
          </w:p>
        </w:tc>
        <w:tc>
          <w:tcPr>
            <w:tcW w:type="dxa" w:w="6696"/>
            <w:vAlign w:val="center"/>
            <w:tcMar>
              <w:top w:w="100" w:type="dxa"/>
              <w:start w:w="100" w:type="dxa"/>
              <w:bottom w:w="100" w:type="dxa"/>
              <w:end w:w="100" w:type="dxa"/>
            </w:tcMar>
            <w:shd w:fill="EAF2F8"/>
          </w:tcPr>
          <w:p>
            <w:pPr>
              <w:spacing w:after="40" w:line="240" w:lineRule="auto"/>
            </w:pPr>
            <w:r>
              <w:rPr>
                <w:rFonts w:ascii="Aptos" w:hAnsi="Aptos"/>
                <w:color w:val="000000"/>
                <w:sz w:val="17"/>
              </w:rPr>
              <w:t>Statistical product, user decision and deadline</w:t>
            </w:r>
          </w:p>
        </w:tc>
      </w:tr>
      <w:tr>
        <w:tc>
          <w:tcPr>
            <w:tcW w:type="dxa" w:w="2880"/>
            <w:vAlign w:val="center"/>
            <w:tcMar>
              <w:top w:w="100" w:type="dxa"/>
              <w:start w:w="100" w:type="dxa"/>
              <w:bottom w:w="100" w:type="dxa"/>
              <w:end w:w="100" w:type="dxa"/>
            </w:tcMar>
          </w:tcPr>
          <w:p>
            <w:pPr>
              <w:spacing w:after="40" w:line="240" w:lineRule="auto"/>
            </w:pPr>
            <w:r>
              <w:rPr>
                <w:rFonts w:ascii="Aptos" w:hAnsi="Aptos"/>
                <w:color w:val="000000"/>
                <w:sz w:val="17"/>
              </w:rPr>
              <w:t>Statistical lead</w:t>
            </w:r>
          </w:p>
        </w:tc>
        <w:tc>
          <w:tcPr>
            <w:tcW w:type="dxa" w:w="6696"/>
            <w:vAlign w:val="center"/>
            <w:tcMar>
              <w:top w:w="100" w:type="dxa"/>
              <w:start w:w="100" w:type="dxa"/>
              <w:bottom w:w="100" w:type="dxa"/>
              <w:end w:w="100" w:type="dxa"/>
            </w:tcMar>
          </w:tcPr>
          <w:p>
            <w:pPr>
              <w:spacing w:after="40" w:line="240" w:lineRule="auto"/>
            </w:pPr>
            <w:r>
              <w:rPr>
                <w:rFonts w:ascii="Aptos" w:hAnsi="Aptos"/>
                <w:color w:val="000000"/>
                <w:sz w:val="17"/>
              </w:rPr>
              <w:t>Name and position</w:t>
            </w:r>
          </w:p>
        </w:tc>
      </w:tr>
      <w:tr>
        <w:tc>
          <w:tcPr>
            <w:tcW w:type="dxa" w:w="2880"/>
            <w:vAlign w:val="center"/>
            <w:tcMar>
              <w:top w:w="100" w:type="dxa"/>
              <w:start w:w="100" w:type="dxa"/>
              <w:bottom w:w="100" w:type="dxa"/>
              <w:end w:w="100" w:type="dxa"/>
            </w:tcMar>
            <w:shd w:fill="EAF2F8"/>
          </w:tcPr>
          <w:p>
            <w:pPr>
              <w:spacing w:after="40" w:line="240" w:lineRule="auto"/>
            </w:pPr>
            <w:r>
              <w:rPr>
                <w:rFonts w:ascii="Aptos" w:hAnsi="Aptos"/>
                <w:color w:val="000000"/>
                <w:sz w:val="17"/>
              </w:rPr>
              <w:t>Domain and stewardship leads</w:t>
            </w:r>
          </w:p>
        </w:tc>
        <w:tc>
          <w:tcPr>
            <w:tcW w:type="dxa" w:w="6696"/>
            <w:vAlign w:val="center"/>
            <w:tcMar>
              <w:top w:w="100" w:type="dxa"/>
              <w:start w:w="100" w:type="dxa"/>
              <w:bottom w:w="100" w:type="dxa"/>
              <w:end w:w="100" w:type="dxa"/>
            </w:tcMar>
            <w:shd w:fill="EAF2F8"/>
          </w:tcPr>
          <w:p>
            <w:pPr>
              <w:spacing w:after="40" w:line="240" w:lineRule="auto"/>
            </w:pPr>
            <w:r>
              <w:rPr>
                <w:rFonts w:ascii="Aptos" w:hAnsi="Aptos"/>
                <w:color w:val="000000"/>
                <w:sz w:val="17"/>
              </w:rPr>
              <w:t>Names and positions</w:t>
            </w:r>
          </w:p>
        </w:tc>
      </w:tr>
      <w:tr>
        <w:tc>
          <w:tcPr>
            <w:tcW w:type="dxa" w:w="2880"/>
            <w:vAlign w:val="center"/>
            <w:tcMar>
              <w:top w:w="100" w:type="dxa"/>
              <w:start w:w="100" w:type="dxa"/>
              <w:bottom w:w="100" w:type="dxa"/>
              <w:end w:w="100" w:type="dxa"/>
            </w:tcMar>
          </w:tcPr>
          <w:p>
            <w:pPr>
              <w:spacing w:after="40" w:line="240" w:lineRule="auto"/>
            </w:pPr>
            <w:r>
              <w:rPr>
                <w:rFonts w:ascii="Aptos" w:hAnsi="Aptos"/>
                <w:color w:val="000000"/>
                <w:sz w:val="17"/>
              </w:rPr>
              <w:t>Security and legal contacts</w:t>
            </w:r>
          </w:p>
        </w:tc>
        <w:tc>
          <w:tcPr>
            <w:tcW w:type="dxa" w:w="6696"/>
            <w:vAlign w:val="center"/>
            <w:tcMar>
              <w:top w:w="100" w:type="dxa"/>
              <w:start w:w="100" w:type="dxa"/>
              <w:bottom w:w="100" w:type="dxa"/>
              <w:end w:w="100" w:type="dxa"/>
            </w:tcMar>
          </w:tcPr>
          <w:p>
            <w:pPr>
              <w:spacing w:after="40" w:line="240" w:lineRule="auto"/>
            </w:pPr>
            <w:r>
              <w:rPr>
                <w:rFonts w:ascii="Aptos" w:hAnsi="Aptos"/>
                <w:color w:val="000000"/>
                <w:sz w:val="17"/>
              </w:rPr>
              <w:t>Names and positions</w:t>
            </w:r>
          </w:p>
        </w:tc>
      </w:tr>
      <w:tr>
        <w:tc>
          <w:tcPr>
            <w:tcW w:type="dxa" w:w="2880"/>
            <w:vAlign w:val="center"/>
            <w:tcMar>
              <w:top w:w="100" w:type="dxa"/>
              <w:start w:w="100" w:type="dxa"/>
              <w:bottom w:w="100" w:type="dxa"/>
              <w:end w:w="100" w:type="dxa"/>
            </w:tcMar>
            <w:shd w:fill="EAF2F8"/>
          </w:tcPr>
          <w:p>
            <w:pPr>
              <w:spacing w:after="40" w:line="240" w:lineRule="auto"/>
            </w:pPr>
            <w:r>
              <w:rPr>
                <w:rFonts w:ascii="Aptos" w:hAnsi="Aptos"/>
                <w:color w:val="000000"/>
                <w:sz w:val="17"/>
              </w:rPr>
              <w:t>Current AI authorization</w:t>
            </w:r>
          </w:p>
        </w:tc>
        <w:tc>
          <w:tcPr>
            <w:tcW w:type="dxa" w:w="6696"/>
            <w:vAlign w:val="center"/>
            <w:tcMar>
              <w:top w:w="100" w:type="dxa"/>
              <w:start w:w="100" w:type="dxa"/>
              <w:bottom w:w="100" w:type="dxa"/>
              <w:end w:w="100" w:type="dxa"/>
            </w:tcMar>
            <w:shd w:fill="EAF2F8"/>
          </w:tcPr>
          <w:p>
            <w:pPr>
              <w:spacing w:after="40" w:line="240" w:lineRule="auto"/>
            </w:pPr>
            <w:r>
              <w:rPr>
                <w:rFonts w:ascii="Aptos" w:hAnsi="Aptos"/>
                <w:color w:val="000000"/>
                <w:sz w:val="17"/>
              </w:rPr>
              <w:t>Diagnostic and screening only; no automated release authority</w:t>
            </w:r>
          </w:p>
        </w:tc>
      </w:tr>
      <w:tr>
        <w:tc>
          <w:tcPr>
            <w:tcW w:type="dxa" w:w="2880"/>
            <w:vAlign w:val="center"/>
            <w:tcMar>
              <w:top w:w="100" w:type="dxa"/>
              <w:start w:w="100" w:type="dxa"/>
              <w:bottom w:w="100" w:type="dxa"/>
              <w:end w:w="100" w:type="dxa"/>
            </w:tcMar>
          </w:tcPr>
          <w:p>
            <w:pPr>
              <w:spacing w:after="40" w:line="240" w:lineRule="auto"/>
            </w:pPr>
            <w:r>
              <w:rPr>
                <w:rFonts w:ascii="Aptos" w:hAnsi="Aptos"/>
                <w:color w:val="000000"/>
                <w:sz w:val="17"/>
              </w:rPr>
              <w:t>Review date</w:t>
            </w:r>
          </w:p>
        </w:tc>
        <w:tc>
          <w:tcPr>
            <w:tcW w:type="dxa" w:w="6696"/>
            <w:vAlign w:val="center"/>
            <w:tcMar>
              <w:top w:w="100" w:type="dxa"/>
              <w:start w:w="100" w:type="dxa"/>
              <w:bottom w:w="100" w:type="dxa"/>
              <w:end w:w="100" w:type="dxa"/>
            </w:tcMar>
          </w:tcPr>
          <w:p>
            <w:pPr>
              <w:spacing w:after="40" w:line="240" w:lineRule="auto"/>
            </w:pPr>
            <w:r>
              <w:rPr>
                <w:rFonts w:ascii="Aptos" w:hAnsi="Aptos"/>
                <w:color w:val="000000"/>
                <w:sz w:val="17"/>
              </w:rPr>
              <w:t>Date for executive decision on any controlled pilot</w:t>
            </w:r>
          </w:p>
        </w:tc>
      </w:tr>
    </w:tbl>
    <w:p>
      <w:pPr>
        <w:spacing w:after="20"/>
      </w:pP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95959"/>
        <w:sz w:val="16"/>
      </w:rPr>
      <w:t xml:space="preserve">SRAI Official Statistics and AI Pathway  |  OS-A01-A02  |  </w:t>
    </w:r>
    <w:r>
      <w:rPr>
        <w:rFonts w:ascii="Aptos" w:hAnsi="Aptos"/>
        <w:b w:val="0"/>
        <w:color w:val="595959"/>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Information Ecosystem Executive Brief</dc:title>
  <dc:subject>Executive brief for OS-A01</dc:subject>
  <dc:creator>SRAI</dc:creator>
  <cp:keywords>official statistics, executive leadership, information ecosystem,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