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OS A01 The National Information Ecosystem</w:t>
      </w:r>
    </w:p>
    <w:p>
      <w:r>
        <w:t>Canonical learner lesson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223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Module</w:t>
            </w:r>
          </w:p>
        </w:tc>
        <w:tc>
          <w:tcPr>
            <w:tcW w:type="dxa" w:w="763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A1</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Competencies</w:t>
            </w:r>
          </w:p>
        </w:tc>
        <w:tc>
          <w:tcPr>
            <w:tcW w:type="dxa" w:w="7632"/>
            <w:tcMar>
              <w:top w:w="90" w:type="dxa"/>
              <w:start w:w="100" w:type="dxa"/>
              <w:bottom w:w="90" w:type="dxa"/>
              <w:end w:w="100" w:type="dxa"/>
            </w:tcMar>
            <w:vAlign w:val="center"/>
          </w:tcPr>
          <w:p>
            <w:pPr>
              <w:spacing w:after="40" w:line="240" w:lineRule="auto"/>
            </w:pPr>
            <w:r>
              <w:rPr>
                <w:rFonts w:ascii="Aptos" w:hAnsi="Aptos"/>
                <w:color w:val="000000"/>
                <w:sz w:val="17"/>
              </w:rPr>
              <w:t>C1 Statistical purpose and public value; C3 stewardship; C4 quality; C6 governance; C8 communication.</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Entry level</w:t>
            </w:r>
          </w:p>
        </w:tc>
        <w:tc>
          <w:tcPr>
            <w:tcW w:type="dxa" w:w="7632"/>
            <w:tcMar>
              <w:top w:w="90" w:type="dxa"/>
              <w:start w:w="100" w:type="dxa"/>
              <w:bottom w:w="90" w:type="dxa"/>
              <w:end w:w="100" w:type="dxa"/>
            </w:tcMar>
            <w:vAlign w:val="center"/>
            <w:shd w:fill="EAF2F8"/>
          </w:tcPr>
          <w:p>
            <w:pPr>
              <w:spacing w:after="40" w:line="240" w:lineRule="auto"/>
            </w:pPr>
            <w:r>
              <w:rPr>
                <w:rFonts w:ascii="Aptos" w:hAnsi="Aptos"/>
                <w:color w:val="000000"/>
                <w:sz w:val="17"/>
              </w:rPr>
              <w:t>No prior AI expertise required; basic familiarity with a statistical organization or sector.</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Exit level</w:t>
            </w:r>
          </w:p>
        </w:tc>
        <w:tc>
          <w:tcPr>
            <w:tcW w:type="dxa" w:w="7632"/>
            <w:tcMar>
              <w:top w:w="90" w:type="dxa"/>
              <w:start w:w="100" w:type="dxa"/>
              <w:bottom w:w="90" w:type="dxa"/>
              <w:end w:w="100" w:type="dxa"/>
            </w:tcMar>
            <w:vAlign w:val="center"/>
          </w:tcPr>
          <w:p>
            <w:pPr>
              <w:spacing w:after="40" w:line="240" w:lineRule="auto"/>
            </w:pPr>
            <w:r>
              <w:rPr>
                <w:rFonts w:ascii="Aptos" w:hAnsi="Aptos"/>
                <w:color w:val="000000"/>
                <w:sz w:val="17"/>
              </w:rPr>
              <w:t>L1 guided practitioner, with an optional L2 workplace assignment.</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Structured time</w:t>
            </w:r>
          </w:p>
        </w:tc>
        <w:tc>
          <w:tcPr>
            <w:tcW w:type="dxa" w:w="7632"/>
            <w:tcMar>
              <w:top w:w="90" w:type="dxa"/>
              <w:start w:w="100" w:type="dxa"/>
              <w:bottom w:w="90" w:type="dxa"/>
              <w:end w:w="100" w:type="dxa"/>
            </w:tcMar>
            <w:vAlign w:val="center"/>
            <w:shd w:fill="EAF2F8"/>
          </w:tcPr>
          <w:p>
            <w:pPr>
              <w:spacing w:after="40" w:line="240" w:lineRule="auto"/>
            </w:pPr>
            <w:r>
              <w:rPr>
                <w:rFonts w:ascii="Aptos" w:hAnsi="Aptos"/>
                <w:color w:val="000000"/>
                <w:sz w:val="17"/>
              </w:rPr>
              <w:t>6 hours, delivered as one day or two 3-hour sessions.</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Practice share</w:t>
            </w:r>
          </w:p>
        </w:tc>
        <w:tc>
          <w:tcPr>
            <w:tcW w:type="dxa" w:w="7632"/>
            <w:tcMar>
              <w:top w:w="90" w:type="dxa"/>
              <w:start w:w="100" w:type="dxa"/>
              <w:bottom w:w="90" w:type="dxa"/>
              <w:end w:w="100" w:type="dxa"/>
            </w:tcMar>
            <w:vAlign w:val="center"/>
          </w:tcPr>
          <w:p>
            <w:pPr>
              <w:spacing w:after="40" w:line="240" w:lineRule="auto"/>
            </w:pPr>
            <w:r>
              <w:rPr>
                <w:rFonts w:ascii="Aptos" w:hAnsi="Aptos"/>
                <w:color w:val="000000"/>
                <w:sz w:val="17"/>
              </w:rPr>
              <w:t>Approximately 65 percent.</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Primary evidence</w:t>
            </w:r>
          </w:p>
        </w:tc>
        <w:tc>
          <w:tcPr>
            <w:tcW w:type="dxa" w:w="7632"/>
            <w:tcMar>
              <w:top w:w="90" w:type="dxa"/>
              <w:start w:w="100" w:type="dxa"/>
              <w:bottom w:w="90" w:type="dxa"/>
              <w:end w:w="100" w:type="dxa"/>
            </w:tcMar>
            <w:vAlign w:val="center"/>
            <w:shd w:fill="EAF2F8"/>
          </w:tcPr>
          <w:p>
            <w:pPr>
              <w:spacing w:after="40" w:line="240" w:lineRule="auto"/>
            </w:pPr>
            <w:r>
              <w:rPr>
                <w:rFonts w:ascii="Aptos" w:hAnsi="Aptos"/>
                <w:color w:val="000000"/>
                <w:sz w:val="17"/>
              </w:rPr>
              <w:t>Completed ecosystem map, flow analysis, risk statement and oral defence.</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Phase 1 link</w:t>
            </w:r>
          </w:p>
        </w:tc>
        <w:tc>
          <w:tcPr>
            <w:tcW w:type="dxa" w:w="7632"/>
            <w:tcMar>
              <w:top w:w="90" w:type="dxa"/>
              <w:start w:w="100" w:type="dxa"/>
              <w:bottom w:w="90" w:type="dxa"/>
              <w:end w:w="100" w:type="dxa"/>
            </w:tcMar>
            <w:vAlign w:val="center"/>
          </w:tcPr>
          <w:p>
            <w:pPr>
              <w:spacing w:after="40" w:line="240" w:lineRule="auto"/>
            </w:pPr>
            <w:r>
              <w:rPr>
                <w:rFonts w:ascii="Aptos" w:hAnsi="Aptos"/>
                <w:color w:val="000000"/>
                <w:sz w:val="17"/>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144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Part</w:t>
            </w:r>
          </w:p>
        </w:tc>
        <w:tc>
          <w:tcPr>
            <w:tcW w:type="dxa" w:w="842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Use</w:t>
            </w:r>
          </w:p>
        </w:tc>
      </w:tr>
      <w:tr>
        <w:tc>
          <w:tcPr>
            <w:tcW w:type="dxa" w:w="5097"/>
            <w:tcMar>
              <w:top w:w="90" w:type="dxa"/>
              <w:start w:w="100" w:type="dxa"/>
              <w:bottom w:w="90" w:type="dxa"/>
              <w:end w:w="100" w:type="dxa"/>
            </w:tcMar>
            <w:vAlign w:val="center"/>
          </w:tcPr>
          <w:p>
            <w:pPr>
              <w:spacing w:after="40" w:line="240" w:lineRule="auto"/>
            </w:pPr>
            <w:r>
              <w:rPr>
                <w:rFonts w:ascii="Aptos" w:hAnsi="Aptos"/>
                <w:sz w:val="17"/>
              </w:rPr>
              <w:t>1</w:t>
            </w:r>
          </w:p>
        </w:tc>
        <w:tc>
          <w:tcPr>
            <w:tcW w:type="dxa" w:w="5097"/>
            <w:tcMar>
              <w:top w:w="90" w:type="dxa"/>
              <w:start w:w="100" w:type="dxa"/>
              <w:bottom w:w="90" w:type="dxa"/>
              <w:end w:w="100" w:type="dxa"/>
            </w:tcMar>
            <w:vAlign w:val="center"/>
          </w:tcPr>
          <w:p>
            <w:pPr>
              <w:spacing w:after="40" w:line="240" w:lineRule="auto"/>
            </w:pPr>
            <w:r>
              <w:rPr>
                <w:rFonts w:ascii="Aptos" w:hAnsi="Aptos"/>
                <w:sz w:val="17"/>
              </w:rPr>
              <w:t>Learning outcomes and critical safeguards.</w:t>
            </w:r>
          </w:p>
        </w:tc>
      </w:tr>
      <w:tr>
        <w:tc>
          <w:tcPr>
            <w:tcW w:type="dxa" w:w="5097"/>
            <w:tcMar>
              <w:top w:w="90" w:type="dxa"/>
              <w:start w:w="100" w:type="dxa"/>
              <w:bottom w:w="90" w:type="dxa"/>
              <w:end w:w="100" w:type="dxa"/>
            </w:tcMar>
            <w:vAlign w:val="center"/>
            <w:shd w:fill="EAF2F8"/>
          </w:tcPr>
          <w:p>
            <w:pPr>
              <w:spacing w:after="40" w:line="240" w:lineRule="auto"/>
            </w:pPr>
            <w:r>
              <w:rPr>
                <w:rFonts w:ascii="Aptos" w:hAnsi="Aptos"/>
                <w:sz w:val="17"/>
              </w:rPr>
              <w:t>2-5</w:t>
            </w:r>
          </w:p>
        </w:tc>
        <w:tc>
          <w:tcPr>
            <w:tcW w:type="dxa" w:w="5097"/>
            <w:tcMar>
              <w:top w:w="90" w:type="dxa"/>
              <w:start w:w="100" w:type="dxa"/>
              <w:bottom w:w="90" w:type="dxa"/>
              <w:end w:w="100" w:type="dxa"/>
            </w:tcMar>
            <w:vAlign w:val="center"/>
            <w:shd w:fill="EAF2F8"/>
          </w:tcPr>
          <w:p>
            <w:pPr>
              <w:spacing w:after="40" w:line="240" w:lineRule="auto"/>
            </w:pPr>
            <w:r>
              <w:rPr>
                <w:rFonts w:ascii="Aptos" w:hAnsi="Aptos"/>
                <w:sz w:val="17"/>
              </w:rPr>
              <w:t>Core concepts and the ecosystem mapping method.</w:t>
            </w:r>
          </w:p>
        </w:tc>
      </w:tr>
      <w:tr>
        <w:tc>
          <w:tcPr>
            <w:tcW w:type="dxa" w:w="5097"/>
            <w:tcMar>
              <w:top w:w="90" w:type="dxa"/>
              <w:start w:w="100" w:type="dxa"/>
              <w:bottom w:w="90" w:type="dxa"/>
              <w:end w:w="100" w:type="dxa"/>
            </w:tcMar>
            <w:vAlign w:val="center"/>
          </w:tcPr>
          <w:p>
            <w:pPr>
              <w:spacing w:after="40" w:line="240" w:lineRule="auto"/>
            </w:pPr>
            <w:r>
              <w:rPr>
                <w:rFonts w:ascii="Aptos" w:hAnsi="Aptos"/>
                <w:sz w:val="17"/>
              </w:rPr>
              <w:t>6</w:t>
            </w:r>
          </w:p>
        </w:tc>
        <w:tc>
          <w:tcPr>
            <w:tcW w:type="dxa" w:w="5097"/>
            <w:tcMar>
              <w:top w:w="90" w:type="dxa"/>
              <w:start w:w="100" w:type="dxa"/>
              <w:bottom w:w="90" w:type="dxa"/>
              <w:end w:w="100" w:type="dxa"/>
            </w:tcMar>
            <w:vAlign w:val="center"/>
          </w:tcPr>
          <w:p>
            <w:pPr>
              <w:spacing w:after="40" w:line="240" w:lineRule="auto"/>
            </w:pPr>
            <w:r>
              <w:rPr>
                <w:rFonts w:ascii="Aptos" w:hAnsi="Aptos"/>
                <w:sz w:val="17"/>
              </w:rPr>
              <w:t>Fictional Republic of Kintaba case evidence.</w:t>
            </w:r>
          </w:p>
        </w:tc>
      </w:tr>
      <w:tr>
        <w:tc>
          <w:tcPr>
            <w:tcW w:type="dxa" w:w="5097"/>
            <w:tcMar>
              <w:top w:w="90" w:type="dxa"/>
              <w:start w:w="100" w:type="dxa"/>
              <w:bottom w:w="90" w:type="dxa"/>
              <w:end w:w="100" w:type="dxa"/>
            </w:tcMar>
            <w:vAlign w:val="center"/>
            <w:shd w:fill="EAF2F8"/>
          </w:tcPr>
          <w:p>
            <w:pPr>
              <w:spacing w:after="40" w:line="240" w:lineRule="auto"/>
            </w:pPr>
            <w:r>
              <w:rPr>
                <w:rFonts w:ascii="Aptos" w:hAnsi="Aptos"/>
                <w:sz w:val="17"/>
              </w:rPr>
              <w:t>7-10</w:t>
            </w:r>
          </w:p>
        </w:tc>
        <w:tc>
          <w:tcPr>
            <w:tcW w:type="dxa" w:w="5097"/>
            <w:tcMar>
              <w:top w:w="90" w:type="dxa"/>
              <w:start w:w="100" w:type="dxa"/>
              <w:bottom w:w="90" w:type="dxa"/>
              <w:end w:w="100" w:type="dxa"/>
            </w:tcMar>
            <w:vAlign w:val="center"/>
            <w:shd w:fill="EAF2F8"/>
          </w:tcPr>
          <w:p>
            <w:pPr>
              <w:spacing w:after="40" w:line="240" w:lineRule="auto"/>
            </w:pPr>
            <w:r>
              <w:rPr>
                <w:rFonts w:ascii="Aptos" w:hAnsi="Aptos"/>
                <w:sz w:val="17"/>
              </w:rPr>
              <w:t>Practical exercises and individual assessment prompt.</w:t>
            </w:r>
          </w:p>
        </w:tc>
      </w:tr>
    </w:tbl>
    <w:p>
      <w:pPr>
        <w:spacing w:after="20"/>
      </w:pPr>
    </w:p>
    <w:p>
      <w:pPr>
        <w:pStyle w:val="Heading2"/>
      </w:pPr>
      <w:r>
        <w:t>How to use this lesson</w:t>
      </w:r>
    </w:p>
    <w:p>
      <w:pPr/>
      <w:r>
        <w:t>Work through the concepts before opening the Kintaba laboratory. Keep evidence, reported information and unknowns distinct. The objective is not to produce the longest inventory; it is to explain how authority, assets, flows, quality, safeguards and user decisions fit together, and to identify what must be improved before AI is considered.</w:t>
      </w:r>
    </w:p>
    <w:p>
      <w:pPr>
        <w:pStyle w:val="Heading1"/>
      </w:pPr>
      <w:r>
        <w:t>1 Learning outcomes and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561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By the end participants can</w:t>
            </w:r>
          </w:p>
        </w:tc>
        <w:tc>
          <w:tcPr>
            <w:tcW w:type="dxa" w:w="424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Evidence</w:t>
            </w:r>
          </w:p>
        </w:tc>
      </w:tr>
      <w:tr>
        <w:tc>
          <w:tcPr>
            <w:tcW w:type="dxa" w:w="5616"/>
            <w:tcMar>
              <w:top w:w="90" w:type="dxa"/>
              <w:start w:w="100" w:type="dxa"/>
              <w:bottom w:w="90" w:type="dxa"/>
              <w:end w:w="100" w:type="dxa"/>
            </w:tcMar>
            <w:vAlign w:val="center"/>
          </w:tcPr>
          <w:p>
            <w:pPr>
              <w:spacing w:after="40" w:line="240" w:lineRule="auto"/>
            </w:pPr>
            <w:r>
              <w:rPr>
                <w:rFonts w:ascii="Aptos" w:hAnsi="Aptos"/>
                <w:color w:val="000000"/>
                <w:sz w:val="17"/>
              </w:rPr>
              <w:t>Define the boundary of a national or sector information ecosystem.</w:t>
            </w:r>
          </w:p>
        </w:tc>
        <w:tc>
          <w:tcPr>
            <w:tcW w:type="dxa" w:w="4248"/>
            <w:tcMar>
              <w:top w:w="90" w:type="dxa"/>
              <w:start w:w="100" w:type="dxa"/>
              <w:bottom w:w="90" w:type="dxa"/>
              <w:end w:w="100" w:type="dxa"/>
            </w:tcMar>
            <w:vAlign w:val="center"/>
          </w:tcPr>
          <w:p>
            <w:pPr>
              <w:spacing w:after="40" w:line="240" w:lineRule="auto"/>
            </w:pPr>
            <w:r>
              <w:rPr>
                <w:rFonts w:ascii="Aptos" w:hAnsi="Aptos"/>
                <w:color w:val="000000"/>
                <w:sz w:val="17"/>
              </w:rPr>
              <w:t>Scope statement naming domain, geography, period, users and exclusions.</w:t>
            </w:r>
          </w:p>
        </w:tc>
      </w:tr>
      <w:tr>
        <w:tc>
          <w:tcPr>
            <w:tcW w:type="dxa" w:w="5616"/>
            <w:tcMar>
              <w:top w:w="90" w:type="dxa"/>
              <w:start w:w="100" w:type="dxa"/>
              <w:bottom w:w="90" w:type="dxa"/>
              <w:end w:w="100" w:type="dxa"/>
            </w:tcMar>
            <w:vAlign w:val="center"/>
            <w:shd w:fill="EAF2F8"/>
          </w:tcPr>
          <w:p>
            <w:pPr>
              <w:spacing w:after="40" w:line="240" w:lineRule="auto"/>
            </w:pPr>
            <w:r>
              <w:rPr>
                <w:rFonts w:ascii="Aptos" w:hAnsi="Aptos"/>
                <w:color w:val="000000"/>
                <w:sz w:val="17"/>
              </w:rPr>
              <w:t>Distinguish producer, source owner, steward, processor, coordinator, funder, regulator and user roles.</w:t>
            </w:r>
          </w:p>
        </w:tc>
        <w:tc>
          <w:tcPr>
            <w:tcW w:type="dxa" w:w="4248"/>
            <w:tcMar>
              <w:top w:w="90" w:type="dxa"/>
              <w:start w:w="100" w:type="dxa"/>
              <w:bottom w:w="90" w:type="dxa"/>
              <w:end w:w="100" w:type="dxa"/>
            </w:tcMar>
            <w:vAlign w:val="center"/>
            <w:shd w:fill="EAF2F8"/>
          </w:tcPr>
          <w:p>
            <w:pPr>
              <w:spacing w:after="40" w:line="240" w:lineRule="auto"/>
            </w:pPr>
            <w:r>
              <w:rPr>
                <w:rFonts w:ascii="Aptos" w:hAnsi="Aptos"/>
                <w:color w:val="000000"/>
                <w:sz w:val="17"/>
              </w:rPr>
              <w:t>Actor register with role and authority evidence.</w:t>
            </w:r>
          </w:p>
        </w:tc>
      </w:tr>
      <w:tr>
        <w:tc>
          <w:tcPr>
            <w:tcW w:type="dxa" w:w="5616"/>
            <w:tcMar>
              <w:top w:w="90" w:type="dxa"/>
              <w:start w:w="100" w:type="dxa"/>
              <w:bottom w:w="90" w:type="dxa"/>
              <w:end w:w="100" w:type="dxa"/>
            </w:tcMar>
            <w:vAlign w:val="center"/>
          </w:tcPr>
          <w:p>
            <w:pPr>
              <w:spacing w:after="40" w:line="240" w:lineRule="auto"/>
            </w:pPr>
            <w:r>
              <w:rPr>
                <w:rFonts w:ascii="Aptos" w:hAnsi="Aptos"/>
                <w:color w:val="000000"/>
                <w:sz w:val="17"/>
              </w:rPr>
              <w:t>Inventory data assets from surveys, censuses, administrative records, research, geospatial and private sources.</w:t>
            </w:r>
          </w:p>
        </w:tc>
        <w:tc>
          <w:tcPr>
            <w:tcW w:type="dxa" w:w="4248"/>
            <w:tcMar>
              <w:top w:w="90" w:type="dxa"/>
              <w:start w:w="100" w:type="dxa"/>
              <w:bottom w:w="90" w:type="dxa"/>
              <w:end w:w="100" w:type="dxa"/>
            </w:tcMar>
            <w:vAlign w:val="center"/>
          </w:tcPr>
          <w:p>
            <w:pPr>
              <w:spacing w:after="40" w:line="240" w:lineRule="auto"/>
            </w:pPr>
            <w:r>
              <w:rPr>
                <w:rFonts w:ascii="Aptos" w:hAnsi="Aptos"/>
                <w:color w:val="000000"/>
                <w:sz w:val="17"/>
              </w:rPr>
              <w:t>Asset register with provenance and quality notes.</w:t>
            </w:r>
          </w:p>
        </w:tc>
      </w:tr>
      <w:tr>
        <w:tc>
          <w:tcPr>
            <w:tcW w:type="dxa" w:w="5616"/>
            <w:tcMar>
              <w:top w:w="90" w:type="dxa"/>
              <w:start w:w="100" w:type="dxa"/>
              <w:bottom w:w="90" w:type="dxa"/>
              <w:end w:w="100" w:type="dxa"/>
            </w:tcMar>
            <w:vAlign w:val="center"/>
            <w:shd w:fill="EAF2F8"/>
          </w:tcPr>
          <w:p>
            <w:pPr>
              <w:spacing w:after="40" w:line="240" w:lineRule="auto"/>
            </w:pPr>
            <w:r>
              <w:rPr>
                <w:rFonts w:ascii="Aptos" w:hAnsi="Aptos"/>
                <w:color w:val="000000"/>
                <w:sz w:val="17"/>
              </w:rPr>
              <w:t>Trace one critical information flow from collection or generation to use.</w:t>
            </w:r>
          </w:p>
        </w:tc>
        <w:tc>
          <w:tcPr>
            <w:tcW w:type="dxa" w:w="4248"/>
            <w:tcMar>
              <w:top w:w="90" w:type="dxa"/>
              <w:start w:w="100" w:type="dxa"/>
              <w:bottom w:w="90" w:type="dxa"/>
              <w:end w:w="100" w:type="dxa"/>
            </w:tcMar>
            <w:vAlign w:val="center"/>
            <w:shd w:fill="EAF2F8"/>
          </w:tcPr>
          <w:p>
            <w:pPr>
              <w:spacing w:after="40" w:line="240" w:lineRule="auto"/>
            </w:pPr>
            <w:r>
              <w:rPr>
                <w:rFonts w:ascii="Aptos" w:hAnsi="Aptos"/>
                <w:color w:val="000000"/>
                <w:sz w:val="17"/>
              </w:rPr>
              <w:t>Flow record showing transformations, handoffs, delays and failure points.</w:t>
            </w:r>
          </w:p>
        </w:tc>
      </w:tr>
      <w:tr>
        <w:tc>
          <w:tcPr>
            <w:tcW w:type="dxa" w:w="5616"/>
            <w:tcMar>
              <w:top w:w="90" w:type="dxa"/>
              <w:start w:w="100" w:type="dxa"/>
              <w:bottom w:w="90" w:type="dxa"/>
              <w:end w:w="100" w:type="dxa"/>
            </w:tcMar>
            <w:vAlign w:val="center"/>
          </w:tcPr>
          <w:p>
            <w:pPr>
              <w:spacing w:after="40" w:line="240" w:lineRule="auto"/>
            </w:pPr>
            <w:r>
              <w:rPr>
                <w:rFonts w:ascii="Aptos" w:hAnsi="Aptos"/>
                <w:color w:val="000000"/>
                <w:sz w:val="17"/>
              </w:rPr>
              <w:t>Connect user needs to fitness-for-use requirements.</w:t>
            </w:r>
          </w:p>
        </w:tc>
        <w:tc>
          <w:tcPr>
            <w:tcW w:type="dxa" w:w="4248"/>
            <w:tcMar>
              <w:top w:w="90" w:type="dxa"/>
              <w:start w:w="100" w:type="dxa"/>
              <w:bottom w:w="90" w:type="dxa"/>
              <w:end w:w="100" w:type="dxa"/>
            </w:tcMar>
            <w:vAlign w:val="center"/>
          </w:tcPr>
          <w:p>
            <w:pPr>
              <w:spacing w:after="40" w:line="240" w:lineRule="auto"/>
            </w:pPr>
            <w:r>
              <w:rPr>
                <w:rFonts w:ascii="Aptos" w:hAnsi="Aptos"/>
                <w:color w:val="000000"/>
                <w:sz w:val="17"/>
              </w:rPr>
              <w:t>Need-to-asset matrix with unmet or partially met needs.</w:t>
            </w:r>
          </w:p>
        </w:tc>
      </w:tr>
      <w:tr>
        <w:tc>
          <w:tcPr>
            <w:tcW w:type="dxa" w:w="5616"/>
            <w:tcMar>
              <w:top w:w="90" w:type="dxa"/>
              <w:start w:w="100" w:type="dxa"/>
              <w:bottom w:w="90" w:type="dxa"/>
              <w:end w:w="100" w:type="dxa"/>
            </w:tcMar>
            <w:vAlign w:val="center"/>
            <w:shd w:fill="EAF2F8"/>
          </w:tcPr>
          <w:p>
            <w:pPr>
              <w:spacing w:after="40" w:line="240" w:lineRule="auto"/>
            </w:pPr>
            <w:r>
              <w:rPr>
                <w:rFonts w:ascii="Aptos" w:hAnsi="Aptos"/>
                <w:color w:val="000000"/>
                <w:sz w:val="17"/>
              </w:rPr>
              <w:t>Identify coordination, capability, quality, legal, security and sustainability risks.</w:t>
            </w:r>
          </w:p>
        </w:tc>
        <w:tc>
          <w:tcPr>
            <w:tcW w:type="dxa" w:w="4248"/>
            <w:tcMar>
              <w:top w:w="90" w:type="dxa"/>
              <w:start w:w="100" w:type="dxa"/>
              <w:bottom w:w="90" w:type="dxa"/>
              <w:end w:w="100" w:type="dxa"/>
            </w:tcMar>
            <w:vAlign w:val="center"/>
            <w:shd w:fill="EAF2F8"/>
          </w:tcPr>
          <w:p>
            <w:pPr>
              <w:spacing w:after="40" w:line="240" w:lineRule="auto"/>
            </w:pPr>
            <w:r>
              <w:rPr>
                <w:rFonts w:ascii="Aptos" w:hAnsi="Aptos"/>
                <w:color w:val="000000"/>
                <w:sz w:val="17"/>
              </w:rPr>
              <w:t>Prioritized gap and risk list.</w:t>
            </w:r>
          </w:p>
        </w:tc>
      </w:tr>
      <w:tr>
        <w:tc>
          <w:tcPr>
            <w:tcW w:type="dxa" w:w="5616"/>
            <w:tcMar>
              <w:top w:w="90" w:type="dxa"/>
              <w:start w:w="100" w:type="dxa"/>
              <w:bottom w:w="90" w:type="dxa"/>
              <w:end w:w="100" w:type="dxa"/>
            </w:tcMar>
            <w:vAlign w:val="center"/>
          </w:tcPr>
          <w:p>
            <w:pPr>
              <w:spacing w:after="40" w:line="240" w:lineRule="auto"/>
            </w:pPr>
            <w:r>
              <w:rPr>
                <w:rFonts w:ascii="Aptos" w:hAnsi="Aptos"/>
                <w:color w:val="000000"/>
                <w:sz w:val="17"/>
              </w:rPr>
              <w:t>Locate bounded AI opportunities without assuming AI is the answer.</w:t>
            </w:r>
          </w:p>
        </w:tc>
        <w:tc>
          <w:tcPr>
            <w:tcW w:type="dxa" w:w="4248"/>
            <w:tcMar>
              <w:top w:w="90" w:type="dxa"/>
              <w:start w:w="100" w:type="dxa"/>
              <w:bottom w:w="90" w:type="dxa"/>
              <w:end w:w="100" w:type="dxa"/>
            </w:tcMar>
            <w:vAlign w:val="center"/>
          </w:tcPr>
          <w:p>
            <w:pPr>
              <w:spacing w:after="40" w:line="240" w:lineRule="auto"/>
            </w:pPr>
            <w:r>
              <w:rPr>
                <w:rFonts w:ascii="Aptos" w:hAnsi="Aptos"/>
                <w:color w:val="000000"/>
                <w:sz w:val="17"/>
              </w:rPr>
              <w:t>Opportunity and dependency statement with a proceed, investigate or do not pursue recommendation.</w:t>
            </w:r>
          </w:p>
        </w:tc>
      </w:tr>
    </w:tbl>
    <w:p>
      <w:pPr>
        <w:spacing w:after="20"/>
      </w:pPr>
    </w:p>
    <w:p>
      <w:pPr>
        <w:pStyle w:val="Heading2"/>
      </w:pPr>
      <w:r>
        <w:t>Critical safeguards</w:t>
      </w:r>
    </w:p>
    <w:p>
      <w:pPr>
        <w:pStyle w:val="ListBullet"/>
        <w:spacing w:after="40"/>
      </w:pPr>
      <w:r>
        <w:t>Do not include confidential records, passwords, security details or personal data in the classroom map.</w:t>
      </w:r>
    </w:p>
    <w:p>
      <w:pPr>
        <w:pStyle w:val="ListBullet"/>
        <w:spacing w:after="40"/>
      </w:pPr>
      <w:r>
        <w:t>Label claims as evidenced, reported or unknown. Do not convert informed opinion into fact.</w:t>
      </w:r>
    </w:p>
    <w:p>
      <w:pPr>
        <w:pStyle w:val="ListBullet"/>
        <w:spacing w:after="40"/>
      </w:pPr>
      <w:r>
        <w:t>Map actual decision authority; do not assume the NSO controls every sector source.</w:t>
      </w:r>
    </w:p>
    <w:p>
      <w:pPr>
        <w:pStyle w:val="ListBullet"/>
        <w:spacing w:after="40"/>
      </w:pPr>
      <w:r>
        <w:t>An AI opportunity is not selected until purpose, data access, quality, human responsibility and security are considered.</w:t>
      </w:r>
    </w:p>
    <w:p>
      <w:pPr>
        <w:pStyle w:val="Heading1"/>
      </w:pPr>
      <w:r>
        <w:t>2 Core concept the information ecosystem</w:t>
      </w:r>
    </w:p>
    <w:p>
      <w:r>
        <w:t>A national information ecosystem is the connected set of people, institutions, rules, data assets, technologies, processes, funding arrangements and relationships through which information is generated, transformed, governed, disseminated and used. It includes official statistics but is wider than the national statistical office and wider than the formal national statistical system.</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244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Component</w:t>
            </w:r>
          </w:p>
        </w:tc>
        <w:tc>
          <w:tcPr>
            <w:tcW w:type="dxa" w:w="741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Questions to ask</w:t>
            </w:r>
          </w:p>
        </w:tc>
      </w:tr>
      <w:tr>
        <w:tc>
          <w:tcPr>
            <w:tcW w:type="dxa" w:w="2448"/>
            <w:tcMar>
              <w:top w:w="90" w:type="dxa"/>
              <w:start w:w="100" w:type="dxa"/>
              <w:bottom w:w="90" w:type="dxa"/>
              <w:end w:w="100" w:type="dxa"/>
            </w:tcMar>
            <w:vAlign w:val="center"/>
          </w:tcPr>
          <w:p>
            <w:pPr>
              <w:spacing w:after="40" w:line="240" w:lineRule="auto"/>
            </w:pPr>
            <w:r>
              <w:rPr>
                <w:rFonts w:ascii="Aptos" w:hAnsi="Aptos"/>
                <w:color w:val="000000"/>
                <w:sz w:val="17"/>
              </w:rPr>
              <w:t>Public purpose and users</w:t>
            </w:r>
          </w:p>
        </w:tc>
        <w:tc>
          <w:tcPr>
            <w:tcW w:type="dxa" w:w="7416"/>
            <w:tcMar>
              <w:top w:w="90" w:type="dxa"/>
              <w:start w:w="100" w:type="dxa"/>
              <w:bottom w:w="90" w:type="dxa"/>
              <w:end w:w="100" w:type="dxa"/>
            </w:tcMar>
            <w:vAlign w:val="center"/>
          </w:tcPr>
          <w:p>
            <w:pPr>
              <w:spacing w:after="40" w:line="240" w:lineRule="auto"/>
            </w:pPr>
            <w:r>
              <w:rPr>
                <w:rFonts w:ascii="Aptos" w:hAnsi="Aptos"/>
                <w:color w:val="000000"/>
                <w:sz w:val="17"/>
              </w:rPr>
              <w:t>Which decisions, rights, services, markets or public debates require information? Who uses it and when?</w:t>
            </w:r>
          </w:p>
        </w:tc>
      </w:tr>
      <w:tr>
        <w:tc>
          <w:tcPr>
            <w:tcW w:type="dxa" w:w="2448"/>
            <w:tcMar>
              <w:top w:w="90" w:type="dxa"/>
              <w:start w:w="100" w:type="dxa"/>
              <w:bottom w:w="90" w:type="dxa"/>
              <w:end w:w="100" w:type="dxa"/>
            </w:tcMar>
            <w:vAlign w:val="center"/>
            <w:shd w:fill="EAF2F8"/>
          </w:tcPr>
          <w:p>
            <w:pPr>
              <w:spacing w:after="40" w:line="240" w:lineRule="auto"/>
            </w:pPr>
            <w:r>
              <w:rPr>
                <w:rFonts w:ascii="Aptos" w:hAnsi="Aptos"/>
                <w:color w:val="000000"/>
                <w:sz w:val="17"/>
              </w:rPr>
              <w:t>Actors and authority</w:t>
            </w:r>
          </w:p>
        </w:tc>
        <w:tc>
          <w:tcPr>
            <w:tcW w:type="dxa" w:w="7416"/>
            <w:tcMar>
              <w:top w:w="90" w:type="dxa"/>
              <w:start w:w="100" w:type="dxa"/>
              <w:bottom w:w="90" w:type="dxa"/>
              <w:end w:w="100" w:type="dxa"/>
            </w:tcMar>
            <w:vAlign w:val="center"/>
            <w:shd w:fill="EAF2F8"/>
          </w:tcPr>
          <w:p>
            <w:pPr>
              <w:spacing w:after="40" w:line="240" w:lineRule="auto"/>
            </w:pPr>
            <w:r>
              <w:rPr>
                <w:rFonts w:ascii="Aptos" w:hAnsi="Aptos"/>
                <w:color w:val="000000"/>
                <w:sz w:val="17"/>
              </w:rPr>
              <w:t>Who owns sources, produces statistics, sets methods, coordinates, regulates, finances, supplies technology and uses results?</w:t>
            </w:r>
          </w:p>
        </w:tc>
      </w:tr>
      <w:tr>
        <w:tc>
          <w:tcPr>
            <w:tcW w:type="dxa" w:w="2448"/>
            <w:tcMar>
              <w:top w:w="90" w:type="dxa"/>
              <w:start w:w="100" w:type="dxa"/>
              <w:bottom w:w="90" w:type="dxa"/>
              <w:end w:w="100" w:type="dxa"/>
            </w:tcMar>
            <w:vAlign w:val="center"/>
          </w:tcPr>
          <w:p>
            <w:pPr>
              <w:spacing w:after="40" w:line="240" w:lineRule="auto"/>
            </w:pPr>
            <w:r>
              <w:rPr>
                <w:rFonts w:ascii="Aptos" w:hAnsi="Aptos"/>
                <w:color w:val="000000"/>
                <w:sz w:val="17"/>
              </w:rPr>
              <w:t>Data and information assets</w:t>
            </w:r>
          </w:p>
        </w:tc>
        <w:tc>
          <w:tcPr>
            <w:tcW w:type="dxa" w:w="7416"/>
            <w:tcMar>
              <w:top w:w="90" w:type="dxa"/>
              <w:start w:w="100" w:type="dxa"/>
              <w:bottom w:w="90" w:type="dxa"/>
              <w:end w:w="100" w:type="dxa"/>
            </w:tcMar>
            <w:vAlign w:val="center"/>
          </w:tcPr>
          <w:p>
            <w:pPr>
              <w:spacing w:after="40" w:line="240" w:lineRule="auto"/>
            </w:pPr>
            <w:r>
              <w:rPr>
                <w:rFonts w:ascii="Aptos" w:hAnsi="Aptos"/>
                <w:color w:val="000000"/>
                <w:sz w:val="17"/>
              </w:rPr>
              <w:t>What surveys, censuses, administrative records, research outputs, geospatial sources, private data, classifications and metadata exist?</w:t>
            </w:r>
          </w:p>
        </w:tc>
      </w:tr>
      <w:tr>
        <w:tc>
          <w:tcPr>
            <w:tcW w:type="dxa" w:w="2448"/>
            <w:tcMar>
              <w:top w:w="90" w:type="dxa"/>
              <w:start w:w="100" w:type="dxa"/>
              <w:bottom w:w="90" w:type="dxa"/>
              <w:end w:w="100" w:type="dxa"/>
            </w:tcMar>
            <w:vAlign w:val="center"/>
            <w:shd w:fill="EAF2F8"/>
          </w:tcPr>
          <w:p>
            <w:pPr>
              <w:spacing w:after="40" w:line="240" w:lineRule="auto"/>
            </w:pPr>
            <w:r>
              <w:rPr>
                <w:rFonts w:ascii="Aptos" w:hAnsi="Aptos"/>
                <w:color w:val="000000"/>
                <w:sz w:val="17"/>
              </w:rPr>
              <w:t>Flows and processes</w:t>
            </w:r>
          </w:p>
        </w:tc>
        <w:tc>
          <w:tcPr>
            <w:tcW w:type="dxa" w:w="7416"/>
            <w:tcMar>
              <w:top w:w="90" w:type="dxa"/>
              <w:start w:w="100" w:type="dxa"/>
              <w:bottom w:w="90" w:type="dxa"/>
              <w:end w:w="100" w:type="dxa"/>
            </w:tcMar>
            <w:vAlign w:val="center"/>
            <w:shd w:fill="EAF2F8"/>
          </w:tcPr>
          <w:p>
            <w:pPr>
              <w:spacing w:after="40" w:line="240" w:lineRule="auto"/>
            </w:pPr>
            <w:r>
              <w:rPr>
                <w:rFonts w:ascii="Aptos" w:hAnsi="Aptos"/>
                <w:color w:val="000000"/>
                <w:sz w:val="17"/>
              </w:rPr>
              <w:t>How does information move, transform, link, aggregate, validate, revise and reach users?</w:t>
            </w:r>
          </w:p>
        </w:tc>
      </w:tr>
      <w:tr>
        <w:tc>
          <w:tcPr>
            <w:tcW w:type="dxa" w:w="2448"/>
            <w:tcMar>
              <w:top w:w="90" w:type="dxa"/>
              <w:start w:w="100" w:type="dxa"/>
              <w:bottom w:w="90" w:type="dxa"/>
              <w:end w:w="100" w:type="dxa"/>
            </w:tcMar>
            <w:vAlign w:val="center"/>
          </w:tcPr>
          <w:p>
            <w:pPr>
              <w:spacing w:after="40" w:line="240" w:lineRule="auto"/>
            </w:pPr>
            <w:r>
              <w:rPr>
                <w:rFonts w:ascii="Aptos" w:hAnsi="Aptos"/>
                <w:color w:val="000000"/>
                <w:sz w:val="17"/>
              </w:rPr>
              <w:t>Quality and fitness</w:t>
            </w:r>
          </w:p>
        </w:tc>
        <w:tc>
          <w:tcPr>
            <w:tcW w:type="dxa" w:w="7416"/>
            <w:tcMar>
              <w:top w:w="90" w:type="dxa"/>
              <w:start w:w="100" w:type="dxa"/>
              <w:bottom w:w="90" w:type="dxa"/>
              <w:end w:w="100" w:type="dxa"/>
            </w:tcMar>
            <w:vAlign w:val="center"/>
          </w:tcPr>
          <w:p>
            <w:pPr>
              <w:spacing w:after="40" w:line="240" w:lineRule="auto"/>
            </w:pPr>
            <w:r>
              <w:rPr>
                <w:rFonts w:ascii="Aptos" w:hAnsi="Aptos"/>
                <w:color w:val="000000"/>
                <w:sz w:val="17"/>
              </w:rPr>
              <w:t>Which quality dimensions matter for the intended use, and where can error or delay enter?</w:t>
            </w:r>
          </w:p>
        </w:tc>
      </w:tr>
      <w:tr>
        <w:tc>
          <w:tcPr>
            <w:tcW w:type="dxa" w:w="2448"/>
            <w:tcMar>
              <w:top w:w="90" w:type="dxa"/>
              <w:start w:w="100" w:type="dxa"/>
              <w:bottom w:w="90" w:type="dxa"/>
              <w:end w:w="100" w:type="dxa"/>
            </w:tcMar>
            <w:vAlign w:val="center"/>
            <w:shd w:fill="EAF2F8"/>
          </w:tcPr>
          <w:p>
            <w:pPr>
              <w:spacing w:after="40" w:line="240" w:lineRule="auto"/>
            </w:pPr>
            <w:r>
              <w:rPr>
                <w:rFonts w:ascii="Aptos" w:hAnsi="Aptos"/>
                <w:color w:val="000000"/>
                <w:sz w:val="17"/>
              </w:rPr>
              <w:t>Rules and safeguards</w:t>
            </w:r>
          </w:p>
        </w:tc>
        <w:tc>
          <w:tcPr>
            <w:tcW w:type="dxa" w:w="7416"/>
            <w:tcMar>
              <w:top w:w="90" w:type="dxa"/>
              <w:start w:w="100" w:type="dxa"/>
              <w:bottom w:w="90" w:type="dxa"/>
              <w:end w:w="100" w:type="dxa"/>
            </w:tcMar>
            <w:vAlign w:val="center"/>
            <w:shd w:fill="EAF2F8"/>
          </w:tcPr>
          <w:p>
            <w:pPr>
              <w:spacing w:after="40" w:line="240" w:lineRule="auto"/>
            </w:pPr>
            <w:r>
              <w:rPr>
                <w:rFonts w:ascii="Aptos" w:hAnsi="Aptos"/>
                <w:color w:val="000000"/>
                <w:sz w:val="17"/>
              </w:rPr>
              <w:t>What laws, agreements, access controls, confidentiality rules, standards and professional responsibilities apply?</w:t>
            </w:r>
          </w:p>
        </w:tc>
      </w:tr>
      <w:tr>
        <w:tc>
          <w:tcPr>
            <w:tcW w:type="dxa" w:w="2448"/>
            <w:tcMar>
              <w:top w:w="90" w:type="dxa"/>
              <w:start w:w="100" w:type="dxa"/>
              <w:bottom w:w="90" w:type="dxa"/>
              <w:end w:w="100" w:type="dxa"/>
            </w:tcMar>
            <w:vAlign w:val="center"/>
          </w:tcPr>
          <w:p>
            <w:pPr>
              <w:spacing w:after="40" w:line="240" w:lineRule="auto"/>
            </w:pPr>
            <w:r>
              <w:rPr>
                <w:rFonts w:ascii="Aptos" w:hAnsi="Aptos"/>
                <w:color w:val="000000"/>
                <w:sz w:val="17"/>
              </w:rPr>
              <w:t>Technology and capability</w:t>
            </w:r>
          </w:p>
        </w:tc>
        <w:tc>
          <w:tcPr>
            <w:tcW w:type="dxa" w:w="7416"/>
            <w:tcMar>
              <w:top w:w="90" w:type="dxa"/>
              <w:start w:w="100" w:type="dxa"/>
              <w:bottom w:w="90" w:type="dxa"/>
              <w:end w:w="100" w:type="dxa"/>
            </w:tcMar>
            <w:vAlign w:val="center"/>
          </w:tcPr>
          <w:p>
            <w:pPr>
              <w:spacing w:after="40" w:line="240" w:lineRule="auto"/>
            </w:pPr>
            <w:r>
              <w:rPr>
                <w:rFonts w:ascii="Aptos" w:hAnsi="Aptos"/>
                <w:color w:val="000000"/>
                <w:sz w:val="17"/>
              </w:rPr>
              <w:t>Which systems, skills, infrastructure, support and maintenance arrangements enable the work?</w:t>
            </w:r>
          </w:p>
        </w:tc>
      </w:tr>
      <w:tr>
        <w:tc>
          <w:tcPr>
            <w:tcW w:type="dxa" w:w="2448"/>
            <w:tcMar>
              <w:top w:w="90" w:type="dxa"/>
              <w:start w:w="100" w:type="dxa"/>
              <w:bottom w:w="90" w:type="dxa"/>
              <w:end w:w="100" w:type="dxa"/>
            </w:tcMar>
            <w:vAlign w:val="center"/>
            <w:shd w:fill="EAF2F8"/>
          </w:tcPr>
          <w:p>
            <w:pPr>
              <w:spacing w:after="40" w:line="240" w:lineRule="auto"/>
            </w:pPr>
            <w:r>
              <w:rPr>
                <w:rFonts w:ascii="Aptos" w:hAnsi="Aptos"/>
                <w:color w:val="000000"/>
                <w:sz w:val="17"/>
              </w:rPr>
              <w:t>Resources and incentives</w:t>
            </w:r>
          </w:p>
        </w:tc>
        <w:tc>
          <w:tcPr>
            <w:tcW w:type="dxa" w:w="7416"/>
            <w:tcMar>
              <w:top w:w="90" w:type="dxa"/>
              <w:start w:w="100" w:type="dxa"/>
              <w:bottom w:w="90" w:type="dxa"/>
              <w:end w:w="100" w:type="dxa"/>
            </w:tcMar>
            <w:vAlign w:val="center"/>
            <w:shd w:fill="EAF2F8"/>
          </w:tcPr>
          <w:p>
            <w:pPr>
              <w:spacing w:after="40" w:line="240" w:lineRule="auto"/>
            </w:pPr>
            <w:r>
              <w:rPr>
                <w:rFonts w:ascii="Aptos" w:hAnsi="Aptos"/>
                <w:color w:val="000000"/>
                <w:sz w:val="17"/>
              </w:rPr>
              <w:t>Who funds recurrent work? What incentives support or obstruct sharing, quality and coordination?</w:t>
            </w:r>
          </w:p>
        </w:tc>
      </w:tr>
      <w:tr>
        <w:tc>
          <w:tcPr>
            <w:tcW w:type="dxa" w:w="2448"/>
            <w:tcMar>
              <w:top w:w="90" w:type="dxa"/>
              <w:start w:w="100" w:type="dxa"/>
              <w:bottom w:w="90" w:type="dxa"/>
              <w:end w:w="100" w:type="dxa"/>
            </w:tcMar>
            <w:vAlign w:val="center"/>
          </w:tcPr>
          <w:p>
            <w:pPr>
              <w:spacing w:after="40" w:line="240" w:lineRule="auto"/>
            </w:pPr>
            <w:r>
              <w:rPr>
                <w:rFonts w:ascii="Aptos" w:hAnsi="Aptos"/>
                <w:color w:val="000000"/>
                <w:sz w:val="17"/>
              </w:rPr>
              <w:t>Risks and resilience</w:t>
            </w:r>
          </w:p>
        </w:tc>
        <w:tc>
          <w:tcPr>
            <w:tcW w:type="dxa" w:w="7416"/>
            <w:tcMar>
              <w:top w:w="90" w:type="dxa"/>
              <w:start w:w="100" w:type="dxa"/>
              <w:bottom w:w="90" w:type="dxa"/>
              <w:end w:w="100" w:type="dxa"/>
            </w:tcMar>
            <w:vAlign w:val="center"/>
          </w:tcPr>
          <w:p>
            <w:pPr>
              <w:spacing w:after="40" w:line="240" w:lineRule="auto"/>
            </w:pPr>
            <w:r>
              <w:rPr>
                <w:rFonts w:ascii="Aptos" w:hAnsi="Aptos"/>
                <w:color w:val="000000"/>
                <w:sz w:val="17"/>
              </w:rPr>
              <w:t>Where are single points of failure, unknowns, dependencies, vulnerabilities and fallback arrangements?</w:t>
            </w:r>
          </w:p>
        </w:tc>
      </w:tr>
    </w:tbl>
    <w:p>
      <w:pPr>
        <w:spacing w:after="20"/>
      </w:pPr>
    </w:p>
    <w:p>
      <w:pPr>
        <w:pStyle w:val="Heading2"/>
      </w:pPr>
      <w:r>
        <w:t>Three nested views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blHeader/>
        </w:trPr>
        <w:tc>
          <w:tcPr>
            <w:tcW w:type="dxa" w:w="187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View</w:t>
            </w:r>
          </w:p>
        </w:tc>
        <w:tc>
          <w:tcPr>
            <w:tcW w:type="dxa" w:w="338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Boundary</w:t>
            </w:r>
          </w:p>
        </w:tc>
        <w:tc>
          <w:tcPr>
            <w:tcW w:type="dxa" w:w="460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Example</w:t>
            </w:r>
          </w:p>
        </w:tc>
      </w:tr>
      <w:tr>
        <w:tc>
          <w:tcPr>
            <w:tcW w:type="dxa" w:w="1872"/>
            <w:tcMar>
              <w:top w:w="90" w:type="dxa"/>
              <w:start w:w="100" w:type="dxa"/>
              <w:bottom w:w="90" w:type="dxa"/>
              <w:end w:w="100" w:type="dxa"/>
            </w:tcMar>
            <w:vAlign w:val="center"/>
          </w:tcPr>
          <w:p>
            <w:pPr>
              <w:spacing w:after="40" w:line="240" w:lineRule="auto"/>
            </w:pPr>
            <w:r>
              <w:rPr>
                <w:rFonts w:ascii="Aptos" w:hAnsi="Aptos"/>
                <w:color w:val="000000"/>
                <w:sz w:val="17"/>
              </w:rPr>
              <w:t>National</w:t>
            </w:r>
          </w:p>
        </w:tc>
        <w:tc>
          <w:tcPr>
            <w:tcW w:type="dxa" w:w="3384"/>
            <w:tcMar>
              <w:top w:w="90" w:type="dxa"/>
              <w:start w:w="100" w:type="dxa"/>
              <w:bottom w:w="90" w:type="dxa"/>
              <w:end w:w="100" w:type="dxa"/>
            </w:tcMar>
            <w:vAlign w:val="center"/>
          </w:tcPr>
          <w:p>
            <w:pPr>
              <w:spacing w:after="40" w:line="240" w:lineRule="auto"/>
            </w:pPr>
            <w:r>
              <w:rPr>
                <w:rFonts w:ascii="Aptos" w:hAnsi="Aptos"/>
                <w:color w:val="000000"/>
                <w:sz w:val="17"/>
              </w:rPr>
              <w:t>All major producers, sources and users across domains.</w:t>
            </w:r>
          </w:p>
        </w:tc>
        <w:tc>
          <w:tcPr>
            <w:tcW w:type="dxa" w:w="4608"/>
            <w:tcMar>
              <w:top w:w="90" w:type="dxa"/>
              <w:start w:w="100" w:type="dxa"/>
              <w:bottom w:w="90" w:type="dxa"/>
              <w:end w:w="100" w:type="dxa"/>
            </w:tcMar>
            <w:vAlign w:val="center"/>
          </w:tcPr>
          <w:p>
            <w:pPr>
              <w:spacing w:after="40" w:line="240" w:lineRule="auto"/>
            </w:pPr>
            <w:r>
              <w:rPr>
                <w:rFonts w:ascii="Aptos" w:hAnsi="Aptos"/>
                <w:color w:val="000000"/>
                <w:sz w:val="17"/>
              </w:rPr>
              <w:t>National development indicators and cross-government data flows.</w:t>
            </w:r>
          </w:p>
        </w:tc>
      </w:tr>
      <w:tr>
        <w:tc>
          <w:tcPr>
            <w:tcW w:type="dxa" w:w="1872"/>
            <w:tcMar>
              <w:top w:w="90" w:type="dxa"/>
              <w:start w:w="100" w:type="dxa"/>
              <w:bottom w:w="90" w:type="dxa"/>
              <w:end w:w="100" w:type="dxa"/>
            </w:tcMar>
            <w:vAlign w:val="center"/>
            <w:shd w:fill="EAF2F8"/>
          </w:tcPr>
          <w:p>
            <w:pPr>
              <w:spacing w:after="40" w:line="240" w:lineRule="auto"/>
            </w:pPr>
            <w:r>
              <w:rPr>
                <w:rFonts w:ascii="Aptos" w:hAnsi="Aptos"/>
                <w:color w:val="000000"/>
                <w:sz w:val="17"/>
              </w:rPr>
              <w:t>Domain</w:t>
            </w:r>
          </w:p>
        </w:tc>
        <w:tc>
          <w:tcPr>
            <w:tcW w:type="dxa" w:w="3384"/>
            <w:tcMar>
              <w:top w:w="90" w:type="dxa"/>
              <w:start w:w="100" w:type="dxa"/>
              <w:bottom w:w="90" w:type="dxa"/>
              <w:end w:w="100" w:type="dxa"/>
            </w:tcMar>
            <w:vAlign w:val="center"/>
            <w:shd w:fill="EAF2F8"/>
          </w:tcPr>
          <w:p>
            <w:pPr>
              <w:spacing w:after="40" w:line="240" w:lineRule="auto"/>
            </w:pPr>
            <w:r>
              <w:rPr>
                <w:rFonts w:ascii="Aptos" w:hAnsi="Aptos"/>
                <w:color w:val="000000"/>
                <w:sz w:val="17"/>
              </w:rPr>
              <w:t>One sector and its links to the wider system.</w:t>
            </w:r>
          </w:p>
        </w:tc>
        <w:tc>
          <w:tcPr>
            <w:tcW w:type="dxa" w:w="4608"/>
            <w:tcMar>
              <w:top w:w="90" w:type="dxa"/>
              <w:start w:w="100" w:type="dxa"/>
              <w:bottom w:w="90" w:type="dxa"/>
              <w:end w:w="100" w:type="dxa"/>
            </w:tcMar>
            <w:vAlign w:val="center"/>
            <w:shd w:fill="EAF2F8"/>
          </w:tcPr>
          <w:p>
            <w:pPr>
              <w:spacing w:after="40" w:line="240" w:lineRule="auto"/>
            </w:pPr>
            <w:r>
              <w:rPr>
                <w:rFonts w:ascii="Aptos" w:hAnsi="Aptos"/>
                <w:color w:val="000000"/>
                <w:sz w:val="17"/>
              </w:rPr>
              <w:t>Food and agriculture information ecosystem.</w:t>
            </w:r>
          </w:p>
        </w:tc>
      </w:tr>
      <w:tr>
        <w:tc>
          <w:tcPr>
            <w:tcW w:type="dxa" w:w="1872"/>
            <w:tcMar>
              <w:top w:w="90" w:type="dxa"/>
              <w:start w:w="100" w:type="dxa"/>
              <w:bottom w:w="90" w:type="dxa"/>
              <w:end w:w="100" w:type="dxa"/>
            </w:tcMar>
            <w:vAlign w:val="center"/>
          </w:tcPr>
          <w:p>
            <w:pPr>
              <w:spacing w:after="40" w:line="240" w:lineRule="auto"/>
            </w:pPr>
            <w:r>
              <w:rPr>
                <w:rFonts w:ascii="Aptos" w:hAnsi="Aptos"/>
                <w:color w:val="000000"/>
                <w:sz w:val="17"/>
              </w:rPr>
              <w:t>Product or use case</w:t>
            </w:r>
          </w:p>
        </w:tc>
        <w:tc>
          <w:tcPr>
            <w:tcW w:type="dxa" w:w="3384"/>
            <w:tcMar>
              <w:top w:w="90" w:type="dxa"/>
              <w:start w:w="100" w:type="dxa"/>
              <w:bottom w:w="90" w:type="dxa"/>
              <w:end w:w="100" w:type="dxa"/>
            </w:tcMar>
            <w:vAlign w:val="center"/>
          </w:tcPr>
          <w:p>
            <w:pPr>
              <w:spacing w:after="40" w:line="240" w:lineRule="auto"/>
            </w:pPr>
            <w:r>
              <w:rPr>
                <w:rFonts w:ascii="Aptos" w:hAnsi="Aptos"/>
                <w:color w:val="000000"/>
                <w:sz w:val="17"/>
              </w:rPr>
              <w:t>One statistical output or decision chain.</w:t>
            </w:r>
          </w:p>
        </w:tc>
        <w:tc>
          <w:tcPr>
            <w:tcW w:type="dxa" w:w="4608"/>
            <w:tcMar>
              <w:top w:w="90" w:type="dxa"/>
              <w:start w:w="100" w:type="dxa"/>
              <w:bottom w:w="90" w:type="dxa"/>
              <w:end w:w="100" w:type="dxa"/>
            </w:tcMar>
            <w:vAlign w:val="center"/>
          </w:tcPr>
          <w:p>
            <w:pPr>
              <w:spacing w:after="40" w:line="240" w:lineRule="auto"/>
            </w:pPr>
            <w:r>
              <w:rPr>
                <w:rFonts w:ascii="Aptos" w:hAnsi="Aptos"/>
                <w:color w:val="000000"/>
                <w:sz w:val="17"/>
              </w:rPr>
              <w:t>Seasonal crop forecast from field, administrative and satellite sources.</w:t>
            </w:r>
          </w:p>
        </w:tc>
      </w:tr>
    </w:tbl>
    <w:p>
      <w:pPr>
        <w:spacing w:after="20"/>
      </w:pPr>
    </w:p>
    <w:p>
      <w:pPr>
        <w:pStyle w:val="Heading1"/>
      </w:pPr>
      <w:r>
        <w:t>3 Roles are not the same as institutions</w:t>
      </w:r>
    </w:p>
    <w:p>
      <w:r>
        <w:t>One institution may perform several roles, and one role may be distributed across institutions. Mapping only organization names hides accountability gaps and competing claims.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blHeader/>
        </w:trPr>
        <w:tc>
          <w:tcPr>
            <w:tcW w:type="dxa" w:w="223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Role</w:t>
            </w:r>
          </w:p>
        </w:tc>
        <w:tc>
          <w:tcPr>
            <w:tcW w:type="dxa" w:w="360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Accountability question</w:t>
            </w:r>
          </w:p>
        </w:tc>
        <w:tc>
          <w:tcPr>
            <w:tcW w:type="dxa" w:w="403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Agricultural example</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Source owner</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Who controls the original operational or observed data?</w:t>
            </w:r>
          </w:p>
        </w:tc>
        <w:tc>
          <w:tcPr>
            <w:tcW w:type="dxa" w:w="4032"/>
            <w:tcMar>
              <w:top w:w="90" w:type="dxa"/>
              <w:start w:w="100" w:type="dxa"/>
              <w:bottom w:w="90" w:type="dxa"/>
              <w:end w:w="100" w:type="dxa"/>
            </w:tcMar>
            <w:vAlign w:val="center"/>
          </w:tcPr>
          <w:p>
            <w:pPr>
              <w:spacing w:after="40" w:line="240" w:lineRule="auto"/>
            </w:pPr>
            <w:r>
              <w:rPr>
                <w:rFonts w:ascii="Aptos" w:hAnsi="Aptos"/>
                <w:color w:val="000000"/>
                <w:sz w:val="17"/>
              </w:rPr>
              <w:t>Veterinary service owns animal-health records.</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Producer</w:t>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t>Who transforms data into a statistical output?</w:t>
            </w:r>
          </w:p>
        </w:tc>
        <w:tc>
          <w:tcPr>
            <w:tcW w:type="dxa" w:w="4032"/>
            <w:tcMar>
              <w:top w:w="90" w:type="dxa"/>
              <w:start w:w="100" w:type="dxa"/>
              <w:bottom w:w="90" w:type="dxa"/>
              <w:end w:w="100" w:type="dxa"/>
            </w:tcMar>
            <w:vAlign w:val="center"/>
            <w:shd w:fill="EAF2F8"/>
          </w:tcPr>
          <w:p>
            <w:pPr>
              <w:spacing w:after="40" w:line="240" w:lineRule="auto"/>
            </w:pPr>
            <w:r>
              <w:rPr>
                <w:rFonts w:ascii="Aptos" w:hAnsi="Aptos"/>
                <w:color w:val="000000"/>
                <w:sz w:val="17"/>
              </w:rPr>
              <w:t>Agricultural statistics unit estimates livestock numbers.</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Methodological authority</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Who approves concepts, methods, revisions and release?</w:t>
            </w:r>
          </w:p>
        </w:tc>
        <w:tc>
          <w:tcPr>
            <w:tcW w:type="dxa" w:w="4032"/>
            <w:tcMar>
              <w:top w:w="90" w:type="dxa"/>
              <w:start w:w="100" w:type="dxa"/>
              <w:bottom w:w="90" w:type="dxa"/>
              <w:end w:w="100" w:type="dxa"/>
            </w:tcMar>
            <w:vAlign w:val="center"/>
          </w:tcPr>
          <w:p>
            <w:pPr>
              <w:spacing w:after="40" w:line="240" w:lineRule="auto"/>
            </w:pPr>
            <w:r>
              <w:rPr>
                <w:rFonts w:ascii="Aptos" w:hAnsi="Aptos"/>
                <w:color w:val="000000"/>
                <w:sz w:val="17"/>
              </w:rPr>
              <w:t>NSO or designated sector statistical authority.</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Steward</w:t>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t>Who maintains metadata, access, quality and change communication?</w:t>
            </w:r>
          </w:p>
        </w:tc>
        <w:tc>
          <w:tcPr>
            <w:tcW w:type="dxa" w:w="4032"/>
            <w:tcMar>
              <w:top w:w="90" w:type="dxa"/>
              <w:start w:w="100" w:type="dxa"/>
              <w:bottom w:w="90" w:type="dxa"/>
              <w:end w:w="100" w:type="dxa"/>
            </w:tcMar>
            <w:vAlign w:val="center"/>
            <w:shd w:fill="EAF2F8"/>
          </w:tcPr>
          <w:p>
            <w:pPr>
              <w:spacing w:after="40" w:line="240" w:lineRule="auto"/>
            </w:pPr>
            <w:r>
              <w:rPr>
                <w:rFonts w:ascii="Aptos" w:hAnsi="Aptos"/>
                <w:color w:val="000000"/>
                <w:sz w:val="17"/>
              </w:rPr>
              <w:t>Administrative registry data steward.</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Coordinator</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Who sets common standards and resolves duplication?</w:t>
            </w:r>
          </w:p>
        </w:tc>
        <w:tc>
          <w:tcPr>
            <w:tcW w:type="dxa" w:w="4032"/>
            <w:tcMar>
              <w:top w:w="90" w:type="dxa"/>
              <w:start w:w="100" w:type="dxa"/>
              <w:bottom w:w="90" w:type="dxa"/>
              <w:end w:w="100" w:type="dxa"/>
            </w:tcMar>
            <w:vAlign w:val="center"/>
          </w:tcPr>
          <w:p>
            <w:pPr>
              <w:spacing w:after="40" w:line="240" w:lineRule="auto"/>
            </w:pPr>
            <w:r>
              <w:rPr>
                <w:rFonts w:ascii="Aptos" w:hAnsi="Aptos"/>
                <w:color w:val="000000"/>
                <w:sz w:val="17"/>
              </w:rPr>
              <w:t>NSO under statistical legislation or council arrangements.</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Technology provider</w:t>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t>Who operates platforms, models or infrastructure?</w:t>
            </w:r>
          </w:p>
        </w:tc>
        <w:tc>
          <w:tcPr>
            <w:tcW w:type="dxa" w:w="4032"/>
            <w:tcMar>
              <w:top w:w="90" w:type="dxa"/>
              <w:start w:w="100" w:type="dxa"/>
              <w:bottom w:w="90" w:type="dxa"/>
              <w:end w:w="100" w:type="dxa"/>
            </w:tcMar>
            <w:vAlign w:val="center"/>
            <w:shd w:fill="EAF2F8"/>
          </w:tcPr>
          <w:p>
            <w:pPr>
              <w:spacing w:after="40" w:line="240" w:lineRule="auto"/>
            </w:pPr>
            <w:r>
              <w:rPr>
                <w:rFonts w:ascii="Aptos" w:hAnsi="Aptos"/>
                <w:color w:val="000000"/>
                <w:sz w:val="17"/>
              </w:rPr>
              <w:t>Government digital service, vendor or research partner.</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Funder</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Who pays development and recurring costs?</w:t>
            </w:r>
          </w:p>
        </w:tc>
        <w:tc>
          <w:tcPr>
            <w:tcW w:type="dxa" w:w="4032"/>
            <w:tcMar>
              <w:top w:w="90" w:type="dxa"/>
              <w:start w:w="100" w:type="dxa"/>
              <w:bottom w:w="90" w:type="dxa"/>
              <w:end w:w="100" w:type="dxa"/>
            </w:tcMar>
            <w:vAlign w:val="center"/>
          </w:tcPr>
          <w:p>
            <w:pPr>
              <w:spacing w:after="40" w:line="240" w:lineRule="auto"/>
            </w:pPr>
            <w:r>
              <w:rPr>
                <w:rFonts w:ascii="Aptos" w:hAnsi="Aptos"/>
                <w:color w:val="000000"/>
                <w:sz w:val="17"/>
              </w:rPr>
              <w:t>Treasury, ministry budget or development programme.</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Regulator or oversight body</w:t>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t>Who enforces legal, privacy, security or ethical requirements?</w:t>
            </w:r>
          </w:p>
        </w:tc>
        <w:tc>
          <w:tcPr>
            <w:tcW w:type="dxa" w:w="4032"/>
            <w:tcMar>
              <w:top w:w="90" w:type="dxa"/>
              <w:start w:w="100" w:type="dxa"/>
              <w:bottom w:w="90" w:type="dxa"/>
              <w:end w:w="100" w:type="dxa"/>
            </w:tcMar>
            <w:vAlign w:val="center"/>
            <w:shd w:fill="EAF2F8"/>
          </w:tcPr>
          <w:p>
            <w:pPr>
              <w:spacing w:after="40" w:line="240" w:lineRule="auto"/>
            </w:pPr>
            <w:r>
              <w:rPr>
                <w:rFonts w:ascii="Aptos" w:hAnsi="Aptos"/>
                <w:color w:val="000000"/>
                <w:sz w:val="17"/>
              </w:rPr>
              <w:t>Data protection authority or cybersecurity agency.</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User or affected group</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Who makes decisions or bears consequences?</w:t>
            </w:r>
          </w:p>
        </w:tc>
        <w:tc>
          <w:tcPr>
            <w:tcW w:type="dxa" w:w="4032"/>
            <w:tcMar>
              <w:top w:w="90" w:type="dxa"/>
              <w:start w:w="100" w:type="dxa"/>
              <w:bottom w:w="90" w:type="dxa"/>
              <w:end w:w="100" w:type="dxa"/>
            </w:tcMar>
            <w:vAlign w:val="center"/>
          </w:tcPr>
          <w:p>
            <w:pPr>
              <w:spacing w:after="40" w:line="240" w:lineRule="auto"/>
            </w:pPr>
            <w:r>
              <w:rPr>
                <w:rFonts w:ascii="Aptos" w:hAnsi="Aptos"/>
                <w:color w:val="000000"/>
                <w:sz w:val="17"/>
              </w:rPr>
              <w:t>Farmers, planners, traders, researchers and the public.</w:t>
            </w:r>
          </w:p>
        </w:tc>
      </w:tr>
    </w:tbl>
    <w:p>
      <w:pPr>
        <w:spacing w:after="20"/>
      </w:pPr>
    </w:p>
    <w:p>
      <w:pPr>
        <w:pStyle w:val="Heading2"/>
      </w:pPr>
      <w:r>
        <w:t>Evidence labels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blHeader/>
        </w:trPr>
        <w:tc>
          <w:tcPr>
            <w:tcW w:type="dxa" w:w="180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Label</w:t>
            </w:r>
          </w:p>
        </w:tc>
        <w:tc>
          <w:tcPr>
            <w:tcW w:type="dxa" w:w="360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Meaning</w:t>
            </w:r>
          </w:p>
        </w:tc>
        <w:tc>
          <w:tcPr>
            <w:tcW w:type="dxa" w:w="446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Acceptable basis</w:t>
            </w:r>
          </w:p>
        </w:tc>
      </w:tr>
      <w:tr>
        <w:tc>
          <w:tcPr>
            <w:tcW w:type="dxa" w:w="1800"/>
            <w:tcMar>
              <w:top w:w="90" w:type="dxa"/>
              <w:start w:w="100" w:type="dxa"/>
              <w:bottom w:w="90" w:type="dxa"/>
              <w:end w:w="100" w:type="dxa"/>
            </w:tcMar>
            <w:vAlign w:val="center"/>
          </w:tcPr>
          <w:p>
            <w:pPr>
              <w:spacing w:after="40" w:line="240" w:lineRule="auto"/>
            </w:pPr>
            <w:r>
              <w:rPr>
                <w:rFonts w:ascii="Aptos" w:hAnsi="Aptos"/>
                <w:color w:val="000000"/>
                <w:sz w:val="17"/>
              </w:rPr>
              <w:t>E Evidenced</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Supported by a document, dataset, system record or authorized observation.</w:t>
            </w:r>
          </w:p>
        </w:tc>
        <w:tc>
          <w:tcPr>
            <w:tcW w:type="dxa" w:w="4464"/>
            <w:tcMar>
              <w:top w:w="90" w:type="dxa"/>
              <w:start w:w="100" w:type="dxa"/>
              <w:bottom w:w="90" w:type="dxa"/>
              <w:end w:w="100" w:type="dxa"/>
            </w:tcMar>
            <w:vAlign w:val="center"/>
          </w:tcPr>
          <w:p>
            <w:pPr>
              <w:spacing w:after="40" w:line="240" w:lineRule="auto"/>
            </w:pPr>
            <w:r>
              <w:rPr>
                <w:rFonts w:ascii="Aptos" w:hAnsi="Aptos"/>
                <w:color w:val="000000"/>
                <w:sz w:val="17"/>
              </w:rPr>
              <w:t>Citation or reference ID.</w:t>
            </w:r>
          </w:p>
        </w:tc>
      </w:tr>
      <w:tr>
        <w:tc>
          <w:tcPr>
            <w:tcW w:type="dxa" w:w="1800"/>
            <w:tcMar>
              <w:top w:w="90" w:type="dxa"/>
              <w:start w:w="100" w:type="dxa"/>
              <w:bottom w:w="90" w:type="dxa"/>
              <w:end w:w="100" w:type="dxa"/>
            </w:tcMar>
            <w:vAlign w:val="center"/>
            <w:shd w:fill="EAF2F8"/>
          </w:tcPr>
          <w:p>
            <w:pPr>
              <w:spacing w:after="40" w:line="240" w:lineRule="auto"/>
            </w:pPr>
            <w:r>
              <w:rPr>
                <w:rFonts w:ascii="Aptos" w:hAnsi="Aptos"/>
                <w:color w:val="000000"/>
                <w:sz w:val="17"/>
              </w:rPr>
              <w:t>R Reported</w:t>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t>Stated by a knowledgeable respondent but not independently confirmed.</w:t>
            </w:r>
          </w:p>
        </w:tc>
        <w:tc>
          <w:tcPr>
            <w:tcW w:type="dxa" w:w="4464"/>
            <w:tcMar>
              <w:top w:w="90" w:type="dxa"/>
              <w:start w:w="100" w:type="dxa"/>
              <w:bottom w:w="90" w:type="dxa"/>
              <w:end w:w="100" w:type="dxa"/>
            </w:tcMar>
            <w:vAlign w:val="center"/>
            <w:shd w:fill="EAF2F8"/>
          </w:tcPr>
          <w:p>
            <w:pPr>
              <w:spacing w:after="40" w:line="240" w:lineRule="auto"/>
            </w:pPr>
            <w:r>
              <w:rPr>
                <w:rFonts w:ascii="Aptos" w:hAnsi="Aptos"/>
                <w:color w:val="000000"/>
                <w:sz w:val="17"/>
              </w:rPr>
              <w:t>Respondent role and date.</w:t>
            </w:r>
          </w:p>
        </w:tc>
      </w:tr>
      <w:tr>
        <w:tc>
          <w:tcPr>
            <w:tcW w:type="dxa" w:w="1800"/>
            <w:tcMar>
              <w:top w:w="90" w:type="dxa"/>
              <w:start w:w="100" w:type="dxa"/>
              <w:bottom w:w="90" w:type="dxa"/>
              <w:end w:w="100" w:type="dxa"/>
            </w:tcMar>
            <w:vAlign w:val="center"/>
          </w:tcPr>
          <w:p>
            <w:pPr>
              <w:spacing w:after="40" w:line="240" w:lineRule="auto"/>
            </w:pPr>
            <w:r>
              <w:rPr>
                <w:rFonts w:ascii="Aptos" w:hAnsi="Aptos"/>
                <w:color w:val="000000"/>
                <w:sz w:val="17"/>
              </w:rPr>
              <w:t>U Unknown</w:t>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t>Information unavailable, conflicting or outside current scope.</w:t>
            </w:r>
          </w:p>
        </w:tc>
        <w:tc>
          <w:tcPr>
            <w:tcW w:type="dxa" w:w="4464"/>
            <w:tcMar>
              <w:top w:w="90" w:type="dxa"/>
              <w:start w:w="100" w:type="dxa"/>
              <w:bottom w:w="90" w:type="dxa"/>
              <w:end w:w="100" w:type="dxa"/>
            </w:tcMar>
            <w:vAlign w:val="center"/>
          </w:tcPr>
          <w:p>
            <w:pPr>
              <w:spacing w:after="40" w:line="240" w:lineRule="auto"/>
            </w:pPr>
            <w:r>
              <w:rPr>
                <w:rFonts w:ascii="Aptos" w:hAnsi="Aptos"/>
                <w:color w:val="000000"/>
                <w:sz w:val="17"/>
              </w:rPr>
              <w:t>Question and proposed evidence owner.</w:t>
            </w:r>
          </w:p>
        </w:tc>
      </w:tr>
    </w:tbl>
    <w:p>
      <w:pPr>
        <w:spacing w:after="20"/>
      </w:pPr>
    </w:p>
    <w:p>
      <w:pPr>
        <w:pStyle w:val="Heading1"/>
      </w:pPr>
      <w:r>
        <w:t>4 What counts as an information asset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blHeader/>
        </w:trPr>
        <w:tc>
          <w:tcPr>
            <w:tcW w:type="dxa" w:w="223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Type</w:t>
            </w:r>
          </w:p>
        </w:tc>
        <w:tc>
          <w:tcPr>
            <w:tcW w:type="dxa" w:w="468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Examples</w:t>
            </w:r>
          </w:p>
        </w:tc>
        <w:tc>
          <w:tcPr>
            <w:tcW w:type="dxa" w:w="295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Common mapping error</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Survey or census</w:t>
            </w:r>
          </w:p>
        </w:tc>
        <w:tc>
          <w:tcPr>
            <w:tcW w:type="dxa" w:w="4680"/>
            <w:tcMar>
              <w:top w:w="90" w:type="dxa"/>
              <w:start w:w="100" w:type="dxa"/>
              <w:bottom w:w="90" w:type="dxa"/>
              <w:end w:w="100" w:type="dxa"/>
            </w:tcMar>
            <w:vAlign w:val="center"/>
          </w:tcPr>
          <w:p>
            <w:pPr>
              <w:spacing w:after="40" w:line="240" w:lineRule="auto"/>
            </w:pPr>
            <w:r>
              <w:rPr>
                <w:rFonts w:ascii="Aptos" w:hAnsi="Aptos"/>
                <w:color w:val="000000"/>
                <w:sz w:val="17"/>
              </w:rPr>
              <w:t>Agricultural census, household survey, business survey, crop-cutting survey.</w:t>
            </w:r>
          </w:p>
        </w:tc>
        <w:tc>
          <w:tcPr>
            <w:tcW w:type="dxa" w:w="2952"/>
            <w:tcMar>
              <w:top w:w="90" w:type="dxa"/>
              <w:start w:w="100" w:type="dxa"/>
              <w:bottom w:w="90" w:type="dxa"/>
              <w:end w:w="100" w:type="dxa"/>
            </w:tcMar>
            <w:vAlign w:val="center"/>
          </w:tcPr>
          <w:p>
            <w:pPr>
              <w:spacing w:after="40" w:line="240" w:lineRule="auto"/>
            </w:pPr>
            <w:r>
              <w:rPr>
                <w:rFonts w:ascii="Aptos" w:hAnsi="Aptos"/>
                <w:color w:val="000000"/>
                <w:sz w:val="17"/>
              </w:rPr>
              <w:t>Listing a publication but not the microdata, frame, instruments or metadata.</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Administrative record</w:t>
            </w:r>
          </w:p>
        </w:tc>
        <w:tc>
          <w:tcPr>
            <w:tcW w:type="dxa" w:w="4680"/>
            <w:tcMar>
              <w:top w:w="90" w:type="dxa"/>
              <w:start w:w="100" w:type="dxa"/>
              <w:bottom w:w="90" w:type="dxa"/>
              <w:end w:w="100" w:type="dxa"/>
            </w:tcMar>
            <w:vAlign w:val="center"/>
            <w:shd w:fill="EAF2F8"/>
          </w:tcPr>
          <w:p>
            <w:pPr>
              <w:spacing w:after="40" w:line="240" w:lineRule="auto"/>
            </w:pPr>
            <w:r>
              <w:rPr>
                <w:rFonts w:ascii="Aptos" w:hAnsi="Aptos"/>
                <w:color w:val="000000"/>
                <w:sz w:val="17"/>
              </w:rPr>
              <w:t>Land registration, veterinary services, subsidies, school enrollment, tax records.</w:t>
            </w:r>
          </w:p>
        </w:tc>
        <w:tc>
          <w:tcPr>
            <w:tcW w:type="dxa" w:w="2952"/>
            <w:tcMar>
              <w:top w:w="90" w:type="dxa"/>
              <w:start w:w="100" w:type="dxa"/>
              <w:bottom w:w="90" w:type="dxa"/>
              <w:end w:w="100" w:type="dxa"/>
            </w:tcMar>
            <w:vAlign w:val="center"/>
            <w:shd w:fill="EAF2F8"/>
          </w:tcPr>
          <w:p>
            <w:pPr>
              <w:spacing w:after="40" w:line="240" w:lineRule="auto"/>
            </w:pPr>
            <w:r>
              <w:rPr>
                <w:rFonts w:ascii="Aptos" w:hAnsi="Aptos"/>
                <w:color w:val="000000"/>
                <w:sz w:val="17"/>
              </w:rPr>
              <w:t>Assuming operational coverage equals statistical population coverage.</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Research information</w:t>
            </w:r>
          </w:p>
        </w:tc>
        <w:tc>
          <w:tcPr>
            <w:tcW w:type="dxa" w:w="4680"/>
            <w:tcMar>
              <w:top w:w="90" w:type="dxa"/>
              <w:start w:w="100" w:type="dxa"/>
              <w:bottom w:w="90" w:type="dxa"/>
              <w:end w:w="100" w:type="dxa"/>
            </w:tcMar>
            <w:vAlign w:val="center"/>
          </w:tcPr>
          <w:p>
            <w:pPr>
              <w:spacing w:after="40" w:line="240" w:lineRule="auto"/>
            </w:pPr>
            <w:r>
              <w:rPr>
                <w:rFonts w:ascii="Aptos" w:hAnsi="Aptos"/>
                <w:color w:val="000000"/>
                <w:sz w:val="17"/>
              </w:rPr>
              <w:t>Variety trials, experimental stations, longitudinal studies, laboratory results.</w:t>
            </w:r>
          </w:p>
        </w:tc>
        <w:tc>
          <w:tcPr>
            <w:tcW w:type="dxa" w:w="2952"/>
            <w:tcMar>
              <w:top w:w="90" w:type="dxa"/>
              <w:start w:w="100" w:type="dxa"/>
              <w:bottom w:w="90" w:type="dxa"/>
              <w:end w:w="100" w:type="dxa"/>
            </w:tcMar>
            <w:vAlign w:val="center"/>
          </w:tcPr>
          <w:p>
            <w:pPr>
              <w:spacing w:after="40" w:line="240" w:lineRule="auto"/>
            </w:pPr>
            <w:r>
              <w:rPr>
                <w:rFonts w:ascii="Aptos" w:hAnsi="Aptos"/>
                <w:color w:val="000000"/>
                <w:sz w:val="17"/>
              </w:rPr>
              <w:t>Generalizing experimental findings without external-validity evidence.</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Geospatial or sensor source</w:t>
            </w:r>
          </w:p>
        </w:tc>
        <w:tc>
          <w:tcPr>
            <w:tcW w:type="dxa" w:w="4680"/>
            <w:tcMar>
              <w:top w:w="90" w:type="dxa"/>
              <w:start w:w="100" w:type="dxa"/>
              <w:bottom w:w="90" w:type="dxa"/>
              <w:end w:w="100" w:type="dxa"/>
            </w:tcMar>
            <w:vAlign w:val="center"/>
            <w:shd w:fill="EAF2F8"/>
          </w:tcPr>
          <w:p>
            <w:pPr>
              <w:spacing w:after="40" w:line="240" w:lineRule="auto"/>
            </w:pPr>
            <w:r>
              <w:rPr>
                <w:rFonts w:ascii="Aptos" w:hAnsi="Aptos"/>
                <w:color w:val="000000"/>
                <w:sz w:val="17"/>
              </w:rPr>
              <w:t>Satellite imagery, weather stations, GPS traces, remote sensors.</w:t>
            </w:r>
          </w:p>
        </w:tc>
        <w:tc>
          <w:tcPr>
            <w:tcW w:type="dxa" w:w="2952"/>
            <w:tcMar>
              <w:top w:w="90" w:type="dxa"/>
              <w:start w:w="100" w:type="dxa"/>
              <w:bottom w:w="90" w:type="dxa"/>
              <w:end w:w="100" w:type="dxa"/>
            </w:tcMar>
            <w:vAlign w:val="center"/>
            <w:shd w:fill="EAF2F8"/>
          </w:tcPr>
          <w:p>
            <w:pPr>
              <w:spacing w:after="40" w:line="240" w:lineRule="auto"/>
            </w:pPr>
            <w:r>
              <w:rPr>
                <w:rFonts w:ascii="Aptos" w:hAnsi="Aptos"/>
                <w:color w:val="000000"/>
                <w:sz w:val="17"/>
              </w:rPr>
              <w:t>Treating model-derived estimates as direct observation.</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Private-sector source</w:t>
            </w:r>
          </w:p>
        </w:tc>
        <w:tc>
          <w:tcPr>
            <w:tcW w:type="dxa" w:w="4680"/>
            <w:tcMar>
              <w:top w:w="90" w:type="dxa"/>
              <w:start w:w="100" w:type="dxa"/>
              <w:bottom w:w="90" w:type="dxa"/>
              <w:end w:w="100" w:type="dxa"/>
            </w:tcMar>
            <w:vAlign w:val="center"/>
          </w:tcPr>
          <w:p>
            <w:pPr>
              <w:spacing w:after="40" w:line="240" w:lineRule="auto"/>
            </w:pPr>
            <w:r>
              <w:rPr>
                <w:rFonts w:ascii="Aptos" w:hAnsi="Aptos"/>
                <w:color w:val="000000"/>
                <w:sz w:val="17"/>
              </w:rPr>
              <w:t>Market transactions, mobile services, platform or supply-chain data.</w:t>
            </w:r>
          </w:p>
        </w:tc>
        <w:tc>
          <w:tcPr>
            <w:tcW w:type="dxa" w:w="2952"/>
            <w:tcMar>
              <w:top w:w="90" w:type="dxa"/>
              <w:start w:w="100" w:type="dxa"/>
              <w:bottom w:w="90" w:type="dxa"/>
              <w:end w:w="100" w:type="dxa"/>
            </w:tcMar>
            <w:vAlign w:val="center"/>
          </w:tcPr>
          <w:p>
            <w:pPr>
              <w:spacing w:after="40" w:line="240" w:lineRule="auto"/>
            </w:pPr>
            <w:r>
              <w:rPr>
                <w:rFonts w:ascii="Aptos" w:hAnsi="Aptos"/>
                <w:color w:val="000000"/>
                <w:sz w:val="17"/>
              </w:rPr>
              <w:t>Ignoring contract stability, selection and commercial incentives.</w:t>
            </w:r>
          </w:p>
        </w:tc>
      </w:tr>
      <w:tr>
        <w:tc>
          <w:tcPr>
            <w:tcW w:type="dxa" w:w="2232"/>
            <w:tcMar>
              <w:top w:w="90" w:type="dxa"/>
              <w:start w:w="100" w:type="dxa"/>
              <w:bottom w:w="90" w:type="dxa"/>
              <w:end w:w="100" w:type="dxa"/>
            </w:tcMar>
            <w:vAlign w:val="center"/>
            <w:shd w:fill="EAF2F8"/>
          </w:tcPr>
          <w:p>
            <w:pPr>
              <w:spacing w:after="40" w:line="240" w:lineRule="auto"/>
            </w:pPr>
            <w:r>
              <w:rPr>
                <w:rFonts w:ascii="Aptos" w:hAnsi="Aptos"/>
                <w:color w:val="000000"/>
                <w:sz w:val="17"/>
              </w:rPr>
              <w:t>Reference asset</w:t>
            </w:r>
          </w:p>
        </w:tc>
        <w:tc>
          <w:tcPr>
            <w:tcW w:type="dxa" w:w="4680"/>
            <w:tcMar>
              <w:top w:w="90" w:type="dxa"/>
              <w:start w:w="100" w:type="dxa"/>
              <w:bottom w:w="90" w:type="dxa"/>
              <w:end w:w="100" w:type="dxa"/>
            </w:tcMar>
            <w:vAlign w:val="center"/>
            <w:shd w:fill="EAF2F8"/>
          </w:tcPr>
          <w:p>
            <w:pPr>
              <w:spacing w:after="40" w:line="240" w:lineRule="auto"/>
            </w:pPr>
            <w:r>
              <w:rPr>
                <w:rFonts w:ascii="Aptos" w:hAnsi="Aptos"/>
                <w:color w:val="000000"/>
                <w:sz w:val="17"/>
              </w:rPr>
              <w:t>Classifications, frames, geographies, code lists, metadata and quality reports.</w:t>
            </w:r>
          </w:p>
        </w:tc>
        <w:tc>
          <w:tcPr>
            <w:tcW w:type="dxa" w:w="2952"/>
            <w:tcMar>
              <w:top w:w="90" w:type="dxa"/>
              <w:start w:w="100" w:type="dxa"/>
              <w:bottom w:w="90" w:type="dxa"/>
              <w:end w:w="100" w:type="dxa"/>
            </w:tcMar>
            <w:vAlign w:val="center"/>
            <w:shd w:fill="EAF2F8"/>
          </w:tcPr>
          <w:p>
            <w:pPr>
              <w:spacing w:after="40" w:line="240" w:lineRule="auto"/>
            </w:pPr>
            <w:r>
              <w:rPr>
                <w:rFonts w:ascii="Aptos" w:hAnsi="Aptos"/>
                <w:color w:val="000000"/>
                <w:sz w:val="17"/>
              </w:rPr>
              <w:t>Treating reference data as secondary when it controls integration.</w:t>
            </w:r>
          </w:p>
        </w:tc>
      </w:tr>
      <w:tr>
        <w:tc>
          <w:tcPr>
            <w:tcW w:type="dxa" w:w="2232"/>
            <w:tcMar>
              <w:top w:w="90" w:type="dxa"/>
              <w:start w:w="100" w:type="dxa"/>
              <w:bottom w:w="90" w:type="dxa"/>
              <w:end w:w="100" w:type="dxa"/>
            </w:tcMar>
            <w:vAlign w:val="center"/>
          </w:tcPr>
          <w:p>
            <w:pPr>
              <w:spacing w:after="40" w:line="240" w:lineRule="auto"/>
            </w:pPr>
            <w:r>
              <w:rPr>
                <w:rFonts w:ascii="Aptos" w:hAnsi="Aptos"/>
                <w:color w:val="000000"/>
                <w:sz w:val="17"/>
              </w:rPr>
              <w:t>Statistical product</w:t>
            </w:r>
          </w:p>
        </w:tc>
        <w:tc>
          <w:tcPr>
            <w:tcW w:type="dxa" w:w="4680"/>
            <w:tcMar>
              <w:top w:w="90" w:type="dxa"/>
              <w:start w:w="100" w:type="dxa"/>
              <w:bottom w:w="90" w:type="dxa"/>
              <w:end w:w="100" w:type="dxa"/>
            </w:tcMar>
            <w:vAlign w:val="center"/>
          </w:tcPr>
          <w:p>
            <w:pPr>
              <w:spacing w:after="40" w:line="240" w:lineRule="auto"/>
            </w:pPr>
            <w:r>
              <w:rPr>
                <w:rFonts w:ascii="Aptos" w:hAnsi="Aptos"/>
                <w:color w:val="000000"/>
                <w:sz w:val="17"/>
              </w:rPr>
              <w:t>Indicator, table, register, map, forecast, report or release.</w:t>
            </w:r>
          </w:p>
        </w:tc>
        <w:tc>
          <w:tcPr>
            <w:tcW w:type="dxa" w:w="2952"/>
            <w:tcMar>
              <w:top w:w="90" w:type="dxa"/>
              <w:start w:w="100" w:type="dxa"/>
              <w:bottom w:w="90" w:type="dxa"/>
              <w:end w:w="100" w:type="dxa"/>
            </w:tcMar>
            <w:vAlign w:val="center"/>
          </w:tcPr>
          <w:p>
            <w:pPr>
              <w:spacing w:after="40" w:line="240" w:lineRule="auto"/>
            </w:pPr>
            <w:r>
              <w:rPr>
                <w:rFonts w:ascii="Aptos" w:hAnsi="Aptos"/>
                <w:color w:val="000000"/>
                <w:sz w:val="17"/>
              </w:rPr>
              <w:t>Failing to link output to source assets and users.</w:t>
            </w:r>
          </w:p>
        </w:tc>
      </w:tr>
    </w:tbl>
    <w:p>
      <w:pPr>
        <w:spacing w:after="20"/>
      </w:pPr>
    </w:p>
    <w:p>
      <w:pPr>
        <w:pStyle w:val="Heading2"/>
      </w:pPr>
      <w:r>
        <w:t>Asset record minimum</w:t>
      </w:r>
    </w:p>
    <w:p>
      <w:r>
        <w:t>Each asset receives a stable ID and records owner, purpose, population or coverage, unit, geography, period, frequency, access, format, classifications, identifiers, transformations, quality evidence, confidentiality class, dependencies, known changes, users and fitness decisions. Unknown fields remain visible.</w:t>
      </w:r>
    </w:p>
    <w:p>
      <w:pPr>
        <w:pStyle w:val="Heading1"/>
      </w:pPr>
      <w:r>
        <w:t>5 Mapping information flows and needs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237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Flow element</w:t>
            </w:r>
          </w:p>
        </w:tc>
        <w:tc>
          <w:tcPr>
            <w:tcW w:type="dxa" w:w="748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Record</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Trigger</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Event or schedule that starts collection, extraction or processing.</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Source and destination</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Actor and asset IDs at each handoff.</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Transformation</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Editing, coding, linkage, modeling, aggregation, seasonal adjustment or interpretation.</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Control</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Validation, approval, access or quality check at the handoff.</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Timing</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Frequency, deadline, delay and synchronization requirements.</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Failure mode</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Loss, duplication, inconsistency, bias, late delivery, undocumented change or unauthorized access.</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Responsibility</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Named role for correction, acceptance and escalation.</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Fallback</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Manual route, alternative source, previous method or service continuity arrangement.</w:t>
            </w:r>
          </w:p>
        </w:tc>
      </w:tr>
    </w:tbl>
    <w:p>
      <w:pPr>
        <w:spacing w:after="20"/>
      </w:pPr>
    </w:p>
    <w:p>
      <w:pPr>
        <w:pStyle w:val="Heading2"/>
      </w:pPr>
      <w:r>
        <w:t>Need-to-asset test</w:t>
      </w:r>
    </w:p>
    <w:p>
      <w:pPr>
        <w:pStyle w:val="ListNumber"/>
        <w:spacing w:after="40"/>
      </w:pPr>
      <w:r>
        <w:t>State the user decision, population, geography, reference period and required timing.</w:t>
      </w:r>
    </w:p>
    <w:p>
      <w:pPr>
        <w:pStyle w:val="ListNumber"/>
        <w:spacing w:after="40"/>
      </w:pPr>
      <w:r>
        <w:t>Translate the decision into quality and interpretability requirements.</w:t>
      </w:r>
    </w:p>
    <w:p>
      <w:pPr>
        <w:pStyle w:val="ListNumber"/>
        <w:spacing w:after="40"/>
      </w:pPr>
      <w:r>
        <w:t>Identify current assets and flows that could meet the need.</w:t>
      </w:r>
    </w:p>
    <w:p>
      <w:pPr>
        <w:pStyle w:val="ListNumber"/>
        <w:spacing w:after="40"/>
      </w:pPr>
      <w:r>
        <w:t>Assess whether each asset is fit, conditionally fit or not fit.</w:t>
      </w:r>
    </w:p>
    <w:p>
      <w:pPr>
        <w:pStyle w:val="ListNumber"/>
        <w:spacing w:after="40"/>
      </w:pPr>
      <w:r>
        <w:t>Record unmet requirements, evidence gaps and consequences.</w:t>
      </w:r>
    </w:p>
    <w:p>
      <w:pPr>
        <w:pStyle w:val="ListNumber"/>
        <w:spacing w:after="40"/>
      </w:pPr>
      <w:r>
        <w:t>Only then consider process improvement or AI assistance.</w:t>
      </w:r>
    </w:p>
    <w:p>
      <w:pPr>
        <w:pStyle w:val="Heading1"/>
      </w:pPr>
      <w:r>
        <w:t>6 Fictional country case Republic of Kintaba</w:t>
      </w:r>
    </w:p>
    <w:p>
      <w:r>
        <w:t>Kintaba is a lower-middle-income country with 24 million people. Agriculture employs a large share of the rural population and is exposed to drought, pests and price volatility. The government needs earlier district crop-production estimates for food-security planning. The following case is fictional and contains deliberate gaps and contradictions.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blHeader/>
        </w:trPr>
        <w:tc>
          <w:tcPr>
            <w:tcW w:type="dxa" w:w="144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Actor ID</w:t>
            </w:r>
          </w:p>
        </w:tc>
        <w:tc>
          <w:tcPr>
            <w:tcW w:type="dxa" w:w="288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Actor</w:t>
            </w:r>
          </w:p>
        </w:tc>
        <w:tc>
          <w:tcPr>
            <w:tcW w:type="dxa" w:w="554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Reported role and situation</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ACT-01</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National Statistics Directorate</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Runs the agricultural census every ten years and an annual production survey. Its frame is based on the last census.</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ACT-02</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Ministry agriculture statistics unit</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Publishes seasonal crop estimates from extension reports and a farmer sample. Methods differ by region.</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ACT-03</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Extension service</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Collects monthly crop-condition forms from local officers. Coverage is better near roads.</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ACT-04</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Land administration agency</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Maintains registered parcels, but customary holdings are often absent.</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ACT-05</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Meteorological service</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Operates 82 stations; 19 had substantial missing observations last season.</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ACT-06</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National food-security secretariat</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Combines crop, market, nutrition and rainfall information for cabinet alerts.</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ACT-07</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Agricultural research institute</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Runs crop-variety trials at six research stations and selected farmer fields.</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ACT-08</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University geospatial laboratory</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Produces experimental crop maps from free satellite imagery with external project funding.</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ACT-09</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Market information service</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Collects weekly prices by phone from selected markets.</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ACT-10</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Mobile network operator</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Holds aggregated mobility and mobile-money indicators; no standing data-sharing agreement exists.</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ACT-11</w:t>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t>Farmer organizations</w:t>
            </w:r>
          </w:p>
        </w:tc>
        <w:tc>
          <w:tcPr>
            <w:tcW w:type="dxa" w:w="5544"/>
            <w:tcMar>
              <w:top w:w="90" w:type="dxa"/>
              <w:start w:w="100" w:type="dxa"/>
              <w:bottom w:w="90" w:type="dxa"/>
              <w:end w:w="100" w:type="dxa"/>
            </w:tcMar>
            <w:vAlign w:val="center"/>
          </w:tcPr>
          <w:p>
            <w:pPr>
              <w:spacing w:after="40" w:line="240" w:lineRule="auto"/>
            </w:pPr>
            <w:r>
              <w:rPr>
                <w:rFonts w:ascii="Aptos" w:hAnsi="Aptos"/>
                <w:color w:val="000000"/>
                <w:sz w:val="17"/>
              </w:rPr>
              <w:t>Report that official estimates arrive late and rarely include small irrigated plots or gender-disaggregated access information.</w:t>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t>ACT-12</w:t>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t>Government digital service</w:t>
            </w:r>
          </w:p>
        </w:tc>
        <w:tc>
          <w:tcPr>
            <w:tcW w:type="dxa" w:w="5544"/>
            <w:tcMar>
              <w:top w:w="90" w:type="dxa"/>
              <w:start w:w="100" w:type="dxa"/>
              <w:bottom w:w="90" w:type="dxa"/>
              <w:end w:w="100" w:type="dxa"/>
            </w:tcMar>
            <w:vAlign w:val="center"/>
            <w:shd w:fill="EAF2F8"/>
          </w:tcPr>
          <w:p>
            <w:pPr>
              <w:spacing w:after="40" w:line="240" w:lineRule="auto"/>
            </w:pPr>
            <w:r>
              <w:rPr>
                <w:rFonts w:ascii="Aptos" w:hAnsi="Aptos"/>
                <w:color w:val="000000"/>
                <w:sz w:val="17"/>
              </w:rPr>
              <w:t>Hosts ministry systems but does not manage sector metadata or statistical methods.</w:t>
            </w:r>
          </w:p>
        </w:tc>
      </w:tr>
    </w:tbl>
    <w:p>
      <w:pPr>
        <w:spacing w:after="20"/>
      </w:pPr>
    </w:p>
    <w:p>
      <w:pPr>
        <w:pStyle w:val="Heading2"/>
      </w:pPr>
      <w:r>
        <w:t>Case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172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Evidence ID</w:t>
            </w:r>
          </w:p>
        </w:tc>
        <w:tc>
          <w:tcPr>
            <w:tcW w:type="dxa" w:w="813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Extract</w:t>
            </w:r>
          </w:p>
        </w:tc>
      </w:tr>
      <w:tr>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t>EVD-01</w:t>
            </w:r>
          </w:p>
        </w:tc>
        <w:tc>
          <w:tcPr>
            <w:tcW w:type="dxa" w:w="8136"/>
            <w:tcMar>
              <w:top w:w="90" w:type="dxa"/>
              <w:start w:w="100" w:type="dxa"/>
              <w:bottom w:w="90" w:type="dxa"/>
              <w:end w:w="100" w:type="dxa"/>
            </w:tcMar>
            <w:vAlign w:val="center"/>
          </w:tcPr>
          <w:p>
            <w:pPr>
              <w:spacing w:after="40" w:line="240" w:lineRule="auto"/>
            </w:pPr>
            <w:r>
              <w:rPr>
                <w:rFonts w:ascii="Aptos" w:hAnsi="Aptos"/>
                <w:color w:val="000000"/>
                <w:sz w:val="17"/>
              </w:rPr>
              <w:t>Statistical law assigns national coordination to ACT-01 and allows designated sector producers.</w:t>
            </w:r>
          </w:p>
        </w:tc>
      </w:tr>
      <w:tr>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t>EVD-02</w:t>
            </w:r>
          </w:p>
        </w:tc>
        <w:tc>
          <w:tcPr>
            <w:tcW w:type="dxa" w:w="8136"/>
            <w:tcMar>
              <w:top w:w="90" w:type="dxa"/>
              <w:start w:w="100" w:type="dxa"/>
              <w:bottom w:w="90" w:type="dxa"/>
              <w:end w:w="100" w:type="dxa"/>
            </w:tcMar>
            <w:vAlign w:val="center"/>
            <w:shd w:fill="EAF2F8"/>
          </w:tcPr>
          <w:p>
            <w:pPr>
              <w:spacing w:after="40" w:line="240" w:lineRule="auto"/>
            </w:pPr>
            <w:r>
              <w:rPr>
                <w:rFonts w:ascii="Aptos" w:hAnsi="Aptos"/>
                <w:color w:val="000000"/>
                <w:sz w:val="17"/>
              </w:rPr>
              <w:t>A memorandum requires ACT-02 to send survey microdata and metadata to ACT-01 within 90 days; last year only tables were sent.</w:t>
            </w:r>
          </w:p>
        </w:tc>
      </w:tr>
      <w:tr>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t>EVD-03</w:t>
            </w:r>
          </w:p>
        </w:tc>
        <w:tc>
          <w:tcPr>
            <w:tcW w:type="dxa" w:w="8136"/>
            <w:tcMar>
              <w:top w:w="90" w:type="dxa"/>
              <w:start w:w="100" w:type="dxa"/>
              <w:bottom w:w="90" w:type="dxa"/>
              <w:end w:w="100" w:type="dxa"/>
            </w:tcMar>
            <w:vAlign w:val="center"/>
          </w:tcPr>
          <w:p>
            <w:pPr>
              <w:spacing w:after="40" w:line="240" w:lineRule="auto"/>
            </w:pPr>
            <w:r>
              <w:rPr>
                <w:rFonts w:ascii="Aptos" w:hAnsi="Aptos"/>
                <w:color w:val="000000"/>
                <w:sz w:val="17"/>
              </w:rPr>
              <w:t>ACT-02 reports 4.8 million tonnes of maize; ACT-01 reports 4.2 million for the same season. Definitions and revision status are not shown.</w:t>
            </w:r>
          </w:p>
        </w:tc>
      </w:tr>
      <w:tr>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t>EVD-04</w:t>
            </w:r>
          </w:p>
        </w:tc>
        <w:tc>
          <w:tcPr>
            <w:tcW w:type="dxa" w:w="8136"/>
            <w:tcMar>
              <w:top w:w="90" w:type="dxa"/>
              <w:start w:w="100" w:type="dxa"/>
              <w:bottom w:w="90" w:type="dxa"/>
              <w:end w:w="100" w:type="dxa"/>
            </w:tcMar>
            <w:vAlign w:val="center"/>
            <w:shd w:fill="EAF2F8"/>
          </w:tcPr>
          <w:p>
            <w:pPr>
              <w:spacing w:after="40" w:line="240" w:lineRule="auto"/>
            </w:pPr>
            <w:r>
              <w:rPr>
                <w:rFonts w:ascii="Aptos" w:hAnsi="Aptos"/>
                <w:color w:val="000000"/>
                <w:sz w:val="17"/>
              </w:rPr>
              <w:t>ACT-08 reports 86 percent crop-classification accuracy on 600 labelled fields in three accessible districts.</w:t>
            </w:r>
          </w:p>
        </w:tc>
      </w:tr>
      <w:tr>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t>EVD-05</w:t>
            </w:r>
          </w:p>
        </w:tc>
        <w:tc>
          <w:tcPr>
            <w:tcW w:type="dxa" w:w="8136"/>
            <w:tcMar>
              <w:top w:w="90" w:type="dxa"/>
              <w:start w:w="100" w:type="dxa"/>
              <w:bottom w:w="90" w:type="dxa"/>
              <w:end w:w="100" w:type="dxa"/>
            </w:tcMar>
            <w:vAlign w:val="center"/>
          </w:tcPr>
          <w:p>
            <w:pPr>
              <w:spacing w:after="40" w:line="240" w:lineRule="auto"/>
            </w:pPr>
            <w:r>
              <w:rPr>
                <w:rFonts w:ascii="Aptos" w:hAnsi="Aptos"/>
                <w:color w:val="000000"/>
                <w:sz w:val="17"/>
              </w:rPr>
              <w:t>ACT-07 trial results show two varieties with higher mean yields under controlled water management. Adoption conditions outside trial sites are not assessed.</w:t>
            </w:r>
          </w:p>
        </w:tc>
      </w:tr>
      <w:tr>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t>EVD-06</w:t>
            </w:r>
          </w:p>
        </w:tc>
        <w:tc>
          <w:tcPr>
            <w:tcW w:type="dxa" w:w="8136"/>
            <w:tcMar>
              <w:top w:w="90" w:type="dxa"/>
              <w:start w:w="100" w:type="dxa"/>
              <w:bottom w:w="90" w:type="dxa"/>
              <w:end w:w="100" w:type="dxa"/>
            </w:tcMar>
            <w:vAlign w:val="center"/>
            <w:shd w:fill="EAF2F8"/>
          </w:tcPr>
          <w:p>
            <w:pPr>
              <w:spacing w:after="40" w:line="240" w:lineRule="auto"/>
            </w:pPr>
            <w:r>
              <w:rPr>
                <w:rFonts w:ascii="Aptos" w:hAnsi="Aptos"/>
                <w:color w:val="000000"/>
                <w:sz w:val="17"/>
              </w:rPr>
              <w:t>Food-security alerts are due six weeks before the annual survey estimate is released.</w:t>
            </w:r>
          </w:p>
        </w:tc>
      </w:tr>
      <w:tr>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t>EVD-07</w:t>
            </w:r>
          </w:p>
        </w:tc>
        <w:tc>
          <w:tcPr>
            <w:tcW w:type="dxa" w:w="8136"/>
            <w:tcMar>
              <w:top w:w="90" w:type="dxa"/>
              <w:start w:w="100" w:type="dxa"/>
              <w:bottom w:w="90" w:type="dxa"/>
              <w:end w:w="100" w:type="dxa"/>
            </w:tcMar>
            <w:vAlign w:val="center"/>
          </w:tcPr>
          <w:p>
            <w:pPr>
              <w:spacing w:after="40" w:line="240" w:lineRule="auto"/>
            </w:pPr>
            <w:r>
              <w:rPr>
                <w:rFonts w:ascii="Aptos" w:hAnsi="Aptos"/>
                <w:color w:val="000000"/>
                <w:sz w:val="17"/>
              </w:rPr>
              <w:t>No common identifier links holdings, parcels, extension reports and survey units.</w:t>
            </w:r>
          </w:p>
        </w:tc>
      </w:tr>
      <w:tr>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t>EVD-08</w:t>
            </w:r>
          </w:p>
        </w:tc>
        <w:tc>
          <w:tcPr>
            <w:tcW w:type="dxa" w:w="8136"/>
            <w:tcMar>
              <w:top w:w="90" w:type="dxa"/>
              <w:start w:w="100" w:type="dxa"/>
              <w:bottom w:w="90" w:type="dxa"/>
              <w:end w:w="100" w:type="dxa"/>
            </w:tcMar>
            <w:vAlign w:val="center"/>
            <w:shd w:fill="EAF2F8"/>
          </w:tcPr>
          <w:p>
            <w:pPr>
              <w:spacing w:after="40" w:line="240" w:lineRule="auto"/>
            </w:pPr>
            <w:r>
              <w:rPr>
                <w:rFonts w:ascii="Aptos" w:hAnsi="Aptos"/>
                <w:color w:val="000000"/>
                <w:sz w:val="17"/>
              </w:rPr>
              <w:t>The geospatial project has eight months of funding remaining and one trained analyst.</w:t>
            </w:r>
          </w:p>
        </w:tc>
      </w:tr>
    </w:tbl>
    <w:p>
      <w:pPr>
        <w:spacing w:after="20"/>
      </w:pPr>
    </w:p>
    <w:p>
      <w:pPr>
        <w:pStyle w:val="Heading1"/>
      </w:pPr>
      <w:r>
        <w:t>7 Exercise 1 Map actors authority and evidence</w:t>
      </w:r>
    </w:p>
    <w:p>
      <w:r>
        <w:t>Time: 45 minutes. Work in groups. Use ACT and EVD identifiers. Produce an actor register and a short authority analysis.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79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Task</w:t>
            </w:r>
          </w:p>
        </w:tc>
        <w:tc>
          <w:tcPr>
            <w:tcW w:type="dxa" w:w="907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Required response</w:t>
            </w:r>
          </w:p>
        </w:tc>
      </w:tr>
      <w:tr>
        <w:tc>
          <w:tcPr>
            <w:tcW w:type="dxa" w:w="792"/>
            <w:tcMar>
              <w:top w:w="90" w:type="dxa"/>
              <w:start w:w="100" w:type="dxa"/>
              <w:bottom w:w="90" w:type="dxa"/>
              <w:end w:w="100" w:type="dxa"/>
            </w:tcMar>
            <w:vAlign w:val="center"/>
          </w:tcPr>
          <w:p>
            <w:pPr>
              <w:spacing w:after="40" w:line="240" w:lineRule="auto"/>
            </w:pPr>
            <w:r>
              <w:rPr>
                <w:rFonts w:ascii="Aptos" w:hAnsi="Aptos"/>
                <w:color w:val="000000"/>
                <w:sz w:val="17"/>
              </w:rPr>
              <w:t>A</w:t>
            </w:r>
          </w:p>
        </w:tc>
        <w:tc>
          <w:tcPr>
            <w:tcW w:type="dxa" w:w="9072"/>
            <w:tcMar>
              <w:top w:w="90" w:type="dxa"/>
              <w:start w:w="100" w:type="dxa"/>
              <w:bottom w:w="90" w:type="dxa"/>
              <w:end w:w="100" w:type="dxa"/>
            </w:tcMar>
            <w:vAlign w:val="center"/>
          </w:tcPr>
          <w:p>
            <w:pPr>
              <w:spacing w:after="40" w:line="240" w:lineRule="auto"/>
            </w:pPr>
            <w:r>
              <w:rPr>
                <w:rFonts w:ascii="Aptos" w:hAnsi="Aptos"/>
                <w:color w:val="000000"/>
                <w:sz w:val="17"/>
              </w:rPr>
              <w:t>Assign each actor its relevant roles: source owner, producer, methodological authority, steward, coordinator, technology provider, funder, oversight or user. Multiple roles are allowed.</w:t>
            </w:r>
          </w:p>
        </w:tc>
      </w:tr>
      <w:tr>
        <w:tc>
          <w:tcPr>
            <w:tcW w:type="dxa" w:w="792"/>
            <w:tcMar>
              <w:top w:w="90" w:type="dxa"/>
              <w:start w:w="100" w:type="dxa"/>
              <w:bottom w:w="90" w:type="dxa"/>
              <w:end w:w="100" w:type="dxa"/>
            </w:tcMar>
            <w:vAlign w:val="center"/>
            <w:shd w:fill="EAF2F8"/>
          </w:tcPr>
          <w:p>
            <w:pPr>
              <w:spacing w:after="40" w:line="240" w:lineRule="auto"/>
            </w:pPr>
            <w:r>
              <w:rPr>
                <w:rFonts w:ascii="Aptos" w:hAnsi="Aptos"/>
                <w:color w:val="000000"/>
                <w:sz w:val="17"/>
              </w:rPr>
              <w:t>B</w:t>
            </w:r>
          </w:p>
        </w:tc>
        <w:tc>
          <w:tcPr>
            <w:tcW w:type="dxa" w:w="9072"/>
            <w:tcMar>
              <w:top w:w="90" w:type="dxa"/>
              <w:start w:w="100" w:type="dxa"/>
              <w:bottom w:w="90" w:type="dxa"/>
              <w:end w:w="100" w:type="dxa"/>
            </w:tcMar>
            <w:vAlign w:val="center"/>
            <w:shd w:fill="EAF2F8"/>
          </w:tcPr>
          <w:p>
            <w:pPr>
              <w:spacing w:after="40" w:line="240" w:lineRule="auto"/>
            </w:pPr>
            <w:r>
              <w:rPr>
                <w:rFonts w:ascii="Aptos" w:hAnsi="Aptos"/>
                <w:color w:val="000000"/>
                <w:sz w:val="17"/>
              </w:rPr>
              <w:t>For each assignment, label it E, R or U and cite an evidence ID or the case statement.</w:t>
            </w:r>
          </w:p>
        </w:tc>
      </w:tr>
      <w:tr>
        <w:tc>
          <w:tcPr>
            <w:tcW w:type="dxa" w:w="792"/>
            <w:tcMar>
              <w:top w:w="90" w:type="dxa"/>
              <w:start w:w="100" w:type="dxa"/>
              <w:bottom w:w="90" w:type="dxa"/>
              <w:end w:w="100" w:type="dxa"/>
            </w:tcMar>
            <w:vAlign w:val="center"/>
          </w:tcPr>
          <w:p>
            <w:pPr>
              <w:spacing w:after="40" w:line="240" w:lineRule="auto"/>
            </w:pPr>
            <w:r>
              <w:rPr>
                <w:rFonts w:ascii="Aptos" w:hAnsi="Aptos"/>
                <w:color w:val="000000"/>
                <w:sz w:val="17"/>
              </w:rPr>
              <w:t>C</w:t>
            </w:r>
          </w:p>
        </w:tc>
        <w:tc>
          <w:tcPr>
            <w:tcW w:type="dxa" w:w="9072"/>
            <w:tcMar>
              <w:top w:w="90" w:type="dxa"/>
              <w:start w:w="100" w:type="dxa"/>
              <w:bottom w:w="90" w:type="dxa"/>
              <w:end w:w="100" w:type="dxa"/>
            </w:tcMar>
            <w:vAlign w:val="center"/>
          </w:tcPr>
          <w:p>
            <w:pPr>
              <w:spacing w:after="40" w:line="240" w:lineRule="auto"/>
            </w:pPr>
            <w:r>
              <w:rPr>
                <w:rFonts w:ascii="Aptos" w:hAnsi="Aptos"/>
                <w:color w:val="000000"/>
                <w:sz w:val="17"/>
              </w:rPr>
              <w:t>Identify three authority or accountability questions that must be resolved before a national crop-estimation integration project.</w:t>
            </w:r>
          </w:p>
        </w:tc>
      </w:tr>
      <w:tr>
        <w:tc>
          <w:tcPr>
            <w:tcW w:type="dxa" w:w="792"/>
            <w:tcMar>
              <w:top w:w="90" w:type="dxa"/>
              <w:start w:w="100" w:type="dxa"/>
              <w:bottom w:w="90" w:type="dxa"/>
              <w:end w:w="100" w:type="dxa"/>
            </w:tcMar>
            <w:vAlign w:val="center"/>
            <w:shd w:fill="EAF2F8"/>
          </w:tcPr>
          <w:p>
            <w:pPr>
              <w:spacing w:after="40" w:line="240" w:lineRule="auto"/>
            </w:pPr>
            <w:r>
              <w:rPr>
                <w:rFonts w:ascii="Aptos" w:hAnsi="Aptos"/>
                <w:color w:val="000000"/>
                <w:sz w:val="17"/>
              </w:rPr>
              <w:t>D</w:t>
            </w:r>
          </w:p>
        </w:tc>
        <w:tc>
          <w:tcPr>
            <w:tcW w:type="dxa" w:w="9072"/>
            <w:tcMar>
              <w:top w:w="90" w:type="dxa"/>
              <w:start w:w="100" w:type="dxa"/>
              <w:bottom w:w="90" w:type="dxa"/>
              <w:end w:w="100" w:type="dxa"/>
            </w:tcMar>
            <w:vAlign w:val="center"/>
            <w:shd w:fill="EAF2F8"/>
          </w:tcPr>
          <w:p>
            <w:pPr>
              <w:spacing w:after="40" w:line="240" w:lineRule="auto"/>
            </w:pPr>
            <w:r>
              <w:rPr>
                <w:rFonts w:ascii="Aptos" w:hAnsi="Aptos"/>
                <w:color w:val="000000"/>
                <w:sz w:val="17"/>
              </w:rPr>
              <w:t>Name one actor missing from the case and explain why it matters.</w:t>
            </w:r>
          </w:p>
        </w:tc>
      </w:tr>
    </w:tbl>
    <w:p>
      <w:pPr>
        <w:spacing w:after="20"/>
      </w:pPr>
    </w:p>
    <w:p>
      <w:pPr>
        <w:pStyle w:val="Heading2"/>
      </w:pPr>
      <w:r>
        <w:t>Submission template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blHeader/>
        </w:trPr>
        <w:tc>
          <w:tcPr>
            <w:tcW w:type="dxa" w:w="144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Actor ID</w:t>
            </w:r>
          </w:p>
        </w:tc>
        <w:tc>
          <w:tcPr>
            <w:tcW w:type="dxa" w:w="194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Role</w:t>
            </w:r>
          </w:p>
        </w:tc>
        <w:tc>
          <w:tcPr>
            <w:tcW w:type="dxa" w:w="288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Evidence label and reference</w:t>
            </w:r>
          </w:p>
        </w:tc>
        <w:tc>
          <w:tcPr>
            <w:tcW w:type="dxa" w:w="360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Authority or coordination issue</w:t>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88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360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88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3600"/>
            <w:tcMar>
              <w:top w:w="90" w:type="dxa"/>
              <w:start w:w="100" w:type="dxa"/>
              <w:bottom w:w="90" w:type="dxa"/>
              <w:end w:w="100" w:type="dxa"/>
            </w:tcMar>
            <w:vAlign w:val="center"/>
          </w:tcPr>
          <w:p>
            <w:pPr>
              <w:spacing w:after="40" w:line="240" w:lineRule="auto"/>
            </w:pPr>
            <w:r>
              <w:rPr>
                <w:rFonts w:ascii="Aptos" w:hAnsi="Aptos"/>
                <w:color w:val="000000"/>
                <w:sz w:val="17"/>
              </w:rPr>
            </w:r>
          </w:p>
        </w:tc>
      </w:tr>
    </w:tbl>
    <w:p>
      <w:pPr>
        <w:spacing w:after="20"/>
      </w:pPr>
    </w:p>
    <w:p>
      <w:pPr>
        <w:pStyle w:val="Heading1"/>
      </w:pPr>
      <w:r>
        <w:t>8 Exercise 2 Inventory and assess assets</w:t>
      </w:r>
    </w:p>
    <w:p>
      <w:r>
        <w:t>Time: 45 minutes. Identify at least eight assets, covering four different source types. Do not confuse the producing institution with the asset or the published output.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9"/>
        <w:gridCol w:w="2039"/>
        <w:gridCol w:w="2039"/>
        <w:gridCol w:w="2039"/>
        <w:gridCol w:w="2039"/>
      </w:tblGrid>
      <w:tr>
        <w:trPr>
          <w:tblHeader w:val="true"/>
          <w:tblHeader/>
        </w:trPr>
        <w:tc>
          <w:tcPr>
            <w:tcW w:type="dxa" w:w="122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Asset ID</w:t>
            </w:r>
          </w:p>
        </w:tc>
        <w:tc>
          <w:tcPr>
            <w:tcW w:type="dxa" w:w="309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Asset</w:t>
            </w:r>
          </w:p>
        </w:tc>
        <w:tc>
          <w:tcPr>
            <w:tcW w:type="dxa" w:w="165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Type</w:t>
            </w:r>
          </w:p>
        </w:tc>
        <w:tc>
          <w:tcPr>
            <w:tcW w:type="dxa" w:w="144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Owner</w:t>
            </w:r>
          </w:p>
        </w:tc>
        <w:tc>
          <w:tcPr>
            <w:tcW w:type="dxa" w:w="2520"/>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Main quality or fitness issue</w:t>
            </w:r>
          </w:p>
        </w:tc>
      </w:tr>
      <w:tr>
        <w:tc>
          <w:tcPr>
            <w:tcW w:type="dxa" w:w="1224"/>
            <w:tcMar>
              <w:top w:w="90" w:type="dxa"/>
              <w:start w:w="100" w:type="dxa"/>
              <w:bottom w:w="90" w:type="dxa"/>
              <w:end w:w="100" w:type="dxa"/>
            </w:tcMar>
            <w:vAlign w:val="center"/>
          </w:tcPr>
          <w:p>
            <w:pPr>
              <w:spacing w:after="40" w:line="240" w:lineRule="auto"/>
            </w:pPr>
            <w:r>
              <w:rPr>
                <w:rFonts w:ascii="Aptos" w:hAnsi="Aptos"/>
                <w:color w:val="000000"/>
                <w:sz w:val="17"/>
              </w:rPr>
              <w:t>AST-01</w:t>
            </w:r>
          </w:p>
        </w:tc>
        <w:tc>
          <w:tcPr>
            <w:tcW w:type="dxa" w:w="3096"/>
            <w:tcMar>
              <w:top w:w="90" w:type="dxa"/>
              <w:start w:w="100" w:type="dxa"/>
              <w:bottom w:w="90" w:type="dxa"/>
              <w:end w:w="100" w:type="dxa"/>
            </w:tcMar>
            <w:vAlign w:val="center"/>
          </w:tcPr>
          <w:p>
            <w:pPr>
              <w:spacing w:after="40" w:line="240" w:lineRule="auto"/>
            </w:pPr>
            <w:r>
              <w:rPr>
                <w:rFonts w:ascii="Aptos" w:hAnsi="Aptos"/>
                <w:color w:val="000000"/>
                <w:sz w:val="17"/>
              </w:rPr>
              <w:t>Annual agricultural production survey</w:t>
            </w:r>
          </w:p>
        </w:tc>
        <w:tc>
          <w:tcPr>
            <w:tcW w:type="dxa" w:w="1656"/>
            <w:tcMar>
              <w:top w:w="90" w:type="dxa"/>
              <w:start w:w="100" w:type="dxa"/>
              <w:bottom w:w="90" w:type="dxa"/>
              <w:end w:w="100" w:type="dxa"/>
            </w:tcMar>
            <w:vAlign w:val="center"/>
          </w:tcPr>
          <w:p>
            <w:pPr>
              <w:spacing w:after="40" w:line="240" w:lineRule="auto"/>
            </w:pPr>
            <w:r>
              <w:rPr>
                <w:rFonts w:ascii="Aptos" w:hAnsi="Aptos"/>
                <w:color w:val="000000"/>
                <w:sz w:val="17"/>
              </w:rPr>
              <w:t>Survey</w:t>
            </w:r>
          </w:p>
        </w:tc>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t>ACT-01</w:t>
            </w:r>
          </w:p>
        </w:tc>
        <w:tc>
          <w:tcPr>
            <w:tcW w:type="dxa" w:w="2520"/>
            <w:tcMar>
              <w:top w:w="90" w:type="dxa"/>
              <w:start w:w="100" w:type="dxa"/>
              <w:bottom w:w="90" w:type="dxa"/>
              <w:end w:w="100" w:type="dxa"/>
            </w:tcMar>
            <w:vAlign w:val="center"/>
          </w:tcPr>
          <w:p>
            <w:pPr>
              <w:spacing w:after="40" w:line="240" w:lineRule="auto"/>
            </w:pPr>
            <w:r>
              <w:rPr>
                <w:rFonts w:ascii="Aptos" w:hAnsi="Aptos"/>
                <w:color w:val="000000"/>
                <w:sz w:val="17"/>
              </w:rPr>
              <w:t>Frame age and release timing.</w:t>
            </w:r>
          </w:p>
        </w:tc>
      </w:tr>
      <w:tr>
        <w:tc>
          <w:tcPr>
            <w:tcW w:type="dxa" w:w="122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30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65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52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122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309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65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520"/>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122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30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65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52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122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309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65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440"/>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520"/>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122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30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65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44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520"/>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bl>
    <w:p>
      <w:pPr>
        <w:spacing w:after="20"/>
      </w:pPr>
    </w:p>
    <w:p>
      <w:pPr>
        <w:pStyle w:val="Heading2"/>
      </w:pPr>
      <w:r>
        <w:t>Challenge questions</w:t>
      </w:r>
    </w:p>
    <w:p>
      <w:pPr>
        <w:pStyle w:val="ListBullet"/>
        <w:spacing w:after="40"/>
      </w:pPr>
      <w:r>
        <w:t>Which asset is most authoritative for each quantity, and why?</w:t>
      </w:r>
    </w:p>
    <w:p>
      <w:pPr>
        <w:pStyle w:val="ListBullet"/>
        <w:spacing w:after="40"/>
      </w:pPr>
      <w:r>
        <w:t>Which assets are timely but potentially biased or incomplete?</w:t>
      </w:r>
    </w:p>
    <w:p>
      <w:pPr>
        <w:pStyle w:val="ListBullet"/>
        <w:spacing w:after="40"/>
      </w:pPr>
      <w:r>
        <w:t>Which research or geospatial result is being generalized beyond its evidence?</w:t>
      </w:r>
    </w:p>
    <w:p>
      <w:pPr>
        <w:pStyle w:val="ListBullet"/>
        <w:spacing w:after="40"/>
      </w:pPr>
      <w:r>
        <w:t>Which metadata or reference asset is missing?</w:t>
      </w:r>
    </w:p>
    <w:p>
      <w:pPr>
        <w:pStyle w:val="ListBullet"/>
        <w:spacing w:after="40"/>
      </w:pPr>
      <w:r>
        <w:t>Which assets can be combined now, only conditionally, or not yet?</w:t>
      </w:r>
    </w:p>
    <w:p>
      <w:pPr>
        <w:pStyle w:val="Heading1"/>
      </w:pPr>
      <w:r>
        <w:t>9 Exercise 3 Trace the crop-estimate flow</w:t>
      </w:r>
    </w:p>
    <w:p>
      <w:r>
        <w:t>Time: 60 minutes. Trace the flow from farm conditions to a cabinet food-security decision. Include at least five actors, three assets and four transformations or handoffs.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1699"/>
        <w:gridCol w:w="1699"/>
        <w:gridCol w:w="1699"/>
        <w:gridCol w:w="1699"/>
        <w:gridCol w:w="1699"/>
      </w:tblGrid>
      <w:tr>
        <w:trPr>
          <w:tblHeader w:val="true"/>
          <w:tblHeader/>
        </w:trPr>
        <w:tc>
          <w:tcPr>
            <w:tcW w:type="dxa" w:w="792"/>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Step</w:t>
            </w:r>
          </w:p>
        </w:tc>
        <w:tc>
          <w:tcPr>
            <w:tcW w:type="dxa" w:w="194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Source actor and asset</w:t>
            </w:r>
          </w:p>
        </w:tc>
        <w:tc>
          <w:tcPr>
            <w:tcW w:type="dxa" w:w="237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Transformation or handoff</w:t>
            </w:r>
          </w:p>
        </w:tc>
        <w:tc>
          <w:tcPr>
            <w:tcW w:type="dxa" w:w="1944"/>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Control and owner</w:t>
            </w:r>
          </w:p>
        </w:tc>
        <w:tc>
          <w:tcPr>
            <w:tcW w:type="dxa" w:w="172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Failure or delay</w:t>
            </w:r>
          </w:p>
        </w:tc>
        <w:tc>
          <w:tcPr>
            <w:tcW w:type="dxa" w:w="129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Destination</w:t>
            </w:r>
          </w:p>
        </w:tc>
      </w:tr>
      <w:tr>
        <w:tc>
          <w:tcPr>
            <w:tcW w:type="dxa" w:w="792"/>
            <w:tcMar>
              <w:top w:w="90" w:type="dxa"/>
              <w:start w:w="100" w:type="dxa"/>
              <w:bottom w:w="90" w:type="dxa"/>
              <w:end w:w="100" w:type="dxa"/>
            </w:tcMar>
            <w:vAlign w:val="center"/>
          </w:tcPr>
          <w:p>
            <w:pPr>
              <w:spacing w:after="40" w:line="240" w:lineRule="auto"/>
            </w:pPr>
            <w:r>
              <w:rPr>
                <w:rFonts w:ascii="Aptos" w:hAnsi="Aptos"/>
                <w:color w:val="000000"/>
                <w:sz w:val="17"/>
              </w:rPr>
              <w:t>1</w:t>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792"/>
            <w:tcMar>
              <w:top w:w="90" w:type="dxa"/>
              <w:start w:w="100" w:type="dxa"/>
              <w:bottom w:w="90" w:type="dxa"/>
              <w:end w:w="100" w:type="dxa"/>
            </w:tcMar>
            <w:vAlign w:val="center"/>
            <w:shd w:fill="EAF2F8"/>
          </w:tcPr>
          <w:p>
            <w:pPr>
              <w:spacing w:after="40" w:line="240" w:lineRule="auto"/>
            </w:pPr>
            <w:r>
              <w:rPr>
                <w:rFonts w:ascii="Aptos" w:hAnsi="Aptos"/>
                <w:color w:val="000000"/>
                <w:sz w:val="17"/>
              </w:rPr>
              <w:t>2</w:t>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792"/>
            <w:tcMar>
              <w:top w:w="90" w:type="dxa"/>
              <w:start w:w="100" w:type="dxa"/>
              <w:bottom w:w="90" w:type="dxa"/>
              <w:end w:w="100" w:type="dxa"/>
            </w:tcMar>
            <w:vAlign w:val="center"/>
          </w:tcPr>
          <w:p>
            <w:pPr>
              <w:spacing w:after="40" w:line="240" w:lineRule="auto"/>
            </w:pPr>
            <w:r>
              <w:rPr>
                <w:rFonts w:ascii="Aptos" w:hAnsi="Aptos"/>
                <w:color w:val="000000"/>
                <w:sz w:val="17"/>
              </w:rPr>
              <w:t>3</w:t>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792"/>
            <w:tcMar>
              <w:top w:w="90" w:type="dxa"/>
              <w:start w:w="100" w:type="dxa"/>
              <w:bottom w:w="90" w:type="dxa"/>
              <w:end w:w="100" w:type="dxa"/>
            </w:tcMar>
            <w:vAlign w:val="center"/>
            <w:shd w:fill="EAF2F8"/>
          </w:tcPr>
          <w:p>
            <w:pPr>
              <w:spacing w:after="40" w:line="240" w:lineRule="auto"/>
            </w:pPr>
            <w:r>
              <w:rPr>
                <w:rFonts w:ascii="Aptos" w:hAnsi="Aptos"/>
                <w:color w:val="000000"/>
                <w:sz w:val="17"/>
              </w:rPr>
              <w:t>4</w:t>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r>
        <w:tc>
          <w:tcPr>
            <w:tcW w:type="dxa" w:w="792"/>
            <w:tcMar>
              <w:top w:w="90" w:type="dxa"/>
              <w:start w:w="100" w:type="dxa"/>
              <w:bottom w:w="90" w:type="dxa"/>
              <w:end w:w="100" w:type="dxa"/>
            </w:tcMar>
            <w:vAlign w:val="center"/>
          </w:tcPr>
          <w:p>
            <w:pPr>
              <w:spacing w:after="40" w:line="240" w:lineRule="auto"/>
            </w:pPr>
            <w:r>
              <w:rPr>
                <w:rFonts w:ascii="Aptos" w:hAnsi="Aptos"/>
                <w:color w:val="000000"/>
                <w:sz w:val="17"/>
              </w:rPr>
              <w:t>5</w:t>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tcPr>
          <w:p>
            <w:pPr>
              <w:spacing w:after="40" w:line="240" w:lineRule="auto"/>
            </w:pPr>
            <w:r>
              <w:rPr>
                <w:rFonts w:ascii="Aptos" w:hAnsi="Aptos"/>
                <w:color w:val="000000"/>
                <w:sz w:val="17"/>
              </w:rPr>
            </w:r>
          </w:p>
        </w:tc>
      </w:tr>
      <w:tr>
        <w:tc>
          <w:tcPr>
            <w:tcW w:type="dxa" w:w="792"/>
            <w:tcMar>
              <w:top w:w="90" w:type="dxa"/>
              <w:start w:w="100" w:type="dxa"/>
              <w:bottom w:w="90" w:type="dxa"/>
              <w:end w:w="100" w:type="dxa"/>
            </w:tcMar>
            <w:vAlign w:val="center"/>
            <w:shd w:fill="EAF2F8"/>
          </w:tcPr>
          <w:p>
            <w:pPr>
              <w:spacing w:after="40" w:line="240" w:lineRule="auto"/>
            </w:pPr>
            <w:r>
              <w:rPr>
                <w:rFonts w:ascii="Aptos" w:hAnsi="Aptos"/>
                <w:color w:val="000000"/>
                <w:sz w:val="17"/>
              </w:rPr>
              <w:t>6</w:t>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944"/>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728"/>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c>
          <w:tcPr>
            <w:tcW w:type="dxa" w:w="1296"/>
            <w:tcMar>
              <w:top w:w="90" w:type="dxa"/>
              <w:start w:w="100" w:type="dxa"/>
              <w:bottom w:w="90" w:type="dxa"/>
              <w:end w:w="100" w:type="dxa"/>
            </w:tcMar>
            <w:vAlign w:val="center"/>
            <w:shd w:fill="EAF2F8"/>
          </w:tcPr>
          <w:p>
            <w:pPr>
              <w:spacing w:after="40" w:line="240" w:lineRule="auto"/>
            </w:pPr>
            <w:r>
              <w:rPr>
                <w:rFonts w:ascii="Aptos" w:hAnsi="Aptos"/>
                <w:color w:val="000000"/>
                <w:sz w:val="17"/>
              </w:rPr>
            </w:r>
          </w:p>
        </w:tc>
      </w:tr>
    </w:tbl>
    <w:p>
      <w:pPr>
        <w:spacing w:after="20"/>
      </w:pPr>
    </w:p>
    <w:p>
      <w:pPr>
        <w:pStyle w:val="Heading2"/>
      </w:pPr>
      <w:r>
        <w:t>Required conclusion</w:t>
      </w:r>
    </w:p>
    <w:p>
      <w:r>
        <w:t>Identify the two most consequential failure points. For each, state the affected user decision, consequence, present evidence, missing evidence, responsible role and a realistic non-AI improvement.</w:t>
      </w:r>
    </w:p>
    <w:p>
      <w:pPr>
        <w:pStyle w:val="Heading1"/>
      </w:pPr>
      <w:r>
        <w:t>10 Exercise 4 User need risk and AI opportunity</w:t>
      </w:r>
    </w:p>
    <w:p>
      <w:r>
        <w:t>Time: 40 minutes. Screen the proposal: “Use generative AI and satellite imagery to produce district crop estimates automatically.” Do not redesign the entire national system. Produce a bounded recommendation.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blHeader/>
        </w:trPr>
        <w:tc>
          <w:tcPr>
            <w:tcW w:type="dxa" w:w="2376"/>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Screen</w:t>
            </w:r>
          </w:p>
        </w:tc>
        <w:tc>
          <w:tcPr>
            <w:tcW w:type="dxa" w:w="7488"/>
            <w:shd w:fill="1F4E78"/>
            <w:tcMar>
              <w:top w:w="90" w:type="dxa"/>
              <w:start w:w="100" w:type="dxa"/>
              <w:bottom w:w="90" w:type="dxa"/>
              <w:end w:w="100" w:type="dxa"/>
            </w:tcMar>
            <w:vAlign w:val="center"/>
          </w:tcPr>
          <w:p>
            <w:pPr>
              <w:spacing w:after="40" w:line="240" w:lineRule="auto"/>
              <w:jc w:val="center"/>
            </w:pPr>
            <w:r>
              <w:rPr>
                <w:rFonts w:ascii="Aptos" w:hAnsi="Aptos"/>
                <w:b/>
                <w:color w:val="FFFFFF"/>
                <w:sz w:val="17"/>
              </w:rPr>
              <w:t>Question</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Purpose</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What exact decision and statistical product are being improved?</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Baseline</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What current method, timing, cost and error evidence will the proposal be compared with?</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Data</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Which sources are permitted, representative, sufficiently documented and stable?</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Quality</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What benchmark, districts, crops, subgroups, seasons and tolerances are required?</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Authority</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Who owns the estimate, method, review and release decision?</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Human oversight</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Which qualified person can challenge or override the result?</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Security and confidentiality</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What information may enter each tool and environment?</w:t>
            </w:r>
          </w:p>
        </w:tc>
      </w:tr>
      <w:tr>
        <w:tc>
          <w:tcPr>
            <w:tcW w:type="dxa" w:w="2376"/>
            <w:tcMar>
              <w:top w:w="90" w:type="dxa"/>
              <w:start w:w="100" w:type="dxa"/>
              <w:bottom w:w="90" w:type="dxa"/>
              <w:end w:w="100" w:type="dxa"/>
            </w:tcMar>
            <w:vAlign w:val="center"/>
            <w:shd w:fill="EAF2F8"/>
          </w:tcPr>
          <w:p>
            <w:pPr>
              <w:spacing w:after="40" w:line="240" w:lineRule="auto"/>
            </w:pPr>
            <w:r>
              <w:rPr>
                <w:rFonts w:ascii="Aptos" w:hAnsi="Aptos"/>
                <w:color w:val="000000"/>
                <w:sz w:val="17"/>
              </w:rPr>
              <w:t>Sustainability</w:t>
            </w:r>
          </w:p>
        </w:tc>
        <w:tc>
          <w:tcPr>
            <w:tcW w:type="dxa" w:w="7488"/>
            <w:tcMar>
              <w:top w:w="90" w:type="dxa"/>
              <w:start w:w="100" w:type="dxa"/>
              <w:bottom w:w="90" w:type="dxa"/>
              <w:end w:w="100" w:type="dxa"/>
            </w:tcMar>
            <w:vAlign w:val="center"/>
            <w:shd w:fill="EAF2F8"/>
          </w:tcPr>
          <w:p>
            <w:pPr>
              <w:spacing w:after="40" w:line="240" w:lineRule="auto"/>
            </w:pPr>
            <w:r>
              <w:rPr>
                <w:rFonts w:ascii="Aptos" w:hAnsi="Aptos"/>
                <w:color w:val="000000"/>
                <w:sz w:val="17"/>
              </w:rPr>
              <w:t>What skills, funding, infrastructure, supplier and fallback dependencies exist?</w:t>
            </w:r>
          </w:p>
        </w:tc>
      </w:tr>
      <w:tr>
        <w:tc>
          <w:tcPr>
            <w:tcW w:type="dxa" w:w="2376"/>
            <w:tcMar>
              <w:top w:w="90" w:type="dxa"/>
              <w:start w:w="100" w:type="dxa"/>
              <w:bottom w:w="90" w:type="dxa"/>
              <w:end w:w="100" w:type="dxa"/>
            </w:tcMar>
            <w:vAlign w:val="center"/>
          </w:tcPr>
          <w:p>
            <w:pPr>
              <w:spacing w:after="40" w:line="240" w:lineRule="auto"/>
            </w:pPr>
            <w:r>
              <w:rPr>
                <w:rFonts w:ascii="Aptos" w:hAnsi="Aptos"/>
                <w:color w:val="000000"/>
                <w:sz w:val="17"/>
              </w:rPr>
              <w:t>Decision</w:t>
            </w:r>
          </w:p>
        </w:tc>
        <w:tc>
          <w:tcPr>
            <w:tcW w:type="dxa" w:w="7488"/>
            <w:tcMar>
              <w:top w:w="90" w:type="dxa"/>
              <w:start w:w="100" w:type="dxa"/>
              <w:bottom w:w="90" w:type="dxa"/>
              <w:end w:w="100" w:type="dxa"/>
            </w:tcMar>
            <w:vAlign w:val="center"/>
          </w:tcPr>
          <w:p>
            <w:pPr>
              <w:spacing w:after="40" w:line="240" w:lineRule="auto"/>
            </w:pPr>
            <w:r>
              <w:rPr>
                <w:rFonts w:ascii="Aptos" w:hAnsi="Aptos"/>
                <w:color w:val="000000"/>
                <w:sz w:val="17"/>
              </w:rPr>
              <w:t>Proceed to scoping, investigate dependencies first, or do not pursue? Under what conditions?</w:t>
            </w:r>
          </w:p>
        </w:tc>
      </w:tr>
    </w:tbl>
    <w:p>
      <w:pPr>
        <w:spacing w:after="20"/>
      </w:pPr>
    </w:p>
    <w:p>
      <w:pPr>
        <w:pStyle w:val="Heading2"/>
      </w:pPr>
      <w:r>
        <w:t>Individual assessment prompt</w:t>
      </w:r>
    </w:p>
    <w:p>
      <w:r>
        <w:t>In no more than 500 words, define the ecosystem boundary for improving the timeliness of Kintaba’s district crop-production estimates. Identify the critical actors, assets and flow; distinguish evidenced, reported and unknown claims; state the leading fitness-for-use problem; and recommend one next action. Your answer must explain why that action comes before or instead of an AI pilot.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A01 The National Information Ecosystem</dc:title>
  <dc:subject>Canonical learner lesson for the SRAI Official Statistics and AI Pathway</dc:subject>
  <dc:creator>SRAI</dc:creator>
  <cp:keywords>official statistics, national statistical system, information ecosystem, AI readiness</cp:keywords>
  <dc:description>generated by python-docx</dc:description>
  <cp:lastModifiedBy/>
  <cp:revision>1</cp:revision>
  <dcterms:created xsi:type="dcterms:W3CDTF">2013-12-23T23:15:00Z</dcterms:created>
  <dcterms:modified xsi:type="dcterms:W3CDTF">2013-12-23T23:15:00Z</dcterms:modified>
  <cp:category/>
</cp:coreProperties>
</file>