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abel"/>
      </w:pPr>
      <w:r>
        <w:t>SRAI OFFICIAL STATISTICS AND AI PATHWAY</w:t>
      </w:r>
    </w:p>
    <w:p>
      <w:pPr>
        <w:pStyle w:val="Title"/>
      </w:pPr>
      <w:r>
        <w:t>Assessment Pack: The National Information Ecosystem</w:t>
      </w:r>
    </w:p>
    <w:p>
      <w:r>
        <w:t>OS-A01-A09 | Candidate version 0.1 | September 2026</w:t>
      </w:r>
    </w:p>
    <w:p>
      <w:pPr>
        <w:pStyle w:val="Heading2"/>
      </w:pPr>
      <w:r>
        <w:t>Module purpose</w:t>
      </w:r>
    </w:p>
    <w:p>
      <w:r>
        <w:t>Participants learn to see official statistics as a national information ecosystem rather than as the output of one national statistical office. They identify the institutions, data assets, technologies, flows, users, rules, capabilities and risks that determine whether information is fit for public decisions. They then use that map to locate realistic AI opportunities and the dependencies that must be addressed first.</w:t>
      </w:r>
    </w:p>
    <w:p>
      <w:pPr>
        <w:pStyle w:val="Heading2"/>
      </w:pPr>
      <w:r>
        <w:t>Performance outcome</w:t>
      </w:r>
    </w:p>
    <w:p>
      <w:r>
        <w:t>Given a country scenario or an approved national domain, the participant can produce a scoped ecosystem map with stable identifiers, evidence references, critical flows, user needs, quality and governance risks, coordination gaps and a justified statement of where AI may or may not add value.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232"/>
            <w:shd w:fill="1F4E78"/>
            <w:tcMar>
              <w:top w:w="90" w:type="dxa"/>
              <w:start w:w="90" w:type="dxa"/>
              <w:bottom w:w="90" w:type="dxa"/>
              <w:end w:w="90" w:type="dxa"/>
            </w:tcMar>
            <w:vAlign w:val="center"/>
          </w:tcPr>
          <w:p>
            <w:pPr>
              <w:spacing w:after="40"/>
              <w:jc w:val="center"/>
            </w:pPr>
            <w:r>
              <w:rPr>
                <w:rFonts w:ascii="Aptos" w:hAnsi="Aptos"/>
                <w:b/>
                <w:color w:val="FFFFFF"/>
                <w:sz w:val="16"/>
              </w:rPr>
              <w:t>Module</w:t>
            </w:r>
          </w:p>
        </w:tc>
        <w:tc>
          <w:tcPr>
            <w:tcW w:type="dxa" w:w="7632"/>
            <w:shd w:fill="1F4E78"/>
            <w:tcMar>
              <w:top w:w="90" w:type="dxa"/>
              <w:start w:w="90" w:type="dxa"/>
              <w:bottom w:w="90" w:type="dxa"/>
              <w:end w:w="90" w:type="dxa"/>
            </w:tcMar>
            <w:vAlign w:val="center"/>
          </w:tcPr>
          <w:p>
            <w:pPr>
              <w:spacing w:after="40"/>
              <w:jc w:val="center"/>
            </w:pPr>
            <w:r>
              <w:rPr>
                <w:rFonts w:ascii="Aptos" w:hAnsi="Aptos"/>
                <w:b/>
                <w:color w:val="FFFFFF"/>
                <w:sz w:val="16"/>
              </w:rPr>
              <w:t>A1</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Competencies</w:t>
            </w:r>
          </w:p>
        </w:tc>
        <w:tc>
          <w:tcPr>
            <w:tcW w:type="dxa" w:w="7632"/>
            <w:tcMar>
              <w:top w:w="90" w:type="dxa"/>
              <w:start w:w="90" w:type="dxa"/>
              <w:bottom w:w="90" w:type="dxa"/>
              <w:end w:w="90" w:type="dxa"/>
            </w:tcMar>
            <w:vAlign w:val="center"/>
          </w:tcPr>
          <w:p>
            <w:pPr>
              <w:spacing w:after="40" w:line="240" w:lineRule="auto"/>
            </w:pPr>
            <w:r>
              <w:rPr>
                <w:rFonts w:ascii="Aptos" w:hAnsi="Aptos"/>
                <w:color w:val="000000"/>
                <w:sz w:val="16"/>
              </w:rPr>
              <w:t>C1 Statistical purpose and public value; C3 stewardship; C4 quality; C6 governance; C8 communication.</w:t>
            </w:r>
          </w:p>
        </w:tc>
      </w:tr>
      <w:tr>
        <w:tc>
          <w:tcPr>
            <w:tcW w:type="dxa" w:w="2232"/>
            <w:tcMar>
              <w:top w:w="90" w:type="dxa"/>
              <w:start w:w="90" w:type="dxa"/>
              <w:bottom w:w="90" w:type="dxa"/>
              <w:end w:w="90" w:type="dxa"/>
            </w:tcMar>
            <w:vAlign w:val="center"/>
            <w:shd w:fill="EAF2F8"/>
          </w:tcPr>
          <w:p>
            <w:pPr>
              <w:spacing w:after="40" w:line="240" w:lineRule="auto"/>
            </w:pPr>
            <w:r>
              <w:rPr>
                <w:rFonts w:ascii="Aptos" w:hAnsi="Aptos"/>
                <w:color w:val="000000"/>
                <w:sz w:val="16"/>
              </w:rPr>
              <w:t>Entry level</w:t>
            </w:r>
          </w:p>
        </w:tc>
        <w:tc>
          <w:tcPr>
            <w:tcW w:type="dxa" w:w="7632"/>
            <w:tcMar>
              <w:top w:w="90" w:type="dxa"/>
              <w:start w:w="90" w:type="dxa"/>
              <w:bottom w:w="90" w:type="dxa"/>
              <w:end w:w="90" w:type="dxa"/>
            </w:tcMar>
            <w:vAlign w:val="center"/>
            <w:shd w:fill="EAF2F8"/>
          </w:tcPr>
          <w:p>
            <w:pPr>
              <w:spacing w:after="40" w:line="240" w:lineRule="auto"/>
            </w:pPr>
            <w:r>
              <w:rPr>
                <w:rFonts w:ascii="Aptos" w:hAnsi="Aptos"/>
                <w:color w:val="000000"/>
                <w:sz w:val="16"/>
              </w:rPr>
              <w:t>No prior AI expertise required; basic familiarity with a statistical organization or sector.</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Exit level</w:t>
            </w:r>
          </w:p>
        </w:tc>
        <w:tc>
          <w:tcPr>
            <w:tcW w:type="dxa" w:w="7632"/>
            <w:tcMar>
              <w:top w:w="90" w:type="dxa"/>
              <w:start w:w="90" w:type="dxa"/>
              <w:bottom w:w="90" w:type="dxa"/>
              <w:end w:w="90" w:type="dxa"/>
            </w:tcMar>
            <w:vAlign w:val="center"/>
          </w:tcPr>
          <w:p>
            <w:pPr>
              <w:spacing w:after="40" w:line="240" w:lineRule="auto"/>
            </w:pPr>
            <w:r>
              <w:rPr>
                <w:rFonts w:ascii="Aptos" w:hAnsi="Aptos"/>
                <w:color w:val="000000"/>
                <w:sz w:val="16"/>
              </w:rPr>
              <w:t>L1 guided practitioner, with an optional L2 workplace assignment.</w:t>
            </w:r>
          </w:p>
        </w:tc>
      </w:tr>
      <w:tr>
        <w:tc>
          <w:tcPr>
            <w:tcW w:type="dxa" w:w="2232"/>
            <w:tcMar>
              <w:top w:w="90" w:type="dxa"/>
              <w:start w:w="90" w:type="dxa"/>
              <w:bottom w:w="90" w:type="dxa"/>
              <w:end w:w="90" w:type="dxa"/>
            </w:tcMar>
            <w:vAlign w:val="center"/>
            <w:shd w:fill="EAF2F8"/>
          </w:tcPr>
          <w:p>
            <w:pPr>
              <w:spacing w:after="40" w:line="240" w:lineRule="auto"/>
            </w:pPr>
            <w:r>
              <w:rPr>
                <w:rFonts w:ascii="Aptos" w:hAnsi="Aptos"/>
                <w:color w:val="000000"/>
                <w:sz w:val="16"/>
              </w:rPr>
              <w:t>Structured time</w:t>
            </w:r>
          </w:p>
        </w:tc>
        <w:tc>
          <w:tcPr>
            <w:tcW w:type="dxa" w:w="7632"/>
            <w:tcMar>
              <w:top w:w="90" w:type="dxa"/>
              <w:start w:w="90" w:type="dxa"/>
              <w:bottom w:w="90" w:type="dxa"/>
              <w:end w:w="90" w:type="dxa"/>
            </w:tcMar>
            <w:vAlign w:val="center"/>
            <w:shd w:fill="EAF2F8"/>
          </w:tcPr>
          <w:p>
            <w:pPr>
              <w:spacing w:after="40" w:line="240" w:lineRule="auto"/>
            </w:pPr>
            <w:r>
              <w:rPr>
                <w:rFonts w:ascii="Aptos" w:hAnsi="Aptos"/>
                <w:color w:val="000000"/>
                <w:sz w:val="16"/>
              </w:rPr>
              <w:t>6 hours, delivered as one day or two 3-hour sessions.</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Practice share</w:t>
            </w:r>
          </w:p>
        </w:tc>
        <w:tc>
          <w:tcPr>
            <w:tcW w:type="dxa" w:w="7632"/>
            <w:tcMar>
              <w:top w:w="90" w:type="dxa"/>
              <w:start w:w="90" w:type="dxa"/>
              <w:bottom w:w="90" w:type="dxa"/>
              <w:end w:w="90" w:type="dxa"/>
            </w:tcMar>
            <w:vAlign w:val="center"/>
          </w:tcPr>
          <w:p>
            <w:pPr>
              <w:spacing w:after="40" w:line="240" w:lineRule="auto"/>
            </w:pPr>
            <w:r>
              <w:rPr>
                <w:rFonts w:ascii="Aptos" w:hAnsi="Aptos"/>
                <w:color w:val="000000"/>
                <w:sz w:val="16"/>
              </w:rPr>
              <w:t>Approximately 65 percent.</w:t>
            </w:r>
          </w:p>
        </w:tc>
      </w:tr>
      <w:tr>
        <w:tc>
          <w:tcPr>
            <w:tcW w:type="dxa" w:w="2232"/>
            <w:tcMar>
              <w:top w:w="90" w:type="dxa"/>
              <w:start w:w="90" w:type="dxa"/>
              <w:bottom w:w="90" w:type="dxa"/>
              <w:end w:w="90" w:type="dxa"/>
            </w:tcMar>
            <w:vAlign w:val="center"/>
            <w:shd w:fill="EAF2F8"/>
          </w:tcPr>
          <w:p>
            <w:pPr>
              <w:spacing w:after="40" w:line="240" w:lineRule="auto"/>
            </w:pPr>
            <w:r>
              <w:rPr>
                <w:rFonts w:ascii="Aptos" w:hAnsi="Aptos"/>
                <w:color w:val="000000"/>
                <w:sz w:val="16"/>
              </w:rPr>
              <w:t>Primary evidence</w:t>
            </w:r>
          </w:p>
        </w:tc>
        <w:tc>
          <w:tcPr>
            <w:tcW w:type="dxa" w:w="7632"/>
            <w:tcMar>
              <w:top w:w="90" w:type="dxa"/>
              <w:start w:w="90" w:type="dxa"/>
              <w:bottom w:w="90" w:type="dxa"/>
              <w:end w:w="90" w:type="dxa"/>
            </w:tcMar>
            <w:vAlign w:val="center"/>
            <w:shd w:fill="EAF2F8"/>
          </w:tcPr>
          <w:p>
            <w:pPr>
              <w:spacing w:after="40" w:line="240" w:lineRule="auto"/>
            </w:pPr>
            <w:r>
              <w:rPr>
                <w:rFonts w:ascii="Aptos" w:hAnsi="Aptos"/>
                <w:color w:val="000000"/>
                <w:sz w:val="16"/>
              </w:rPr>
              <w:t>Completed ecosystem map, flow analysis, risk statement and oral defence.</w:t>
            </w:r>
          </w:p>
        </w:tc>
      </w:tr>
      <w:tr>
        <w:tc>
          <w:tcPr>
            <w:tcW w:type="dxa" w:w="2232"/>
            <w:tcMar>
              <w:top w:w="90" w:type="dxa"/>
              <w:start w:w="90" w:type="dxa"/>
              <w:bottom w:w="90" w:type="dxa"/>
              <w:end w:w="90" w:type="dxa"/>
            </w:tcMar>
            <w:vAlign w:val="center"/>
          </w:tcPr>
          <w:p>
            <w:pPr>
              <w:spacing w:after="40" w:line="240" w:lineRule="auto"/>
            </w:pPr>
            <w:r>
              <w:rPr>
                <w:rFonts w:ascii="Aptos" w:hAnsi="Aptos"/>
                <w:color w:val="000000"/>
                <w:sz w:val="16"/>
              </w:rPr>
              <w:t>Phase 1 link</w:t>
            </w:r>
          </w:p>
        </w:tc>
        <w:tc>
          <w:tcPr>
            <w:tcW w:type="dxa" w:w="7632"/>
            <w:tcMar>
              <w:top w:w="90" w:type="dxa"/>
              <w:start w:w="90" w:type="dxa"/>
              <w:bottom w:w="90" w:type="dxa"/>
              <w:end w:w="90" w:type="dxa"/>
            </w:tcMar>
            <w:vAlign w:val="center"/>
          </w:tcPr>
          <w:p>
            <w:pPr>
              <w:spacing w:after="40" w:line="240" w:lineRule="auto"/>
            </w:pPr>
            <w:r>
              <w:rPr>
                <w:rFonts w:ascii="Aptos" w:hAnsi="Aptos"/>
                <w:color w:val="000000"/>
                <w:sz w:val="16"/>
              </w:rPr>
              <w:t>Uses the concepts and record types of Phase 1D.</w:t>
            </w:r>
          </w:p>
        </w:tc>
      </w:tr>
    </w:tbl>
    <w:p>
      <w:pPr>
        <w:spacing w:after="20"/>
      </w:pPr>
    </w:p>
    <w:p>
      <w:pPr>
        <w:pStyle w:val="Heading2"/>
      </w:pPr>
      <w:r>
        <w:t>Package contents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1440"/>
            <w:shd w:fill="1F4E78"/>
            <w:tcMar>
              <w:top w:w="90" w:type="dxa"/>
              <w:start w:w="90" w:type="dxa"/>
              <w:bottom w:w="90" w:type="dxa"/>
              <w:end w:w="90" w:type="dxa"/>
            </w:tcMar>
            <w:vAlign w:val="center"/>
          </w:tcPr>
          <w:p>
            <w:pPr>
              <w:spacing w:after="40"/>
              <w:jc w:val="center"/>
            </w:pPr>
            <w:r>
              <w:rPr>
                <w:rFonts w:ascii="Aptos" w:hAnsi="Aptos"/>
                <w:b/>
                <w:color w:val="FFFFFF"/>
                <w:sz w:val="16"/>
              </w:rPr>
              <w:t>Part</w:t>
            </w:r>
          </w:p>
        </w:tc>
        <w:tc>
          <w:tcPr>
            <w:tcW w:type="dxa" w:w="8424"/>
            <w:shd w:fill="1F4E78"/>
            <w:tcMar>
              <w:top w:w="90" w:type="dxa"/>
              <w:start w:w="90" w:type="dxa"/>
              <w:bottom w:w="90" w:type="dxa"/>
              <w:end w:w="90" w:type="dxa"/>
            </w:tcMar>
            <w:vAlign w:val="center"/>
          </w:tcPr>
          <w:p>
            <w:pPr>
              <w:spacing w:after="40"/>
              <w:jc w:val="center"/>
            </w:pPr>
            <w:r>
              <w:rPr>
                <w:rFonts w:ascii="Aptos" w:hAnsi="Aptos"/>
                <w:b/>
                <w:color w:val="FFFFFF"/>
                <w:sz w:val="16"/>
              </w:rPr>
              <w:t>Use</w:t>
            </w:r>
          </w:p>
        </w:tc>
      </w:tr>
      <w:tr>
        <w:tc>
          <w:tcPr>
            <w:tcW w:type="dxa" w:w="5097"/>
          </w:tcPr>
          <w:p>
            <w:pPr>
              <w:spacing w:after="40"/>
            </w:pPr>
            <w:r>
              <w:rPr>
                <w:rFonts w:ascii="Aptos" w:hAnsi="Aptos"/>
                <w:sz w:val="16"/>
              </w:rPr>
              <w:t>Use</w:t>
            </w:r>
          </w:p>
        </w:tc>
        <w:tc>
          <w:tcPr>
            <w:tcW w:type="dxa" w:w="5097"/>
          </w:tcPr>
          <w:p>
            <w:pPr>
              <w:spacing w:after="40"/>
            </w:pPr>
            <w:r>
              <w:rPr>
                <w:rFonts w:ascii="Aptos" w:hAnsi="Aptos"/>
                <w:sz w:val="16"/>
              </w:rPr>
              <w:t>Assessment edition. Apply the rubric consistently and retain an auditable record of feedback and decisions.</w:t>
            </w:r>
          </w:p>
        </w:tc>
      </w:tr>
    </w:tbl>
    <w:p>
      <w:pPr>
        <w:spacing w:after="20"/>
      </w:pPr>
    </w:p>
    <w:p>
      <w:r>
        <w:t>Assessment edition. Apply the rubric consistently and retain an auditable record of feedback and decisions.</w:t>
      </w:r>
    </w:p>
    <w:p>
      <w:pPr>
        <w:pStyle w:val="Heading1"/>
      </w:pPr>
      <w:r>
        <w:t>Learning outcomes and evidence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5616"/>
            <w:shd w:fill="1F4E78"/>
            <w:tcMar>
              <w:top w:w="90" w:type="dxa"/>
              <w:start w:w="90" w:type="dxa"/>
              <w:bottom w:w="90" w:type="dxa"/>
              <w:end w:w="90" w:type="dxa"/>
            </w:tcMar>
            <w:vAlign w:val="center"/>
          </w:tcPr>
          <w:p>
            <w:pPr>
              <w:spacing w:after="40"/>
              <w:jc w:val="center"/>
            </w:pPr>
            <w:r>
              <w:rPr>
                <w:rFonts w:ascii="Aptos" w:hAnsi="Aptos"/>
                <w:b/>
                <w:color w:val="FFFFFF"/>
                <w:sz w:val="16"/>
              </w:rPr>
              <w:t>By the end participants can</w:t>
            </w:r>
          </w:p>
        </w:tc>
        <w:tc>
          <w:tcPr>
            <w:tcW w:type="dxa" w:w="4248"/>
            <w:shd w:fill="1F4E78"/>
            <w:tcMar>
              <w:top w:w="90" w:type="dxa"/>
              <w:start w:w="90" w:type="dxa"/>
              <w:bottom w:w="90" w:type="dxa"/>
              <w:end w:w="90" w:type="dxa"/>
            </w:tcMar>
            <w:vAlign w:val="center"/>
          </w:tcPr>
          <w:p>
            <w:pPr>
              <w:spacing w:after="40"/>
              <w:jc w:val="center"/>
            </w:pPr>
            <w:r>
              <w:rPr>
                <w:rFonts w:ascii="Aptos" w:hAnsi="Aptos"/>
                <w:b/>
                <w:color w:val="FFFFFF"/>
                <w:sz w:val="16"/>
              </w:rPr>
              <w:t>Evidence</w:t>
            </w:r>
          </w:p>
        </w:tc>
      </w:tr>
      <w:tr>
        <w:tc>
          <w:tcPr>
            <w:tcW w:type="dxa" w:w="5616"/>
            <w:tcMar>
              <w:top w:w="90" w:type="dxa"/>
              <w:start w:w="90" w:type="dxa"/>
              <w:bottom w:w="90" w:type="dxa"/>
              <w:end w:w="90" w:type="dxa"/>
            </w:tcMar>
            <w:vAlign w:val="center"/>
          </w:tcPr>
          <w:p>
            <w:pPr>
              <w:spacing w:after="40" w:line="240" w:lineRule="auto"/>
            </w:pPr>
            <w:r>
              <w:rPr>
                <w:rFonts w:ascii="Aptos" w:hAnsi="Aptos"/>
                <w:color w:val="000000"/>
                <w:sz w:val="16"/>
              </w:rPr>
              <w:t>Define the boundary of a national or sector information ecosystem.</w:t>
            </w:r>
          </w:p>
        </w:tc>
        <w:tc>
          <w:tcPr>
            <w:tcW w:type="dxa" w:w="4248"/>
            <w:tcMar>
              <w:top w:w="90" w:type="dxa"/>
              <w:start w:w="90" w:type="dxa"/>
              <w:bottom w:w="90" w:type="dxa"/>
              <w:end w:w="90" w:type="dxa"/>
            </w:tcMar>
            <w:vAlign w:val="center"/>
          </w:tcPr>
          <w:p>
            <w:pPr>
              <w:spacing w:after="40" w:line="240" w:lineRule="auto"/>
            </w:pPr>
            <w:r>
              <w:rPr>
                <w:rFonts w:ascii="Aptos" w:hAnsi="Aptos"/>
                <w:color w:val="000000"/>
                <w:sz w:val="16"/>
              </w:rPr>
              <w:t>Scope statement naming domain, geography, period, users and exclusions.</w:t>
            </w:r>
          </w:p>
        </w:tc>
      </w:tr>
      <w:tr>
        <w:tc>
          <w:tcPr>
            <w:tcW w:type="dxa" w:w="5616"/>
            <w:tcMar>
              <w:top w:w="90" w:type="dxa"/>
              <w:start w:w="90" w:type="dxa"/>
              <w:bottom w:w="90" w:type="dxa"/>
              <w:end w:w="90" w:type="dxa"/>
            </w:tcMar>
            <w:vAlign w:val="center"/>
            <w:shd w:fill="EAF2F8"/>
          </w:tcPr>
          <w:p>
            <w:pPr>
              <w:spacing w:after="40" w:line="240" w:lineRule="auto"/>
            </w:pPr>
            <w:r>
              <w:rPr>
                <w:rFonts w:ascii="Aptos" w:hAnsi="Aptos"/>
                <w:color w:val="000000"/>
                <w:sz w:val="16"/>
              </w:rPr>
              <w:t>Distinguish producer, source owner, steward, processor, coordinator, funder, regulator and user roles.</w:t>
            </w:r>
          </w:p>
        </w:tc>
        <w:tc>
          <w:tcPr>
            <w:tcW w:type="dxa" w:w="4248"/>
            <w:tcMar>
              <w:top w:w="90" w:type="dxa"/>
              <w:start w:w="90" w:type="dxa"/>
              <w:bottom w:w="90" w:type="dxa"/>
              <w:end w:w="90" w:type="dxa"/>
            </w:tcMar>
            <w:vAlign w:val="center"/>
            <w:shd w:fill="EAF2F8"/>
          </w:tcPr>
          <w:p>
            <w:pPr>
              <w:spacing w:after="40" w:line="240" w:lineRule="auto"/>
            </w:pPr>
            <w:r>
              <w:rPr>
                <w:rFonts w:ascii="Aptos" w:hAnsi="Aptos"/>
                <w:color w:val="000000"/>
                <w:sz w:val="16"/>
              </w:rPr>
              <w:t>Actor register with role and authority evidence.</w:t>
            </w:r>
          </w:p>
        </w:tc>
      </w:tr>
      <w:tr>
        <w:tc>
          <w:tcPr>
            <w:tcW w:type="dxa" w:w="5616"/>
            <w:tcMar>
              <w:top w:w="90" w:type="dxa"/>
              <w:start w:w="90" w:type="dxa"/>
              <w:bottom w:w="90" w:type="dxa"/>
              <w:end w:w="90" w:type="dxa"/>
            </w:tcMar>
            <w:vAlign w:val="center"/>
          </w:tcPr>
          <w:p>
            <w:pPr>
              <w:spacing w:after="40" w:line="240" w:lineRule="auto"/>
            </w:pPr>
            <w:r>
              <w:rPr>
                <w:rFonts w:ascii="Aptos" w:hAnsi="Aptos"/>
                <w:color w:val="000000"/>
                <w:sz w:val="16"/>
              </w:rPr>
              <w:t>Inventory data assets from surveys, censuses, administrative records, research, geospatial and private sources.</w:t>
            </w:r>
          </w:p>
        </w:tc>
        <w:tc>
          <w:tcPr>
            <w:tcW w:type="dxa" w:w="4248"/>
            <w:tcMar>
              <w:top w:w="90" w:type="dxa"/>
              <w:start w:w="90" w:type="dxa"/>
              <w:bottom w:w="90" w:type="dxa"/>
              <w:end w:w="90" w:type="dxa"/>
            </w:tcMar>
            <w:vAlign w:val="center"/>
          </w:tcPr>
          <w:p>
            <w:pPr>
              <w:spacing w:after="40" w:line="240" w:lineRule="auto"/>
            </w:pPr>
            <w:r>
              <w:rPr>
                <w:rFonts w:ascii="Aptos" w:hAnsi="Aptos"/>
                <w:color w:val="000000"/>
                <w:sz w:val="16"/>
              </w:rPr>
              <w:t>Asset register with provenance and quality notes.</w:t>
            </w:r>
          </w:p>
        </w:tc>
      </w:tr>
      <w:tr>
        <w:tc>
          <w:tcPr>
            <w:tcW w:type="dxa" w:w="5616"/>
            <w:tcMar>
              <w:top w:w="90" w:type="dxa"/>
              <w:start w:w="90" w:type="dxa"/>
              <w:bottom w:w="90" w:type="dxa"/>
              <w:end w:w="90" w:type="dxa"/>
            </w:tcMar>
            <w:vAlign w:val="center"/>
            <w:shd w:fill="EAF2F8"/>
          </w:tcPr>
          <w:p>
            <w:pPr>
              <w:spacing w:after="40" w:line="240" w:lineRule="auto"/>
            </w:pPr>
            <w:r>
              <w:rPr>
                <w:rFonts w:ascii="Aptos" w:hAnsi="Aptos"/>
                <w:color w:val="000000"/>
                <w:sz w:val="16"/>
              </w:rPr>
              <w:t>Trace one critical information flow from collection or generation to use.</w:t>
            </w:r>
          </w:p>
        </w:tc>
        <w:tc>
          <w:tcPr>
            <w:tcW w:type="dxa" w:w="4248"/>
            <w:tcMar>
              <w:top w:w="90" w:type="dxa"/>
              <w:start w:w="90" w:type="dxa"/>
              <w:bottom w:w="90" w:type="dxa"/>
              <w:end w:w="90" w:type="dxa"/>
            </w:tcMar>
            <w:vAlign w:val="center"/>
            <w:shd w:fill="EAF2F8"/>
          </w:tcPr>
          <w:p>
            <w:pPr>
              <w:spacing w:after="40" w:line="240" w:lineRule="auto"/>
            </w:pPr>
            <w:r>
              <w:rPr>
                <w:rFonts w:ascii="Aptos" w:hAnsi="Aptos"/>
                <w:color w:val="000000"/>
                <w:sz w:val="16"/>
              </w:rPr>
              <w:t>Flow record showing transformations, handoffs, delays and failure points.</w:t>
            </w:r>
          </w:p>
        </w:tc>
      </w:tr>
      <w:tr>
        <w:tc>
          <w:tcPr>
            <w:tcW w:type="dxa" w:w="5616"/>
            <w:tcMar>
              <w:top w:w="90" w:type="dxa"/>
              <w:start w:w="90" w:type="dxa"/>
              <w:bottom w:w="90" w:type="dxa"/>
              <w:end w:w="90" w:type="dxa"/>
            </w:tcMar>
            <w:vAlign w:val="center"/>
          </w:tcPr>
          <w:p>
            <w:pPr>
              <w:spacing w:after="40" w:line="240" w:lineRule="auto"/>
            </w:pPr>
            <w:r>
              <w:rPr>
                <w:rFonts w:ascii="Aptos" w:hAnsi="Aptos"/>
                <w:color w:val="000000"/>
                <w:sz w:val="16"/>
              </w:rPr>
              <w:t>Connect user needs to fitness-for-use requirements.</w:t>
            </w:r>
          </w:p>
        </w:tc>
        <w:tc>
          <w:tcPr>
            <w:tcW w:type="dxa" w:w="4248"/>
            <w:tcMar>
              <w:top w:w="90" w:type="dxa"/>
              <w:start w:w="90" w:type="dxa"/>
              <w:bottom w:w="90" w:type="dxa"/>
              <w:end w:w="90" w:type="dxa"/>
            </w:tcMar>
            <w:vAlign w:val="center"/>
          </w:tcPr>
          <w:p>
            <w:pPr>
              <w:spacing w:after="40" w:line="240" w:lineRule="auto"/>
            </w:pPr>
            <w:r>
              <w:rPr>
                <w:rFonts w:ascii="Aptos" w:hAnsi="Aptos"/>
                <w:color w:val="000000"/>
                <w:sz w:val="16"/>
              </w:rPr>
              <w:t>Need-to-asset matrix with unmet or partially met needs.</w:t>
            </w:r>
          </w:p>
        </w:tc>
      </w:tr>
      <w:tr>
        <w:tc>
          <w:tcPr>
            <w:tcW w:type="dxa" w:w="5616"/>
            <w:tcMar>
              <w:top w:w="90" w:type="dxa"/>
              <w:start w:w="90" w:type="dxa"/>
              <w:bottom w:w="90" w:type="dxa"/>
              <w:end w:w="90" w:type="dxa"/>
            </w:tcMar>
            <w:vAlign w:val="center"/>
            <w:shd w:fill="EAF2F8"/>
          </w:tcPr>
          <w:p>
            <w:pPr>
              <w:spacing w:after="40" w:line="240" w:lineRule="auto"/>
            </w:pPr>
            <w:r>
              <w:rPr>
                <w:rFonts w:ascii="Aptos" w:hAnsi="Aptos"/>
                <w:color w:val="000000"/>
                <w:sz w:val="16"/>
              </w:rPr>
              <w:t>Identify coordination, capability, quality, legal, security and sustainability risks.</w:t>
            </w:r>
          </w:p>
        </w:tc>
        <w:tc>
          <w:tcPr>
            <w:tcW w:type="dxa" w:w="4248"/>
            <w:tcMar>
              <w:top w:w="90" w:type="dxa"/>
              <w:start w:w="90" w:type="dxa"/>
              <w:bottom w:w="90" w:type="dxa"/>
              <w:end w:w="90" w:type="dxa"/>
            </w:tcMar>
            <w:vAlign w:val="center"/>
            <w:shd w:fill="EAF2F8"/>
          </w:tcPr>
          <w:p>
            <w:pPr>
              <w:spacing w:after="40" w:line="240" w:lineRule="auto"/>
            </w:pPr>
            <w:r>
              <w:rPr>
                <w:rFonts w:ascii="Aptos" w:hAnsi="Aptos"/>
                <w:color w:val="000000"/>
                <w:sz w:val="16"/>
              </w:rPr>
              <w:t>Prioritized gap and risk list.</w:t>
            </w:r>
          </w:p>
        </w:tc>
      </w:tr>
      <w:tr>
        <w:tc>
          <w:tcPr>
            <w:tcW w:type="dxa" w:w="5616"/>
            <w:tcMar>
              <w:top w:w="90" w:type="dxa"/>
              <w:start w:w="90" w:type="dxa"/>
              <w:bottom w:w="90" w:type="dxa"/>
              <w:end w:w="90" w:type="dxa"/>
            </w:tcMar>
            <w:vAlign w:val="center"/>
          </w:tcPr>
          <w:p>
            <w:pPr>
              <w:spacing w:after="40" w:line="240" w:lineRule="auto"/>
            </w:pPr>
            <w:r>
              <w:rPr>
                <w:rFonts w:ascii="Aptos" w:hAnsi="Aptos"/>
                <w:color w:val="000000"/>
                <w:sz w:val="16"/>
              </w:rPr>
              <w:t>Locate bounded AI opportunities without assuming AI is the answer.</w:t>
            </w:r>
          </w:p>
        </w:tc>
        <w:tc>
          <w:tcPr>
            <w:tcW w:type="dxa" w:w="4248"/>
            <w:tcMar>
              <w:top w:w="90" w:type="dxa"/>
              <w:start w:w="90" w:type="dxa"/>
              <w:bottom w:w="90" w:type="dxa"/>
              <w:end w:w="90" w:type="dxa"/>
            </w:tcMar>
            <w:vAlign w:val="center"/>
          </w:tcPr>
          <w:p>
            <w:pPr>
              <w:spacing w:after="40" w:line="240" w:lineRule="auto"/>
            </w:pPr>
            <w:r>
              <w:rPr>
                <w:rFonts w:ascii="Aptos" w:hAnsi="Aptos"/>
                <w:color w:val="000000"/>
                <w:sz w:val="16"/>
              </w:rPr>
              <w:t>Opportunity and dependency statement with a proceed, investigate or do not pursue recommendation.</w:t>
            </w:r>
          </w:p>
        </w:tc>
      </w:tr>
    </w:tbl>
    <w:p>
      <w:pPr>
        <w:spacing w:after="20"/>
      </w:pPr>
    </w:p>
    <w:p>
      <w:pPr>
        <w:pStyle w:val="Heading2"/>
      </w:pPr>
      <w:r>
        <w:t>Critical safeguards</w:t>
      </w:r>
    </w:p>
    <w:p>
      <w:pPr>
        <w:pStyle w:val="ListBullet"/>
        <w:spacing w:after="40"/>
      </w:pPr>
      <w:r>
        <w:t>Do not include confidential records, passwords, security details or personal data in the classroom map.</w:t>
      </w:r>
    </w:p>
    <w:p>
      <w:pPr>
        <w:pStyle w:val="ListBullet"/>
        <w:spacing w:after="40"/>
      </w:pPr>
      <w:r>
        <w:t>Label claims as evidenced, reported or unknown. Do not convert informed opinion into fact.</w:t>
      </w:r>
    </w:p>
    <w:p>
      <w:pPr>
        <w:pStyle w:val="ListBullet"/>
        <w:spacing w:after="40"/>
      </w:pPr>
      <w:r>
        <w:t>Map actual decision authority; do not assume the NSO controls every sector source.</w:t>
      </w:r>
    </w:p>
    <w:p>
      <w:pPr>
        <w:pStyle w:val="ListBullet"/>
        <w:spacing w:after="40"/>
      </w:pPr>
      <w:r>
        <w:t>An AI opportunity is not selected until purpose, data access, quality, human responsibility and security are considered.</w:t>
      </w:r>
    </w:p>
    <w:p>
      <w:pPr>
        <w:pStyle w:val="Heading1"/>
      </w:pPr>
      <w:r>
        <w:t>Exercise 4 User need risk and AI opportunity</w:t>
      </w:r>
    </w:p>
    <w:p>
      <w:r>
        <w:t>Time: 40 minutes. Screen the proposal: “Use generative AI and satellite imagery to produce district crop estimates automatically.” Do not redesign the entire national system. Produce a bounded recommendation.</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376"/>
            <w:shd w:fill="1F4E78"/>
            <w:tcMar>
              <w:top w:w="90" w:type="dxa"/>
              <w:start w:w="90" w:type="dxa"/>
              <w:bottom w:w="90" w:type="dxa"/>
              <w:end w:w="90" w:type="dxa"/>
            </w:tcMar>
            <w:vAlign w:val="center"/>
          </w:tcPr>
          <w:p>
            <w:pPr>
              <w:spacing w:after="40"/>
              <w:jc w:val="center"/>
            </w:pPr>
            <w:r>
              <w:rPr>
                <w:rFonts w:ascii="Aptos" w:hAnsi="Aptos"/>
                <w:b/>
                <w:color w:val="FFFFFF"/>
                <w:sz w:val="16"/>
              </w:rPr>
              <w:t>Screen</w:t>
            </w:r>
          </w:p>
        </w:tc>
        <w:tc>
          <w:tcPr>
            <w:tcW w:type="dxa" w:w="7488"/>
            <w:shd w:fill="1F4E78"/>
            <w:tcMar>
              <w:top w:w="90" w:type="dxa"/>
              <w:start w:w="90" w:type="dxa"/>
              <w:bottom w:w="90" w:type="dxa"/>
              <w:end w:w="90" w:type="dxa"/>
            </w:tcMar>
            <w:vAlign w:val="center"/>
          </w:tcPr>
          <w:p>
            <w:pPr>
              <w:spacing w:after="40"/>
              <w:jc w:val="center"/>
            </w:pPr>
            <w:r>
              <w:rPr>
                <w:rFonts w:ascii="Aptos" w:hAnsi="Aptos"/>
                <w:b/>
                <w:color w:val="FFFFFF"/>
                <w:sz w:val="16"/>
              </w:rPr>
              <w:t>Question</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Purpose</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What exact decision and statistical product are being improved?</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Baseline</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What current method, timing, cost and error evidence will the proposal be compared with?</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Data</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Which sources are permitted, representative, sufficiently documented and stable?</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Quality</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What benchmark, districts, crops, subgroups, seasons and tolerances are required?</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Authority</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Who owns the estimate, method, review and release decision?</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Human oversight</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Which qualified person can challenge or override the result?</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Security and confidentiality</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What information may enter each tool and environment?</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Sustainability</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What skills, funding, infrastructure, supplier and fallback dependencies exist?</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Decision</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Proceed to scoping, investigate dependencies first, or do not pursue? Under what conditions?</w:t>
            </w:r>
          </w:p>
        </w:tc>
      </w:tr>
    </w:tbl>
    <w:p>
      <w:pPr>
        <w:spacing w:after="20"/>
      </w:pPr>
    </w:p>
    <w:p>
      <w:pPr>
        <w:pStyle w:val="Heading2"/>
      </w:pPr>
      <w:r>
        <w:t>Individual assessment prompt</w:t>
      </w:r>
    </w:p>
    <w:p>
      <w:r>
        <w:t>In no more than 500 words, define the ecosystem boundary for improving the timeliness of Kintaba’s district crop-production estimates. Identify the critical actors, assets and flow; distinguish evidenced, reported and unknown claims; state the leading fitness-for-use problem; and recommend one next action. Your answer must explain why that action comes before or instead of an AI pilot.</w:t>
      </w:r>
    </w:p>
    <w:p>
      <w:pPr>
        <w:pStyle w:val="Heading1"/>
      </w:pPr>
      <w:r>
        <w:t>Assessment rubric</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98"/>
        <w:gridCol w:w="3398"/>
        <w:gridCol w:w="3398"/>
      </w:tblGrid>
      <w:tr>
        <w:trPr>
          <w:tblHeader w:val="true"/>
        </w:trPr>
        <w:tc>
          <w:tcPr>
            <w:tcW w:type="dxa" w:w="3168"/>
            <w:shd w:fill="1F4E78"/>
            <w:tcMar>
              <w:top w:w="90" w:type="dxa"/>
              <w:start w:w="90" w:type="dxa"/>
              <w:bottom w:w="90" w:type="dxa"/>
              <w:end w:w="90" w:type="dxa"/>
            </w:tcMar>
            <w:vAlign w:val="center"/>
          </w:tcPr>
          <w:p>
            <w:pPr>
              <w:spacing w:after="40"/>
              <w:jc w:val="center"/>
            </w:pPr>
            <w:r>
              <w:rPr>
                <w:rFonts w:ascii="Aptos" w:hAnsi="Aptos"/>
                <w:b/>
                <w:color w:val="FFFFFF"/>
                <w:sz w:val="16"/>
              </w:rPr>
              <w:t>Criterion</w:t>
            </w:r>
          </w:p>
        </w:tc>
        <w:tc>
          <w:tcPr>
            <w:tcW w:type="dxa" w:w="936"/>
            <w:shd w:fill="1F4E78"/>
            <w:tcMar>
              <w:top w:w="90" w:type="dxa"/>
              <w:start w:w="90" w:type="dxa"/>
              <w:bottom w:w="90" w:type="dxa"/>
              <w:end w:w="90" w:type="dxa"/>
            </w:tcMar>
            <w:vAlign w:val="center"/>
          </w:tcPr>
          <w:p>
            <w:pPr>
              <w:spacing w:after="40"/>
              <w:jc w:val="center"/>
            </w:pPr>
            <w:r>
              <w:rPr>
                <w:rFonts w:ascii="Aptos" w:hAnsi="Aptos"/>
                <w:b/>
                <w:color w:val="FFFFFF"/>
                <w:sz w:val="16"/>
              </w:rPr>
              <w:t>Points</w:t>
            </w:r>
          </w:p>
        </w:tc>
        <w:tc>
          <w:tcPr>
            <w:tcW w:type="dxa" w:w="5760"/>
            <w:shd w:fill="1F4E78"/>
            <w:tcMar>
              <w:top w:w="90" w:type="dxa"/>
              <w:start w:w="90" w:type="dxa"/>
              <w:bottom w:w="90" w:type="dxa"/>
              <w:end w:w="90" w:type="dxa"/>
            </w:tcMar>
            <w:vAlign w:val="center"/>
          </w:tcPr>
          <w:p>
            <w:pPr>
              <w:spacing w:after="40"/>
              <w:jc w:val="center"/>
            </w:pPr>
            <w:r>
              <w:rPr>
                <w:rFonts w:ascii="Aptos" w:hAnsi="Aptos"/>
                <w:b/>
                <w:color w:val="FFFFFF"/>
                <w:sz w:val="16"/>
              </w:rPr>
              <w:t>Competent evidence</w:t>
            </w:r>
          </w:p>
        </w:tc>
      </w:tr>
      <w:tr>
        <w:tc>
          <w:tcPr>
            <w:tcW w:type="dxa" w:w="3168"/>
            <w:tcMar>
              <w:top w:w="90" w:type="dxa"/>
              <w:start w:w="90" w:type="dxa"/>
              <w:bottom w:w="90" w:type="dxa"/>
              <w:end w:w="90" w:type="dxa"/>
            </w:tcMar>
            <w:vAlign w:val="center"/>
          </w:tcPr>
          <w:p>
            <w:pPr>
              <w:spacing w:after="40" w:line="240" w:lineRule="auto"/>
            </w:pPr>
            <w:r>
              <w:rPr>
                <w:rFonts w:ascii="Aptos" w:hAnsi="Aptos"/>
                <w:color w:val="000000"/>
                <w:sz w:val="16"/>
              </w:rPr>
              <w:t>Boundary and public purpose</w:t>
            </w:r>
          </w:p>
        </w:tc>
        <w:tc>
          <w:tcPr>
            <w:tcW w:type="dxa" w:w="936"/>
            <w:tcMar>
              <w:top w:w="90" w:type="dxa"/>
              <w:start w:w="90" w:type="dxa"/>
              <w:bottom w:w="90" w:type="dxa"/>
              <w:end w:w="90" w:type="dxa"/>
            </w:tcMar>
            <w:vAlign w:val="center"/>
          </w:tcPr>
          <w:p>
            <w:pPr>
              <w:spacing w:after="40" w:line="240" w:lineRule="auto"/>
            </w:pPr>
            <w:r>
              <w:rPr>
                <w:rFonts w:ascii="Aptos" w:hAnsi="Aptos"/>
                <w:color w:val="000000"/>
                <w:sz w:val="16"/>
              </w:rPr>
              <w:t>15</w:t>
            </w:r>
          </w:p>
        </w:tc>
        <w:tc>
          <w:tcPr>
            <w:tcW w:type="dxa" w:w="5760"/>
            <w:tcMar>
              <w:top w:w="90" w:type="dxa"/>
              <w:start w:w="90" w:type="dxa"/>
              <w:bottom w:w="90" w:type="dxa"/>
              <w:end w:w="90" w:type="dxa"/>
            </w:tcMar>
            <w:vAlign w:val="center"/>
          </w:tcPr>
          <w:p>
            <w:pPr>
              <w:spacing w:after="40" w:line="240" w:lineRule="auto"/>
            </w:pPr>
            <w:r>
              <w:rPr>
                <w:rFonts w:ascii="Aptos" w:hAnsi="Aptos"/>
                <w:color w:val="000000"/>
                <w:sz w:val="16"/>
              </w:rPr>
              <w:t>Domain, product, user decision, geography, period and exclusions are clear.</w:t>
            </w:r>
          </w:p>
        </w:tc>
      </w:tr>
      <w:tr>
        <w:tc>
          <w:tcPr>
            <w:tcW w:type="dxa" w:w="3168"/>
            <w:tcMar>
              <w:top w:w="90" w:type="dxa"/>
              <w:start w:w="90" w:type="dxa"/>
              <w:bottom w:w="90" w:type="dxa"/>
              <w:end w:w="90" w:type="dxa"/>
            </w:tcMar>
            <w:vAlign w:val="center"/>
            <w:shd w:fill="EAF2F8"/>
          </w:tcPr>
          <w:p>
            <w:pPr>
              <w:spacing w:after="40" w:line="240" w:lineRule="auto"/>
            </w:pPr>
            <w:r>
              <w:rPr>
                <w:rFonts w:ascii="Aptos" w:hAnsi="Aptos"/>
                <w:color w:val="000000"/>
                <w:sz w:val="16"/>
              </w:rPr>
              <w:t>Actors roles and authority</w:t>
            </w:r>
          </w:p>
        </w:tc>
        <w:tc>
          <w:tcPr>
            <w:tcW w:type="dxa" w:w="936"/>
            <w:tcMar>
              <w:top w:w="90" w:type="dxa"/>
              <w:start w:w="90" w:type="dxa"/>
              <w:bottom w:w="90" w:type="dxa"/>
              <w:end w:w="90" w:type="dxa"/>
            </w:tcMar>
            <w:vAlign w:val="center"/>
            <w:shd w:fill="EAF2F8"/>
          </w:tcPr>
          <w:p>
            <w:pPr>
              <w:spacing w:after="40" w:line="240" w:lineRule="auto"/>
            </w:pPr>
            <w:r>
              <w:rPr>
                <w:rFonts w:ascii="Aptos" w:hAnsi="Aptos"/>
                <w:color w:val="000000"/>
                <w:sz w:val="16"/>
              </w:rPr>
              <w:t>15</w:t>
            </w:r>
          </w:p>
        </w:tc>
        <w:tc>
          <w:tcPr>
            <w:tcW w:type="dxa" w:w="5760"/>
            <w:tcMar>
              <w:top w:w="90" w:type="dxa"/>
              <w:start w:w="90" w:type="dxa"/>
              <w:bottom w:w="90" w:type="dxa"/>
              <w:end w:w="90" w:type="dxa"/>
            </w:tcMar>
            <w:vAlign w:val="center"/>
            <w:shd w:fill="EAF2F8"/>
          </w:tcPr>
          <w:p>
            <w:pPr>
              <w:spacing w:after="40" w:line="240" w:lineRule="auto"/>
            </w:pPr>
            <w:r>
              <w:rPr>
                <w:rFonts w:ascii="Aptos" w:hAnsi="Aptos"/>
                <w:color w:val="000000"/>
                <w:sz w:val="16"/>
              </w:rPr>
              <w:t>Critical actors and distinct roles are correctly identified; authority is not assumed.</w:t>
            </w:r>
          </w:p>
        </w:tc>
      </w:tr>
      <w:tr>
        <w:tc>
          <w:tcPr>
            <w:tcW w:type="dxa" w:w="3168"/>
            <w:tcMar>
              <w:top w:w="90" w:type="dxa"/>
              <w:start w:w="90" w:type="dxa"/>
              <w:bottom w:w="90" w:type="dxa"/>
              <w:end w:w="90" w:type="dxa"/>
            </w:tcMar>
            <w:vAlign w:val="center"/>
          </w:tcPr>
          <w:p>
            <w:pPr>
              <w:spacing w:after="40" w:line="240" w:lineRule="auto"/>
            </w:pPr>
            <w:r>
              <w:rPr>
                <w:rFonts w:ascii="Aptos" w:hAnsi="Aptos"/>
                <w:color w:val="000000"/>
                <w:sz w:val="16"/>
              </w:rPr>
              <w:t>Assets and provenance</w:t>
            </w:r>
          </w:p>
        </w:tc>
        <w:tc>
          <w:tcPr>
            <w:tcW w:type="dxa" w:w="936"/>
            <w:tcMar>
              <w:top w:w="90" w:type="dxa"/>
              <w:start w:w="90" w:type="dxa"/>
              <w:bottom w:w="90" w:type="dxa"/>
              <w:end w:w="90" w:type="dxa"/>
            </w:tcMar>
            <w:vAlign w:val="center"/>
          </w:tcPr>
          <w:p>
            <w:pPr>
              <w:spacing w:after="40" w:line="240" w:lineRule="auto"/>
            </w:pPr>
            <w:r>
              <w:rPr>
                <w:rFonts w:ascii="Aptos" w:hAnsi="Aptos"/>
                <w:color w:val="000000"/>
                <w:sz w:val="16"/>
              </w:rPr>
              <w:t>15</w:t>
            </w:r>
          </w:p>
        </w:tc>
        <w:tc>
          <w:tcPr>
            <w:tcW w:type="dxa" w:w="5760"/>
            <w:tcMar>
              <w:top w:w="90" w:type="dxa"/>
              <w:start w:w="90" w:type="dxa"/>
              <w:bottom w:w="90" w:type="dxa"/>
              <w:end w:w="90" w:type="dxa"/>
            </w:tcMar>
            <w:vAlign w:val="center"/>
          </w:tcPr>
          <w:p>
            <w:pPr>
              <w:spacing w:after="40" w:line="240" w:lineRule="auto"/>
            </w:pPr>
            <w:r>
              <w:rPr>
                <w:rFonts w:ascii="Aptos" w:hAnsi="Aptos"/>
                <w:color w:val="000000"/>
                <w:sz w:val="16"/>
              </w:rPr>
              <w:t>Multiple source types are inventoried with owners and material fitness issues.</w:t>
            </w:r>
          </w:p>
        </w:tc>
      </w:tr>
      <w:tr>
        <w:tc>
          <w:tcPr>
            <w:tcW w:type="dxa" w:w="3168"/>
            <w:tcMar>
              <w:top w:w="90" w:type="dxa"/>
              <w:start w:w="90" w:type="dxa"/>
              <w:bottom w:w="90" w:type="dxa"/>
              <w:end w:w="90" w:type="dxa"/>
            </w:tcMar>
            <w:vAlign w:val="center"/>
            <w:shd w:fill="EAF2F8"/>
          </w:tcPr>
          <w:p>
            <w:pPr>
              <w:spacing w:after="40" w:line="240" w:lineRule="auto"/>
            </w:pPr>
            <w:r>
              <w:rPr>
                <w:rFonts w:ascii="Aptos" w:hAnsi="Aptos"/>
                <w:color w:val="000000"/>
                <w:sz w:val="16"/>
              </w:rPr>
              <w:t>Flow and dependencies</w:t>
            </w:r>
          </w:p>
        </w:tc>
        <w:tc>
          <w:tcPr>
            <w:tcW w:type="dxa" w:w="936"/>
            <w:tcMar>
              <w:top w:w="90" w:type="dxa"/>
              <w:start w:w="90" w:type="dxa"/>
              <w:bottom w:w="90" w:type="dxa"/>
              <w:end w:w="90" w:type="dxa"/>
            </w:tcMar>
            <w:vAlign w:val="center"/>
            <w:shd w:fill="EAF2F8"/>
          </w:tcPr>
          <w:p>
            <w:pPr>
              <w:spacing w:after="40" w:line="240" w:lineRule="auto"/>
            </w:pPr>
            <w:r>
              <w:rPr>
                <w:rFonts w:ascii="Aptos" w:hAnsi="Aptos"/>
                <w:color w:val="000000"/>
                <w:sz w:val="16"/>
              </w:rPr>
              <w:t>15</w:t>
            </w:r>
          </w:p>
        </w:tc>
        <w:tc>
          <w:tcPr>
            <w:tcW w:type="dxa" w:w="5760"/>
            <w:tcMar>
              <w:top w:w="90" w:type="dxa"/>
              <w:start w:w="90" w:type="dxa"/>
              <w:bottom w:w="90" w:type="dxa"/>
              <w:end w:w="90" w:type="dxa"/>
            </w:tcMar>
            <w:vAlign w:val="center"/>
            <w:shd w:fill="EAF2F8"/>
          </w:tcPr>
          <w:p>
            <w:pPr>
              <w:spacing w:after="40" w:line="240" w:lineRule="auto"/>
            </w:pPr>
            <w:r>
              <w:rPr>
                <w:rFonts w:ascii="Aptos" w:hAnsi="Aptos"/>
                <w:color w:val="000000"/>
                <w:sz w:val="16"/>
              </w:rPr>
              <w:t>Transformations, handoffs, controls, responsibilities and failure points are traceable.</w:t>
            </w:r>
          </w:p>
        </w:tc>
      </w:tr>
      <w:tr>
        <w:tc>
          <w:tcPr>
            <w:tcW w:type="dxa" w:w="3168"/>
            <w:tcMar>
              <w:top w:w="90" w:type="dxa"/>
              <w:start w:w="90" w:type="dxa"/>
              <w:bottom w:w="90" w:type="dxa"/>
              <w:end w:w="90" w:type="dxa"/>
            </w:tcMar>
            <w:vAlign w:val="center"/>
          </w:tcPr>
          <w:p>
            <w:pPr>
              <w:spacing w:after="40" w:line="240" w:lineRule="auto"/>
            </w:pPr>
            <w:r>
              <w:rPr>
                <w:rFonts w:ascii="Aptos" w:hAnsi="Aptos"/>
                <w:color w:val="000000"/>
                <w:sz w:val="16"/>
              </w:rPr>
              <w:t>Evidence discipline</w:t>
            </w:r>
          </w:p>
        </w:tc>
        <w:tc>
          <w:tcPr>
            <w:tcW w:type="dxa" w:w="936"/>
            <w:tcMar>
              <w:top w:w="90" w:type="dxa"/>
              <w:start w:w="90" w:type="dxa"/>
              <w:bottom w:w="90" w:type="dxa"/>
              <w:end w:w="90" w:type="dxa"/>
            </w:tcMar>
            <w:vAlign w:val="center"/>
          </w:tcPr>
          <w:p>
            <w:pPr>
              <w:spacing w:after="40" w:line="240" w:lineRule="auto"/>
            </w:pPr>
            <w:r>
              <w:rPr>
                <w:rFonts w:ascii="Aptos" w:hAnsi="Aptos"/>
                <w:color w:val="000000"/>
                <w:sz w:val="16"/>
              </w:rPr>
              <w:t>10</w:t>
            </w:r>
          </w:p>
        </w:tc>
        <w:tc>
          <w:tcPr>
            <w:tcW w:type="dxa" w:w="5760"/>
            <w:tcMar>
              <w:top w:w="90" w:type="dxa"/>
              <w:start w:w="90" w:type="dxa"/>
              <w:bottom w:w="90" w:type="dxa"/>
              <w:end w:w="90" w:type="dxa"/>
            </w:tcMar>
            <w:vAlign w:val="center"/>
          </w:tcPr>
          <w:p>
            <w:pPr>
              <w:spacing w:after="40" w:line="240" w:lineRule="auto"/>
            </w:pPr>
            <w:r>
              <w:rPr>
                <w:rFonts w:ascii="Aptos" w:hAnsi="Aptos"/>
                <w:color w:val="000000"/>
                <w:sz w:val="16"/>
              </w:rPr>
              <w:t>Material claims use E, R or U labels and references; unknowns remain visible.</w:t>
            </w:r>
          </w:p>
        </w:tc>
      </w:tr>
      <w:tr>
        <w:tc>
          <w:tcPr>
            <w:tcW w:type="dxa" w:w="3168"/>
            <w:tcMar>
              <w:top w:w="90" w:type="dxa"/>
              <w:start w:w="90" w:type="dxa"/>
              <w:bottom w:w="90" w:type="dxa"/>
              <w:end w:w="90" w:type="dxa"/>
            </w:tcMar>
            <w:vAlign w:val="center"/>
            <w:shd w:fill="EAF2F8"/>
          </w:tcPr>
          <w:p>
            <w:pPr>
              <w:spacing w:after="40" w:line="240" w:lineRule="auto"/>
            </w:pPr>
            <w:r>
              <w:rPr>
                <w:rFonts w:ascii="Aptos" w:hAnsi="Aptos"/>
                <w:color w:val="000000"/>
                <w:sz w:val="16"/>
              </w:rPr>
              <w:t>Fitness for use</w:t>
            </w:r>
          </w:p>
        </w:tc>
        <w:tc>
          <w:tcPr>
            <w:tcW w:type="dxa" w:w="936"/>
            <w:tcMar>
              <w:top w:w="90" w:type="dxa"/>
              <w:start w:w="90" w:type="dxa"/>
              <w:bottom w:w="90" w:type="dxa"/>
              <w:end w:w="90" w:type="dxa"/>
            </w:tcMar>
            <w:vAlign w:val="center"/>
            <w:shd w:fill="EAF2F8"/>
          </w:tcPr>
          <w:p>
            <w:pPr>
              <w:spacing w:after="40" w:line="240" w:lineRule="auto"/>
            </w:pPr>
            <w:r>
              <w:rPr>
                <w:rFonts w:ascii="Aptos" w:hAnsi="Aptos"/>
                <w:color w:val="000000"/>
                <w:sz w:val="16"/>
              </w:rPr>
              <w:t>15</w:t>
            </w:r>
          </w:p>
        </w:tc>
        <w:tc>
          <w:tcPr>
            <w:tcW w:type="dxa" w:w="5760"/>
            <w:tcMar>
              <w:top w:w="90" w:type="dxa"/>
              <w:start w:w="90" w:type="dxa"/>
              <w:bottom w:w="90" w:type="dxa"/>
              <w:end w:w="90" w:type="dxa"/>
            </w:tcMar>
            <w:vAlign w:val="center"/>
            <w:shd w:fill="EAF2F8"/>
          </w:tcPr>
          <w:p>
            <w:pPr>
              <w:spacing w:after="40" w:line="240" w:lineRule="auto"/>
            </w:pPr>
            <w:r>
              <w:rPr>
                <w:rFonts w:ascii="Aptos" w:hAnsi="Aptos"/>
                <w:color w:val="000000"/>
                <w:sz w:val="16"/>
              </w:rPr>
              <w:t>Quality requirements follow from the user decision and consequences.</w:t>
            </w:r>
          </w:p>
        </w:tc>
      </w:tr>
      <w:tr>
        <w:tc>
          <w:tcPr>
            <w:tcW w:type="dxa" w:w="3168"/>
            <w:tcMar>
              <w:top w:w="90" w:type="dxa"/>
              <w:start w:w="90" w:type="dxa"/>
              <w:bottom w:w="90" w:type="dxa"/>
              <w:end w:w="90" w:type="dxa"/>
            </w:tcMar>
            <w:vAlign w:val="center"/>
          </w:tcPr>
          <w:p>
            <w:pPr>
              <w:spacing w:after="40" w:line="240" w:lineRule="auto"/>
            </w:pPr>
            <w:r>
              <w:rPr>
                <w:rFonts w:ascii="Aptos" w:hAnsi="Aptos"/>
                <w:color w:val="000000"/>
                <w:sz w:val="16"/>
              </w:rPr>
              <w:t>AI judgement</w:t>
            </w:r>
          </w:p>
        </w:tc>
        <w:tc>
          <w:tcPr>
            <w:tcW w:type="dxa" w:w="936"/>
            <w:tcMar>
              <w:top w:w="90" w:type="dxa"/>
              <w:start w:w="90" w:type="dxa"/>
              <w:bottom w:w="90" w:type="dxa"/>
              <w:end w:w="90" w:type="dxa"/>
            </w:tcMar>
            <w:vAlign w:val="center"/>
          </w:tcPr>
          <w:p>
            <w:pPr>
              <w:spacing w:after="40" w:line="240" w:lineRule="auto"/>
            </w:pPr>
            <w:r>
              <w:rPr>
                <w:rFonts w:ascii="Aptos" w:hAnsi="Aptos"/>
                <w:color w:val="000000"/>
                <w:sz w:val="16"/>
              </w:rPr>
              <w:t>10</w:t>
            </w:r>
          </w:p>
        </w:tc>
        <w:tc>
          <w:tcPr>
            <w:tcW w:type="dxa" w:w="5760"/>
            <w:tcMar>
              <w:top w:w="90" w:type="dxa"/>
              <w:start w:w="90" w:type="dxa"/>
              <w:bottom w:w="90" w:type="dxa"/>
              <w:end w:w="90" w:type="dxa"/>
            </w:tcMar>
            <w:vAlign w:val="center"/>
          </w:tcPr>
          <w:p>
            <w:pPr>
              <w:spacing w:after="40" w:line="240" w:lineRule="auto"/>
            </w:pPr>
            <w:r>
              <w:rPr>
                <w:rFonts w:ascii="Aptos" w:hAnsi="Aptos"/>
                <w:color w:val="000000"/>
                <w:sz w:val="16"/>
              </w:rPr>
              <w:t>Recommendation is bounded, dependency-aware and does not bypass professional authority.</w:t>
            </w:r>
          </w:p>
        </w:tc>
      </w:tr>
      <w:tr>
        <w:tc>
          <w:tcPr>
            <w:tcW w:type="dxa" w:w="3168"/>
            <w:tcMar>
              <w:top w:w="90" w:type="dxa"/>
              <w:start w:w="90" w:type="dxa"/>
              <w:bottom w:w="90" w:type="dxa"/>
              <w:end w:w="90" w:type="dxa"/>
            </w:tcMar>
            <w:vAlign w:val="center"/>
            <w:shd w:fill="EAF2F8"/>
          </w:tcPr>
          <w:p>
            <w:pPr>
              <w:spacing w:after="40" w:line="240" w:lineRule="auto"/>
            </w:pPr>
            <w:r>
              <w:rPr>
                <w:rFonts w:ascii="Aptos" w:hAnsi="Aptos"/>
                <w:color w:val="000000"/>
                <w:sz w:val="16"/>
              </w:rPr>
              <w:t>Communication</w:t>
            </w:r>
          </w:p>
        </w:tc>
        <w:tc>
          <w:tcPr>
            <w:tcW w:type="dxa" w:w="936"/>
            <w:tcMar>
              <w:top w:w="90" w:type="dxa"/>
              <w:start w:w="90" w:type="dxa"/>
              <w:bottom w:w="90" w:type="dxa"/>
              <w:end w:w="90" w:type="dxa"/>
            </w:tcMar>
            <w:vAlign w:val="center"/>
            <w:shd w:fill="EAF2F8"/>
          </w:tcPr>
          <w:p>
            <w:pPr>
              <w:spacing w:after="40" w:line="240" w:lineRule="auto"/>
            </w:pPr>
            <w:r>
              <w:rPr>
                <w:rFonts w:ascii="Aptos" w:hAnsi="Aptos"/>
                <w:color w:val="000000"/>
                <w:sz w:val="16"/>
              </w:rPr>
              <w:t>5</w:t>
            </w:r>
          </w:p>
        </w:tc>
        <w:tc>
          <w:tcPr>
            <w:tcW w:type="dxa" w:w="5760"/>
            <w:tcMar>
              <w:top w:w="90" w:type="dxa"/>
              <w:start w:w="90" w:type="dxa"/>
              <w:bottom w:w="90" w:type="dxa"/>
              <w:end w:w="90" w:type="dxa"/>
            </w:tcMar>
            <w:vAlign w:val="center"/>
            <w:shd w:fill="EAF2F8"/>
          </w:tcPr>
          <w:p>
            <w:pPr>
              <w:spacing w:after="40" w:line="240" w:lineRule="auto"/>
            </w:pPr>
            <w:r>
              <w:rPr>
                <w:rFonts w:ascii="Aptos" w:hAnsi="Aptos"/>
                <w:color w:val="000000"/>
                <w:sz w:val="16"/>
              </w:rPr>
              <w:t>Map and conclusion are concise, internally consistent and defensible.</w:t>
            </w:r>
          </w:p>
        </w:tc>
      </w:tr>
    </w:tbl>
    <w:p>
      <w:pPr>
        <w:spacing w:after="20"/>
      </w:pPr>
    </w:p>
    <w:p>
      <w:pPr>
        <w:pStyle w:val="Heading2"/>
      </w:pPr>
      <w:r>
        <w:t>Decision rules</w:t>
      </w:r>
    </w:p>
    <w:p>
      <w:pPr>
        <w:pStyle w:val="ListBullet"/>
        <w:spacing w:after="40"/>
      </w:pPr>
      <w:r>
        <w:t>Competent: 70 or more, at least half the available points in every criterion and no critical failure.</w:t>
      </w:r>
    </w:p>
    <w:p>
      <w:pPr>
        <w:pStyle w:val="ListBullet"/>
        <w:spacing w:after="40"/>
      </w:pPr>
      <w:r>
        <w:t>Lead-level performance: 85 or more plus effective challenge of conflicting evidence and a defensible prioritization decision.</w:t>
      </w:r>
    </w:p>
    <w:p>
      <w:pPr>
        <w:pStyle w:val="ListBullet"/>
        <w:spacing w:after="40"/>
      </w:pPr>
      <w:r>
        <w:t>Critical failures: inclusion of protected data without authorization; fabricated evidence; assigning release authority to an AI system; or recommending integration while concealing material incompatibility.</w:t>
      </w:r>
    </w:p>
    <w:p>
      <w:pPr>
        <w:pStyle w:val="ListBullet"/>
        <w:spacing w:after="40"/>
      </w:pPr>
      <w:r>
        <w:t>Reassessment: correct the failed map elements and complete a new individual boundary-and-decision brief.</w:t>
      </w:r>
    </w:p>
    <w:p>
      <w:pPr>
        <w:pStyle w:val="Heading1"/>
      </w:pPr>
      <w:r>
        <w:t>Workplace assignment</w:t>
      </w:r>
    </w:p>
    <w:p>
      <w:r>
        <w:t>Within 30 days, map one approved statistical product or domain segment in the participant’s institution. The assignment must remain manageable: normally five to fifteen actors, five to twenty assets and one critical flow.</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97"/>
        <w:gridCol w:w="5097"/>
      </w:tblGrid>
      <w:tr>
        <w:trPr>
          <w:tblHeader w:val="true"/>
        </w:trPr>
        <w:tc>
          <w:tcPr>
            <w:tcW w:type="dxa" w:w="2376"/>
            <w:shd w:fill="1F4E78"/>
            <w:tcMar>
              <w:top w:w="90" w:type="dxa"/>
              <w:start w:w="90" w:type="dxa"/>
              <w:bottom w:w="90" w:type="dxa"/>
              <w:end w:w="90" w:type="dxa"/>
            </w:tcMar>
            <w:vAlign w:val="center"/>
          </w:tcPr>
          <w:p>
            <w:pPr>
              <w:spacing w:after="40"/>
              <w:jc w:val="center"/>
            </w:pPr>
            <w:r>
              <w:rPr>
                <w:rFonts w:ascii="Aptos" w:hAnsi="Aptos"/>
                <w:b/>
                <w:color w:val="FFFFFF"/>
                <w:sz w:val="16"/>
              </w:rPr>
              <w:t>Deliverable</w:t>
            </w:r>
          </w:p>
        </w:tc>
        <w:tc>
          <w:tcPr>
            <w:tcW w:type="dxa" w:w="7488"/>
            <w:shd w:fill="1F4E78"/>
            <w:tcMar>
              <w:top w:w="90" w:type="dxa"/>
              <w:start w:w="90" w:type="dxa"/>
              <w:bottom w:w="90" w:type="dxa"/>
              <w:end w:w="90" w:type="dxa"/>
            </w:tcMar>
            <w:vAlign w:val="center"/>
          </w:tcPr>
          <w:p>
            <w:pPr>
              <w:spacing w:after="40"/>
              <w:jc w:val="center"/>
            </w:pPr>
            <w:r>
              <w:rPr>
                <w:rFonts w:ascii="Aptos" w:hAnsi="Aptos"/>
                <w:b/>
                <w:color w:val="FFFFFF"/>
                <w:sz w:val="16"/>
              </w:rPr>
              <w:t>Minimum</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Scope and purpose</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One page naming user decision, boundary, accountable sponsor and exclusions.</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Actor register</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Stable IDs, roles, authority reference, contact role and evidence status.</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Asset register</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Stable IDs, provenance, access, classifications, quality evidence and users.</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Critical flow</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Source-to-use handoffs, transformations, controls, delays, owner and fallback.</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Need and fitness matrix</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At least two user needs assessed as fit, conditionally fit or not fit.</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Gap and action list</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No more than five priority actions with owner, dependency and evidence need.</w:t>
            </w:r>
          </w:p>
        </w:tc>
      </w:tr>
      <w:tr>
        <w:tc>
          <w:tcPr>
            <w:tcW w:type="dxa" w:w="2376"/>
            <w:tcMar>
              <w:top w:w="90" w:type="dxa"/>
              <w:start w:w="90" w:type="dxa"/>
              <w:bottom w:w="90" w:type="dxa"/>
              <w:end w:w="90" w:type="dxa"/>
            </w:tcMar>
            <w:vAlign w:val="center"/>
          </w:tcPr>
          <w:p>
            <w:pPr>
              <w:spacing w:after="40" w:line="240" w:lineRule="auto"/>
            </w:pPr>
            <w:r>
              <w:rPr>
                <w:rFonts w:ascii="Aptos" w:hAnsi="Aptos"/>
                <w:color w:val="000000"/>
                <w:sz w:val="16"/>
              </w:rPr>
              <w:t>AI opportunity note</w:t>
            </w:r>
          </w:p>
        </w:tc>
        <w:tc>
          <w:tcPr>
            <w:tcW w:type="dxa" w:w="7488"/>
            <w:tcMar>
              <w:top w:w="90" w:type="dxa"/>
              <w:start w:w="90" w:type="dxa"/>
              <w:bottom w:w="90" w:type="dxa"/>
              <w:end w:w="90" w:type="dxa"/>
            </w:tcMar>
            <w:vAlign w:val="center"/>
          </w:tcPr>
          <w:p>
            <w:pPr>
              <w:spacing w:after="40" w:line="240" w:lineRule="auto"/>
            </w:pPr>
            <w:r>
              <w:rPr>
                <w:rFonts w:ascii="Aptos" w:hAnsi="Aptos"/>
                <w:color w:val="000000"/>
                <w:sz w:val="16"/>
              </w:rPr>
              <w:t>One bounded opportunity or a justified decision that AI is not presently appropriate.</w:t>
            </w:r>
          </w:p>
        </w:tc>
      </w:tr>
      <w:tr>
        <w:tc>
          <w:tcPr>
            <w:tcW w:type="dxa" w:w="2376"/>
            <w:tcMar>
              <w:top w:w="90" w:type="dxa"/>
              <w:start w:w="90" w:type="dxa"/>
              <w:bottom w:w="90" w:type="dxa"/>
              <w:end w:w="90" w:type="dxa"/>
            </w:tcMar>
            <w:vAlign w:val="center"/>
            <w:shd w:fill="EAF2F8"/>
          </w:tcPr>
          <w:p>
            <w:pPr>
              <w:spacing w:after="40" w:line="240" w:lineRule="auto"/>
            </w:pPr>
            <w:r>
              <w:rPr>
                <w:rFonts w:ascii="Aptos" w:hAnsi="Aptos"/>
                <w:color w:val="000000"/>
                <w:sz w:val="16"/>
              </w:rPr>
              <w:t>Supervisor confirmation</w:t>
            </w:r>
          </w:p>
        </w:tc>
        <w:tc>
          <w:tcPr>
            <w:tcW w:type="dxa" w:w="7488"/>
            <w:tcMar>
              <w:top w:w="90" w:type="dxa"/>
              <w:start w:w="90" w:type="dxa"/>
              <w:bottom w:w="90" w:type="dxa"/>
              <w:end w:w="90" w:type="dxa"/>
            </w:tcMar>
            <w:vAlign w:val="center"/>
            <w:shd w:fill="EAF2F8"/>
          </w:tcPr>
          <w:p>
            <w:pPr>
              <w:spacing w:after="40" w:line="240" w:lineRule="auto"/>
            </w:pPr>
            <w:r>
              <w:rPr>
                <w:rFonts w:ascii="Aptos" w:hAnsi="Aptos"/>
                <w:color w:val="000000"/>
                <w:sz w:val="16"/>
              </w:rPr>
              <w:t>Confirms safe scope, factual review and intended follow-up.</w:t>
            </w:r>
          </w:p>
        </w:tc>
      </w:tr>
    </w:tbl>
    <w:p>
      <w:pPr>
        <w:spacing w:after="20"/>
      </w:pPr>
    </w:p>
    <w:p>
      <w:pPr>
        <w:pStyle w:val="Heading2"/>
      </w:pPr>
      <w:r>
        <w:t>Follow-up questions</w:t>
      </w:r>
    </w:p>
    <w:p>
      <w:pPr>
        <w:pStyle w:val="ListBullet"/>
        <w:spacing w:after="40"/>
      </w:pPr>
      <w:r>
        <w:t>What did the institutional chart fail to reveal?</w:t>
      </w:r>
    </w:p>
    <w:p>
      <w:pPr>
        <w:pStyle w:val="ListBullet"/>
        <w:spacing w:after="40"/>
      </w:pPr>
      <w:r>
        <w:t>Which important claim remained unknown, and who could resolve it?</w:t>
      </w:r>
    </w:p>
    <w:p>
      <w:pPr>
        <w:pStyle w:val="ListBullet"/>
        <w:spacing w:after="40"/>
      </w:pPr>
      <w:r>
        <w:t>Where did information lose meaning, quality, time or accountability?</w:t>
      </w:r>
    </w:p>
    <w:p>
      <w:pPr>
        <w:pStyle w:val="ListBullet"/>
        <w:spacing w:after="40"/>
      </w:pPr>
      <w:r>
        <w:t>What improvement is possible without AI?</w:t>
      </w:r>
    </w:p>
    <w:p>
      <w:pPr>
        <w:pStyle w:val="ListBullet"/>
        <w:spacing w:after="40"/>
      </w:pPr>
      <w:r>
        <w:t>What dependency must be solved before an AI use case can be screened?</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Block A1 complete teaching package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320"/>
      <w:contextualSpacing/>
    </w:pPr>
    <w:rPr>
      <w:rFonts w:asciiTheme="majorHAnsi" w:eastAsiaTheme="majorEastAsia" w:hAnsiTheme="majorHAnsi" w:cstheme="majorBidi" w:ascii="Aptos Display" w:hAnsi="Aptos Display"/>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rPr>
      <w:rFonts w:ascii="Aptos" w:hAnsi="Aptos"/>
      <w:b/>
      <w:color w:val="0F6B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Pack: The National Information Ecosystem</dc:title>
  <dc:subject>OS-A01-A09 candidate asset</dc:subject>
  <dc:creator>SRAI</dc:creator>
  <cp:keywords/>
  <dc:description>generated by python-docx</dc:description>
  <cp:lastModifiedBy/>
  <cp:revision>1</cp:revision>
  <dcterms:created xsi:type="dcterms:W3CDTF">2013-12-23T23:15:00Z</dcterms:created>
  <dcterms:modified xsi:type="dcterms:W3CDTF">2013-12-23T23:15:00Z</dcterms:modified>
  <cp:category/>
</cp:coreProperties>
</file>