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tbl>
      <w:tblPr>
        <w:tblW w:type="auto" w:w="0"/>
        <w:jc w:val="left"/>
        <w:tblLook w:firstColumn="1" w:firstRow="1" w:lastColumn="0" w:lastRow="0" w:noHBand="0" w:noVBand="1" w:val="04A0"/>
      </w:tblPr>
      <w:tblGrid>
        <w:gridCol w:w="9878"/>
      </w:tblGrid>
      <w:tr>
        <w:tc>
          <w:tcPr>
            <w:tcW w:type="dxa" w:w="9878"/>
            <w:shd w:fill="0B6B69"/>
            <w:tcMar>
              <w:top w:w="95" w:type="dxa"/>
              <w:start w:w="150" w:type="dxa"/>
              <w:bottom w:w="95" w:type="dxa"/>
              <w:end w:w="150" w:type="dxa"/>
            </w:tcMar>
            <w:tcBorders>
              <w:top w:val="single" w:sz="5" w:color="0B6B69"/>
              <w:left w:val="single" w:sz="5" w:color="0B6B69"/>
              <w:bottom w:val="single" w:sz="5" w:color="0B6B69"/>
              <w:right w:val="single" w:sz="5" w:color="0B6B69"/>
              <w:insideH w:val="single" w:sz="5" w:color="0B6B69"/>
              <w:insideV w:val="single" w:sz="5" w:color="0B6B69"/>
            </w:tcBorders>
          </w:tcPr>
          <w:p>
            <w:r>
              <w:rPr>
                <w:b/>
                <w:color w:val="FFFFFF"/>
                <w:sz w:val="18"/>
              </w:rPr>
              <w:t>PHASE 0  |  STRATEGIC POSITIONING NOTE  |  VERSION 1</w:t>
            </w:r>
          </w:p>
        </w:tc>
      </w:tr>
    </w:tbl>
    <w:p>
      <w:pPr>
        <w:spacing w:after="360"/>
      </w:pPr>
    </w:p>
    <w:p>
      <w:pPr>
        <w:pStyle w:val="Title"/>
      </w:pPr>
      <w:r>
        <w:t>Professional Programme in AI Augmented Official Statistics</w:t>
      </w:r>
    </w:p>
    <w:p>
      <w:pPr>
        <w:pStyle w:val="Subtitle"/>
      </w:pPr>
      <w:r>
        <w:t>Strategic identity, delivery model and initial implementation decisions</w:t>
      </w:r>
    </w:p>
    <w:p>
      <w:pPr>
        <w:spacing w:after="440"/>
      </w:pPr>
    </w:p>
    <w:p>
      <w:pPr>
        <w:pStyle w:val="Heading2"/>
      </w:pPr>
      <w:r>
        <w:t>Purpose</w:t>
      </w:r>
    </w:p>
    <w:p>
      <w:r>
        <w:t>This note records the decisions governing the initial development of an internationally oriented professional programme that enables official statisticians and their institutions to use artificial intelligence productively, safely and with demonstrable statistical quality.</w:t>
      </w:r>
    </w:p>
    <w:p>
      <w:pPr>
        <w:spacing w:after="480"/>
      </w:pP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8"/>
              </w:rPr>
              <w:t>Item</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8"/>
              </w:rPr>
              <w:t>Decision</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8"/>
              </w:rPr>
              <w:t>Development stage</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8"/>
              </w:rPr>
              <w:t>Phase 0 completed</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8"/>
              </w:rPr>
              <w:t>Initial specialization</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8"/>
              </w:rPr>
              <w:t>Agricultural statistics</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8"/>
              </w:rPr>
              <w:t>Initial institutional focus</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8"/>
              </w:rPr>
              <w:t>Selected developing countries</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8"/>
              </w:rPr>
              <w:t>Delivery</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8"/>
              </w:rPr>
              <w:t>Blended learning with institutional workplace application</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8"/>
              </w:rPr>
              <w:t>Certification</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8"/>
              </w:rPr>
              <w:t>Competency based with capstone evidence</w:t>
            </w:r>
          </w:p>
        </w:tc>
      </w:tr>
    </w:tbl>
    <w:p>
      <w:pPr>
        <w:spacing w:after="0"/>
      </w:pPr>
    </w:p>
    <w:p>
      <w:pPr>
        <w:spacing w:after="520"/>
      </w:pPr>
    </w:p>
    <w:p>
      <w:r>
        <w:rPr>
          <w:b/>
        </w:rPr>
        <w:t>The next authorized product</w:t>
      </w:r>
      <w:r>
        <w:t xml:space="preserve"> is the National Information Ecosystem and AI Readiness Diagnostic Toolkit.</w:t>
      </w:r>
    </w:p>
    <w:p>
      <w:r>
        <w:br w:type="page"/>
      </w:r>
    </w:p>
    <w:p>
      <w:pPr>
        <w:pStyle w:val="Heading1"/>
      </w:pPr>
      <w:r>
        <w:t>Executive decision</w:t>
      </w:r>
    </w:p>
    <w:p>
      <w:r>
        <w:t>The programme will begin as a founder-led independent professional initiative designed for eventual institutional partnership and international adoption. Its first pilot cohort will consist of multidisciplinary agricultural-statistics teams from selected developing countries. The programme will be delivered through a blended model, use English for initial development, introduce French and Portuguese in stages, and award competency-based certification to participants who demonstrate practical abilities and complete a workplace capstone.</w:t>
      </w:r>
    </w:p>
    <w:p>
      <w:r>
        <w:t>A mixed financial model will combine grants and development-partner support for public-good components with paid institutional diagnostics, training and advisory services. Technical advisers may contribute during development, while formal institutional partnerships will be pursued after a credible prototype exists. The initial digital presence will use a lean public website and an established learning platform rather than a custom-built system.</w:t>
      </w:r>
    </w:p>
    <w:p>
      <w:pPr>
        <w:spacing w:before="100" w:after="160"/>
        <w:ind w:left="317" w:right="317"/>
      </w:pPr>
      <w:r>
        <w:rPr>
          <w:b/>
          <w:color w:val="0B6B69"/>
        </w:rPr>
        <w:t xml:space="preserve">Decision. </w:t>
      </w:r>
      <w:r>
        <w:t>Proceed to the diagnostic and readiness stage before producing the full course, commissioning a custom platform or launching a public video channel.</w:t>
      </w:r>
    </w:p>
    <w:p>
      <w:pPr>
        <w:pStyle w:val="Heading2"/>
      </w:pPr>
      <w:r>
        <w:t>Decisions fixed in Phase 0</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Dimension</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Approved position</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Ownership</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Founder-led independent development during the initial phase.</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Pilot audience</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Institutional teams working in agricultural statistics.</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Geographic scope</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Selected developing countries, with international applicability.</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Delivery model</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Blended online and in-person learning supported by mentoring and workplace application.</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Languages</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English first; French and Portuguese introduced in stages.</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Certification</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Practical competencies and an assessed workplace capstone.</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Financing</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Grants plus paid institutional services.</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Partnership timing</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Technical advisers early; formal institutional partners after the prototype.</w:t>
            </w:r>
          </w:p>
        </w:tc>
      </w:tr>
      <w:tr>
        <w:tc>
          <w:tcPr>
            <w:tcW w:type="dxa" w:w="244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Digital presence</w:t>
            </w:r>
          </w:p>
        </w:tc>
        <w:tc>
          <w:tcPr>
            <w:tcW w:type="dxa" w:w="6768"/>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Lean public website plus an established learning platform.</w:t>
            </w:r>
          </w:p>
        </w:tc>
      </w:tr>
    </w:tbl>
    <w:p>
      <w:pPr>
        <w:spacing w:after="0"/>
      </w:pPr>
    </w:p>
    <w:p>
      <w:r>
        <w:br w:type="page"/>
      </w:r>
    </w:p>
    <w:p>
      <w:pPr>
        <w:pStyle w:val="Heading1"/>
      </w:pPr>
      <w:r>
        <w:t>Programme identity and positioning</w:t>
      </w:r>
    </w:p>
    <w:p>
      <w:pPr>
        <w:pStyle w:val="Heading2"/>
      </w:pPr>
      <w:r>
        <w:t>Working title</w:t>
      </w:r>
    </w:p>
    <w:p>
      <w:r>
        <w:t>Professional Programme in AI Augmented Official Statistics</w:t>
      </w:r>
    </w:p>
    <w:p>
      <w:pPr>
        <w:pStyle w:val="Heading2"/>
      </w:pPr>
      <w:r>
        <w:t>Purpose</w:t>
      </w:r>
    </w:p>
    <w:p>
      <w:r>
        <w:t>To develop official statisticians and statistical institutions that can select, use, verify, govern and institutionalize AI methods while preserving statistical quality, confidentiality, professional independence, transparency and public trust.</w:t>
      </w:r>
    </w:p>
    <w:p>
      <w:pPr>
        <w:pStyle w:val="Heading2"/>
      </w:pPr>
      <w:r>
        <w:t>Positioning statement</w:t>
      </w:r>
    </w:p>
    <w:p>
      <w:r>
        <w:t>The programme is a practice-based professional development and institutional transformation initiative for National Statistical Systems. It is not a generic AI-literacy course, a software-vendor training programme or a substitute for formal statistical methodology. It connects AI capability to real statistical production, documented quality requirements and institutional accountability.</w:t>
      </w:r>
    </w:p>
    <w:p>
      <w:pPr>
        <w:pStyle w:val="Heading2"/>
      </w:pPr>
      <w:r>
        <w:t>Initial value proposition</w:t>
      </w:r>
    </w:p>
    <w:p>
      <w:pPr>
        <w:pStyle w:val="ListBullet"/>
        <w:spacing w:after="60"/>
      </w:pPr>
      <w:r>
        <w:t>For statisticians: practical, repeatable and verifiable ways to use AI in daily statistical work.</w:t>
      </w:r>
    </w:p>
    <w:p>
      <w:pPr>
        <w:pStyle w:val="ListBullet"/>
        <w:spacing w:after="60"/>
      </w:pPr>
      <w:r>
        <w:t>For managers: a controlled route from experimentation to institutional adoption.</w:t>
      </w:r>
    </w:p>
    <w:p>
      <w:pPr>
        <w:pStyle w:val="ListBullet"/>
        <w:spacing w:after="60"/>
      </w:pPr>
      <w:r>
        <w:t>For statistical organizations: improved workflows without surrendering quality or accountability.</w:t>
      </w:r>
    </w:p>
    <w:p>
      <w:pPr>
        <w:pStyle w:val="ListBullet"/>
        <w:spacing w:after="60"/>
      </w:pPr>
      <w:r>
        <w:t>For governments and development partners: sustainable capacity linked to country-owned statistical priorities.</w:t>
      </w:r>
    </w:p>
    <w:p>
      <w:pPr>
        <w:pStyle w:val="ListBullet"/>
        <w:spacing w:after="60"/>
      </w:pPr>
      <w:r>
        <w:t>For the public: more timely and useful statistics produced under clear professional safeguards.</w:t>
      </w:r>
    </w:p>
    <w:p>
      <w:pPr>
        <w:pStyle w:val="Heading2"/>
      </w:pPr>
      <w:r>
        <w:t>What the programme will not promise</w:t>
      </w:r>
    </w:p>
    <w:p>
      <w:pPr>
        <w:pStyle w:val="ListBullet"/>
        <w:spacing w:after="60"/>
      </w:pPr>
      <w:r>
        <w:t>Replacement of statisticians or domain expertise.</w:t>
      </w:r>
    </w:p>
    <w:p>
      <w:pPr>
        <w:pStyle w:val="ListBullet"/>
        <w:spacing w:after="60"/>
      </w:pPr>
      <w:r>
        <w:t>Automatic production of official figures without methodological validation.</w:t>
      </w:r>
    </w:p>
    <w:p>
      <w:pPr>
        <w:pStyle w:val="ListBullet"/>
        <w:spacing w:after="60"/>
      </w:pPr>
      <w:r>
        <w:t>One tool or technology that suits every institution.</w:t>
      </w:r>
    </w:p>
    <w:p>
      <w:pPr>
        <w:pStyle w:val="ListBullet"/>
        <w:spacing w:after="60"/>
      </w:pPr>
      <w:r>
        <w:t>Uploading confidential microdata to uncontrolled public services.</w:t>
      </w:r>
    </w:p>
    <w:p>
      <w:pPr>
        <w:pStyle w:val="ListBullet"/>
        <w:spacing w:after="60"/>
      </w:pPr>
      <w:r>
        <w:t>Rapid transformation through short awareness workshops alone.</w:t>
      </w:r>
    </w:p>
    <w:p>
      <w:r>
        <w:br w:type="page"/>
      </w:r>
    </w:p>
    <w:p>
      <w:pPr>
        <w:pStyle w:val="Heading1"/>
      </w:pPr>
      <w:r>
        <w:t>Audience and pilot strategy</w:t>
      </w:r>
    </w:p>
    <w:p>
      <w:pPr>
        <w:pStyle w:val="Heading2"/>
      </w:pPr>
      <w:r>
        <w:t>First pilot cohort</w:t>
      </w:r>
    </w:p>
    <w:p>
      <w:r>
        <w:t>The first cohort will consist of agricultural-statistics institutional teams rather than unrelated individual applicants. A team-based approach increases the likelihood that learning can be applied to real workflows and supported after training.</w:t>
      </w:r>
    </w:p>
    <w:p>
      <w:pPr>
        <w:pStyle w:val="Heading3"/>
      </w:pPr>
      <w:r>
        <w:t>Indicative team composition</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Role</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Contribution</w:t>
            </w:r>
          </w:p>
        </w:tc>
      </w:tr>
      <w:tr>
        <w:tc>
          <w:tcPr>
            <w:tcW w:type="dxa" w:w="295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Statistical manager</w:t>
            </w:r>
          </w:p>
        </w:tc>
        <w:tc>
          <w:tcPr>
            <w:tcW w:type="dxa" w:w="626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Authority, priorities, resources and institutional adoption.</w:t>
            </w:r>
          </w:p>
        </w:tc>
      </w:tr>
      <w:tr>
        <w:tc>
          <w:tcPr>
            <w:tcW w:type="dxa" w:w="295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Agricultural subject specialist</w:t>
            </w:r>
          </w:p>
        </w:tc>
        <w:tc>
          <w:tcPr>
            <w:tcW w:type="dxa" w:w="626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Concepts, data sources, standards and production knowledge.</w:t>
            </w:r>
          </w:p>
        </w:tc>
      </w:tr>
      <w:tr>
        <w:tc>
          <w:tcPr>
            <w:tcW w:type="dxa" w:w="295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Survey or census methodologist</w:t>
            </w:r>
          </w:p>
        </w:tc>
        <w:tc>
          <w:tcPr>
            <w:tcW w:type="dxa" w:w="626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Measurement, sampling, estimation and quality evaluation.</w:t>
            </w:r>
          </w:p>
        </w:tc>
      </w:tr>
      <w:tr>
        <w:tc>
          <w:tcPr>
            <w:tcW w:type="dxa" w:w="295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Data processor or programmer</w:t>
            </w:r>
          </w:p>
        </w:tc>
        <w:tc>
          <w:tcPr>
            <w:tcW w:type="dxa" w:w="626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Reproducible code, databases, automation and testing.</w:t>
            </w:r>
          </w:p>
        </w:tc>
      </w:tr>
      <w:tr>
        <w:tc>
          <w:tcPr>
            <w:tcW w:type="dxa" w:w="295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IT or security representative</w:t>
            </w:r>
          </w:p>
        </w:tc>
        <w:tc>
          <w:tcPr>
            <w:tcW w:type="dxa" w:w="626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Infrastructure, access, cybersecurity and continuity.</w:t>
            </w:r>
          </w:p>
        </w:tc>
      </w:tr>
      <w:tr>
        <w:tc>
          <w:tcPr>
            <w:tcW w:type="dxa" w:w="295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Quality or confidentiality focal point</w:t>
            </w:r>
          </w:p>
        </w:tc>
        <w:tc>
          <w:tcPr>
            <w:tcW w:type="dxa" w:w="626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Quality assurance, privacy, documentation and approval.</w:t>
            </w:r>
          </w:p>
        </w:tc>
      </w:tr>
    </w:tbl>
    <w:p>
      <w:pPr>
        <w:spacing w:after="0"/>
      </w:pPr>
    </w:p>
    <w:p>
      <w:pPr>
        <w:pStyle w:val="Heading2"/>
      </w:pPr>
      <w:r>
        <w:t>Why agriculture is the first specialization</w:t>
      </w:r>
    </w:p>
    <w:p>
      <w:r>
        <w:t>Agricultural statistics provides a demanding and transferable test. It combines censuses, surveys, administrative records, research-station information, geospatial and Earth-observation data, market information, climate data and private-sector sources. It also involves NSOs, ministries, research institutes, food-security bodies and other institutions with differing mandates and capacities.</w:t>
      </w:r>
    </w:p>
    <w:p>
      <w:pPr>
        <w:pStyle w:val="Heading2"/>
      </w:pPr>
      <w:r>
        <w:t>Geographic approach</w:t>
      </w:r>
    </w:p>
    <w:p>
      <w:r>
        <w:t>The pilot will target a small number of developing countries selected for diversity of statistical-system structure, language, readiness and agricultural-information needs. The objective is not immediate global scale. It is to prove that one programme architecture can be adapted without lowering common professional standards.</w:t>
      </w:r>
    </w:p>
    <w:p>
      <w:pPr>
        <w:pStyle w:val="Heading3"/>
      </w:pPr>
      <w:r>
        <w:t>Country selection criteria</w:t>
      </w:r>
    </w:p>
    <w:p>
      <w:pPr>
        <w:pStyle w:val="ListBullet"/>
        <w:spacing w:after="60"/>
      </w:pPr>
      <w:r>
        <w:t>Senior institutional sponsorship and willingness to provide a multidisciplinary team.</w:t>
      </w:r>
    </w:p>
    <w:p>
      <w:pPr>
        <w:pStyle w:val="ListBullet"/>
        <w:spacing w:after="60"/>
      </w:pPr>
      <w:r>
        <w:t>A real agricultural statistical workflow suitable for a capstone.</w:t>
      </w:r>
    </w:p>
    <w:p>
      <w:pPr>
        <w:pStyle w:val="ListBullet"/>
        <w:spacing w:after="60"/>
      </w:pPr>
      <w:r>
        <w:t>Minimum conditions for controlled experimentation.</w:t>
      </w:r>
    </w:p>
    <w:p>
      <w:pPr>
        <w:pStyle w:val="ListBullet"/>
        <w:spacing w:after="60"/>
      </w:pPr>
      <w:r>
        <w:t>Commitment to share non-confidential lessons and evaluation evidence.</w:t>
      </w:r>
    </w:p>
    <w:p>
      <w:pPr>
        <w:pStyle w:val="ListBullet"/>
        <w:spacing w:after="60"/>
      </w:pPr>
      <w:r>
        <w:t>Variation in institutional structure and maturity that strengthens programme testing.</w:t>
      </w:r>
    </w:p>
    <w:p>
      <w:r>
        <w:br w:type="page"/>
      </w:r>
    </w:p>
    <w:p>
      <w:pPr>
        <w:pStyle w:val="Heading1"/>
      </w:pPr>
      <w:r>
        <w:t>Learning and certification model</w:t>
      </w:r>
    </w:p>
    <w:p>
      <w:pPr>
        <w:pStyle w:val="Heading2"/>
      </w:pPr>
      <w:r>
        <w:t>Blended delivery</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Component</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Function</w:t>
            </w:r>
          </w:p>
        </w:tc>
      </w:tr>
      <w:tr>
        <w:tc>
          <w:tcPr>
            <w:tcW w:type="dxa" w:w="288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Self-paced preparation</w:t>
            </w:r>
          </w:p>
        </w:tc>
        <w:tc>
          <w:tcPr>
            <w:tcW w:type="dxa" w:w="633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Foundations, readings, demonstrations and readiness checks.</w:t>
            </w:r>
          </w:p>
        </w:tc>
      </w:tr>
      <w:tr>
        <w:tc>
          <w:tcPr>
            <w:tcW w:type="dxa" w:w="288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Live online sessions</w:t>
            </w:r>
          </w:p>
        </w:tc>
        <w:tc>
          <w:tcPr>
            <w:tcW w:type="dxa" w:w="633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Discussion, demonstrations, coaching and cross-country exchange.</w:t>
            </w:r>
          </w:p>
        </w:tc>
      </w:tr>
      <w:tr>
        <w:tc>
          <w:tcPr>
            <w:tcW w:type="dxa" w:w="288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In-person laboratories</w:t>
            </w:r>
          </w:p>
        </w:tc>
        <w:tc>
          <w:tcPr>
            <w:tcW w:type="dxa" w:w="633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Intensive practical exercises, team workflows and facilitated problem solving.</w:t>
            </w:r>
          </w:p>
        </w:tc>
      </w:tr>
      <w:tr>
        <w:tc>
          <w:tcPr>
            <w:tcW w:type="dxa" w:w="288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Workplace application</w:t>
            </w:r>
          </w:p>
        </w:tc>
        <w:tc>
          <w:tcPr>
            <w:tcW w:type="dxa" w:w="633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Application to a real institutional production problem.</w:t>
            </w:r>
          </w:p>
        </w:tc>
      </w:tr>
      <w:tr>
        <w:tc>
          <w:tcPr>
            <w:tcW w:type="dxa" w:w="288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Mentoring and office hours</w:t>
            </w:r>
          </w:p>
        </w:tc>
        <w:tc>
          <w:tcPr>
            <w:tcW w:type="dxa" w:w="633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Technical, methodological and managerial support.</w:t>
            </w:r>
          </w:p>
        </w:tc>
      </w:tr>
      <w:tr>
        <w:tc>
          <w:tcPr>
            <w:tcW w:type="dxa" w:w="288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Peer review</w:t>
            </w:r>
          </w:p>
        </w:tc>
        <w:tc>
          <w:tcPr>
            <w:tcW w:type="dxa" w:w="633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Structured review of methods, evidence, errors and implementation plans.</w:t>
            </w:r>
          </w:p>
        </w:tc>
      </w:tr>
    </w:tbl>
    <w:p>
      <w:pPr>
        <w:spacing w:after="0"/>
      </w:pPr>
    </w:p>
    <w:p>
      <w:pPr>
        <w:pStyle w:val="Heading2"/>
      </w:pPr>
      <w:r>
        <w:t>Language strategy</w:t>
      </w:r>
    </w:p>
    <w:p>
      <w:r>
        <w:t>The programme architecture, terminology, templates and source files will be designed for multilingual reuse from the beginning. Initial content will be developed and quality assured in English. French and Portuguese versions will then be introduced in stages, using professional review rather than unchecked machine translation.</w:t>
      </w:r>
    </w:p>
    <w:p>
      <w:pPr>
        <w:pStyle w:val="Heading2"/>
      </w:pPr>
      <w:r>
        <w:t>Competency-based certification</w:t>
      </w:r>
    </w:p>
    <w:p>
      <w:r>
        <w:t>Certification will be awarded for demonstrated professional capability, not attendance. Participants must complete practical assessments and a documented workplace capstone. Certification criteria will cover statistical judgment, verification, confidentiality, quality assessment, reproducibility, communication and institutional implementation.</w:t>
      </w:r>
    </w:p>
    <w:p>
      <w:pPr>
        <w:pStyle w:val="Heading3"/>
      </w:pPr>
      <w:r>
        <w:t>Indicative certification evidence</w:t>
      </w:r>
    </w:p>
    <w:p>
      <w:pPr>
        <w:pStyle w:val="ListNumber"/>
        <w:spacing w:after="60"/>
      </w:pPr>
      <w:r>
        <w:t>Completion of required practical laboratories.</w:t>
      </w:r>
    </w:p>
    <w:p>
      <w:pPr>
        <w:pStyle w:val="ListNumber"/>
        <w:spacing w:after="60"/>
      </w:pPr>
      <w:r>
        <w:t>A verified portfolio of AI-assisted statistical work.</w:t>
      </w:r>
    </w:p>
    <w:p>
      <w:pPr>
        <w:pStyle w:val="ListNumber"/>
        <w:spacing w:after="60"/>
      </w:pPr>
      <w:r>
        <w:t>Successful application of the AI-statistics quality gate.</w:t>
      </w:r>
    </w:p>
    <w:p>
      <w:pPr>
        <w:pStyle w:val="ListNumber"/>
        <w:spacing w:after="60"/>
      </w:pPr>
      <w:r>
        <w:t>Peer and facilitator review.</w:t>
      </w:r>
    </w:p>
    <w:p>
      <w:pPr>
        <w:pStyle w:val="ListNumber"/>
        <w:spacing w:after="60"/>
      </w:pPr>
      <w:r>
        <w:t>A workplace capstone comparing the proposed workflow with an accepted baseline.</w:t>
      </w:r>
    </w:p>
    <w:p>
      <w:pPr>
        <w:pStyle w:val="ListNumber"/>
        <w:spacing w:after="60"/>
      </w:pPr>
      <w:r>
        <w:t>Management presentation and implementation recommendation.</w:t>
      </w:r>
    </w:p>
    <w:p>
      <w:pPr>
        <w:spacing w:before="100" w:after="160"/>
        <w:ind w:left="317" w:right="317"/>
      </w:pPr>
      <w:r>
        <w:rPr>
          <w:b/>
          <w:color w:val="0B6B69"/>
        </w:rPr>
        <w:t xml:space="preserve">Decision. </w:t>
      </w:r>
      <w:r>
        <w:t>No certificate will be based solely on attendance or completion of automated quizzes.</w:t>
      </w:r>
    </w:p>
    <w:p>
      <w:r>
        <w:br w:type="page"/>
      </w:r>
    </w:p>
    <w:p>
      <w:pPr>
        <w:pStyle w:val="Heading1"/>
      </w:pPr>
      <w:r>
        <w:t>Operating and financial model</w:t>
      </w:r>
    </w:p>
    <w:p>
      <w:pPr>
        <w:pStyle w:val="Heading2"/>
      </w:pPr>
      <w:r>
        <w:t>Founder-led development</w:t>
      </w:r>
    </w:p>
    <w:p>
      <w:r>
        <w:t>The founder will retain intellectual leadership during the initial design and prototype stages. This preserves coherence and speed while the programme framework is being established. Governance will become progressively more institutional as advisers, pilot countries and formal partners join.</w:t>
      </w:r>
    </w:p>
    <w:p>
      <w:pPr>
        <w:pStyle w:val="Heading2"/>
      </w:pPr>
      <w:r>
        <w:t>Partnership sequence</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Stage</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Engagement</w:t>
            </w:r>
          </w:p>
        </w:tc>
      </w:tr>
      <w:tr>
        <w:tc>
          <w:tcPr>
            <w:tcW w:type="dxa" w:w="259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Concept and diagnostic design</w:t>
            </w:r>
          </w:p>
        </w:tc>
        <w:tc>
          <w:tcPr>
            <w:tcW w:type="dxa" w:w="66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Invite a small number of technical advisers for peer review and specialist input.</w:t>
            </w:r>
          </w:p>
        </w:tc>
      </w:tr>
      <w:tr>
        <w:tc>
          <w:tcPr>
            <w:tcW w:type="dxa" w:w="259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Prototype development</w:t>
            </w:r>
          </w:p>
        </w:tc>
        <w:tc>
          <w:tcPr>
            <w:tcW w:type="dxa" w:w="66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Consult prospective NSOs, sector ministries, international organizations and training institutions.</w:t>
            </w:r>
          </w:p>
        </w:tc>
      </w:tr>
      <w:tr>
        <w:tc>
          <w:tcPr>
            <w:tcW w:type="dxa" w:w="259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Pilot readiness</w:t>
            </w:r>
          </w:p>
        </w:tc>
        <w:tc>
          <w:tcPr>
            <w:tcW w:type="dxa" w:w="66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Establish formal agreements with participating institutions and delivery partners.</w:t>
            </w:r>
          </w:p>
        </w:tc>
      </w:tr>
      <w:tr>
        <w:tc>
          <w:tcPr>
            <w:tcW w:type="dxa" w:w="259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Scale-up</w:t>
            </w:r>
          </w:p>
        </w:tc>
        <w:tc>
          <w:tcPr>
            <w:tcW w:type="dxa" w:w="66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Develop a broader consortium, trainer network and certification arrangements as justified by evidence.</w:t>
            </w:r>
          </w:p>
        </w:tc>
      </w:tr>
    </w:tbl>
    <w:p>
      <w:pPr>
        <w:spacing w:after="0"/>
      </w:pPr>
    </w:p>
    <w:p>
      <w:pPr>
        <w:pStyle w:val="Heading2"/>
      </w:pPr>
      <w:r>
        <w:t>Mixed financing</w:t>
      </w:r>
    </w:p>
    <w:p>
      <w:r>
        <w:t>The programme should combine public-good funding with revenue-generating institutional services. This reduces dependence on a single donor while protecting access for resource-constrained statistical systems.</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Funding stream</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Appropriate uses</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Grants and development partnerships</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Core public resources, translation, scholarships, open tools and country pilots.</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Institutional diagnostic services</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National ecosystem mapping, readiness assessment and implementation planning.</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Professional training contracts</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Cohort delivery, mentoring, assessment and certification.</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Advisory services</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Governance, workflow redesign, quality assurance and institutionalization.</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Sponsored knowledge products</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Case studies, methods, events and communities of practice with independence safeguards.</w:t>
            </w:r>
          </w:p>
        </w:tc>
      </w:tr>
    </w:tbl>
    <w:p>
      <w:pPr>
        <w:spacing w:after="0"/>
      </w:pPr>
    </w:p>
    <w:p>
      <w:pPr>
        <w:pStyle w:val="Heading2"/>
      </w:pPr>
      <w:r>
        <w:t>Financial safeguards</w:t>
      </w:r>
    </w:p>
    <w:p>
      <w:pPr>
        <w:pStyle w:val="ListBullet"/>
        <w:spacing w:after="60"/>
      </w:pPr>
      <w:r>
        <w:t>Transparent separation of sponsor interests from methodological and certification decisions.</w:t>
      </w:r>
    </w:p>
    <w:p>
      <w:pPr>
        <w:pStyle w:val="ListBullet"/>
        <w:spacing w:after="60"/>
      </w:pPr>
      <w:r>
        <w:t>Costed recurrent operations, including translation, learner support, hosting and content renewal.</w:t>
      </w:r>
    </w:p>
    <w:p>
      <w:pPr>
        <w:pStyle w:val="ListBullet"/>
        <w:spacing w:after="60"/>
      </w:pPr>
      <w:r>
        <w:t>Explicit ownership and reuse rights for curricula, datasets, code and country products.</w:t>
      </w:r>
    </w:p>
    <w:p>
      <w:pPr>
        <w:pStyle w:val="ListBullet"/>
        <w:spacing w:after="60"/>
      </w:pPr>
      <w:r>
        <w:t>Avoidance of dependence on one software vendor, consultant or donor.</w:t>
      </w:r>
    </w:p>
    <w:p>
      <w:pPr>
        <w:pStyle w:val="Heading1"/>
      </w:pPr>
      <w:r>
        <w:t>Digital presence and communications</w:t>
      </w:r>
    </w:p>
    <w:p>
      <w:pPr>
        <w:pStyle w:val="Heading2"/>
      </w:pPr>
      <w:r>
        <w:t>Initial public website</w:t>
      </w:r>
    </w:p>
    <w:p>
      <w:r>
        <w:t>A lean website should be established after the positioning and visual identity are approved. Its initial purpose is to explain the programme, establish credibility, engage prospective partners and provide selected public resources.</w:t>
      </w:r>
    </w:p>
    <w:p>
      <w:pPr>
        <w:pStyle w:val="ListBullet"/>
        <w:spacing w:after="60"/>
      </w:pPr>
      <w:r>
        <w:t>Programme purpose, audience and professional principles.</w:t>
      </w:r>
    </w:p>
    <w:p>
      <w:pPr>
        <w:pStyle w:val="ListBullet"/>
        <w:spacing w:after="60"/>
      </w:pPr>
      <w:r>
        <w:t>National Information Ecosystem framework.</w:t>
      </w:r>
    </w:p>
    <w:p>
      <w:pPr>
        <w:pStyle w:val="ListBullet"/>
        <w:spacing w:after="60"/>
      </w:pPr>
      <w:r>
        <w:t>Development roadmap and pilot information.</w:t>
      </w:r>
    </w:p>
    <w:p>
      <w:pPr>
        <w:pStyle w:val="ListBullet"/>
        <w:spacing w:after="60"/>
      </w:pPr>
      <w:r>
        <w:t>Founder and adviser profiles.</w:t>
      </w:r>
    </w:p>
    <w:p>
      <w:pPr>
        <w:pStyle w:val="ListBullet"/>
        <w:spacing w:after="60"/>
      </w:pPr>
      <w:r>
        <w:t>Selected publications and public tools.</w:t>
      </w:r>
    </w:p>
    <w:p>
      <w:pPr>
        <w:pStyle w:val="ListBullet"/>
        <w:spacing w:after="60"/>
      </w:pPr>
      <w:r>
        <w:t>Partner and country expressions of interest.</w:t>
      </w:r>
    </w:p>
    <w:p>
      <w:pPr>
        <w:pStyle w:val="Heading2"/>
      </w:pPr>
      <w:r>
        <w:t>Learning platform</w:t>
      </w:r>
    </w:p>
    <w:p>
      <w:r>
        <w:t>The first pilot should use an established learning-management platform capable of supporting accounts, modules, files, quizzes, assignments, discussion and progress tracking. Selection should consider cost, low-bandwidth operation, mobile access, multilingual support, data protection, exportability and administrative burden.</w:t>
      </w:r>
    </w:p>
    <w:p>
      <w:pPr>
        <w:pStyle w:val="Heading2"/>
      </w:pPr>
      <w:r>
        <w:t>Video and YouTube</w:t>
      </w:r>
    </w:p>
    <w:p>
      <w:r>
        <w:t>A public video channel is a later outreach instrument, not the programme’s initial foundation. It should be launched only after a coherent introductory module, editorial standard, visual identity and publication schedule exist. Public videos may explain concepts and demonstrate non-confidential workflows, while assessed learning, mentoring and protected materials remain in the learning environment.</w:t>
      </w:r>
    </w:p>
    <w:p>
      <w:pPr>
        <w:spacing w:before="100" w:after="160"/>
        <w:ind w:left="317" w:right="317"/>
      </w:pPr>
      <w:r>
        <w:rPr>
          <w:b/>
          <w:color w:val="0B6B69"/>
        </w:rPr>
        <w:t xml:space="preserve">Decision. </w:t>
      </w:r>
      <w:r>
        <w:t>Do not commission a custom learning platform or launch an empty public channel during the diagnostic stage.</w:t>
      </w:r>
    </w:p>
    <w:p>
      <w:pPr>
        <w:pStyle w:val="Heading2"/>
      </w:pPr>
      <w:r>
        <w:t>Digital build sequence</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Sequence</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Output</w:t>
            </w:r>
          </w:p>
        </w:tc>
      </w:tr>
      <w:tr>
        <w:tc>
          <w:tcPr>
            <w:tcW w:type="dxa" w:w="129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1</w:t>
            </w:r>
          </w:p>
        </w:tc>
        <w:tc>
          <w:tcPr>
            <w:tcW w:type="dxa" w:w="79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Programme identity and basic public information architecture.</w:t>
            </w:r>
          </w:p>
        </w:tc>
      </w:tr>
      <w:tr>
        <w:tc>
          <w:tcPr>
            <w:tcW w:type="dxa" w:w="129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2</w:t>
            </w:r>
          </w:p>
        </w:tc>
        <w:tc>
          <w:tcPr>
            <w:tcW w:type="dxa" w:w="79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Lean website and expressions-of-interest mechanism.</w:t>
            </w:r>
          </w:p>
        </w:tc>
      </w:tr>
      <w:tr>
        <w:tc>
          <w:tcPr>
            <w:tcW w:type="dxa" w:w="129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3</w:t>
            </w:r>
          </w:p>
        </w:tc>
        <w:tc>
          <w:tcPr>
            <w:tcW w:type="dxa" w:w="79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Configured established learning platform for the pilot.</w:t>
            </w:r>
          </w:p>
        </w:tc>
      </w:tr>
      <w:tr>
        <w:tc>
          <w:tcPr>
            <w:tcW w:type="dxa" w:w="129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4</w:t>
            </w:r>
          </w:p>
        </w:tc>
        <w:tc>
          <w:tcPr>
            <w:tcW w:type="dxa" w:w="79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Pilot materials, learner support and usage evaluation.</w:t>
            </w:r>
          </w:p>
        </w:tc>
      </w:tr>
      <w:tr>
        <w:tc>
          <w:tcPr>
            <w:tcW w:type="dxa" w:w="129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5</w:t>
            </w:r>
          </w:p>
        </w:tc>
        <w:tc>
          <w:tcPr>
            <w:tcW w:type="dxa" w:w="79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Public video series and expanded resource repository.</w:t>
            </w:r>
          </w:p>
        </w:tc>
      </w:tr>
      <w:tr>
        <w:tc>
          <w:tcPr>
            <w:tcW w:type="dxa" w:w="129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6</w:t>
            </w:r>
          </w:p>
        </w:tc>
        <w:tc>
          <w:tcPr>
            <w:tcW w:type="dxa" w:w="79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Decision on whether custom technology is justified by demonstrated needs.</w:t>
            </w:r>
          </w:p>
        </w:tc>
      </w:tr>
    </w:tbl>
    <w:p>
      <w:pPr>
        <w:spacing w:after="0"/>
      </w:pPr>
    </w:p>
    <w:p>
      <w:r>
        <w:br w:type="page"/>
      </w:r>
    </w:p>
    <w:p>
      <w:pPr>
        <w:pStyle w:val="Heading1"/>
      </w:pPr>
      <w:r>
        <w:t>Immediate implementation roadmap</w:t>
      </w:r>
    </w:p>
    <w:p>
      <w:pPr>
        <w:pStyle w:val="Heading2"/>
      </w:pPr>
      <w:r>
        <w:t>Authorized next step</w:t>
      </w:r>
    </w:p>
    <w:p>
      <w:r>
        <w:t>The next operational product is the National Information Ecosystem and AI Readiness Diagnostic Toolkit. It will determine institutional needs, programme entry points, initial use cases and country-specific prerequisites before the detailed course is finalized.</w:t>
      </w:r>
    </w:p>
    <w:p>
      <w:pPr>
        <w:pStyle w:val="Heading3"/>
      </w:pPr>
      <w:r>
        <w:t>Toolkit components</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Component</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Purpose</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Ecosystem mapping instrument</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Identify institutions, systems, mandates, sources, users and information flows.</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Institutional readiness questionnaire</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Assess governance, law, data, quality, staff, infrastructure, financing and partnerships.</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Staff competency assessment</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Measure baseline knowledge, practical ability and role-specific needs.</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Management interview guide</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Clarify priorities, constraints, risk tolerance and decision authority.</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Workflow mapping template</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Document production steps, bottlenecks, controls, costs and quality problems.</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Use-case discovery instrument</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Identify important, bounded and verifiable AI applications.</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Maturity scoring method</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Profile readiness by capability rather than using one misleading overall score.</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Workshop package</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Facilitate validation, prioritization and institutional commitment.</w:t>
            </w:r>
          </w:p>
        </w:tc>
      </w:tr>
      <w:tr>
        <w:tc>
          <w:tcPr>
            <w:tcW w:type="dxa" w:w="324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Diagnostic report template</w:t>
            </w:r>
          </w:p>
        </w:tc>
        <w:tc>
          <w:tcPr>
            <w:tcW w:type="dxa" w:w="5976"/>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Produce a comparable country and institutional implementation plan.</w:t>
            </w:r>
          </w:p>
        </w:tc>
      </w:tr>
    </w:tbl>
    <w:p>
      <w:pPr>
        <w:spacing w:after="0"/>
      </w:pPr>
    </w:p>
    <w:p>
      <w:pPr>
        <w:pStyle w:val="Heading2"/>
      </w:pPr>
      <w:r>
        <w:t>Indicative sequence after the toolkit</w:t>
      </w:r>
    </w:p>
    <w:tbl>
      <w:tblPr>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Phase</w:t>
            </w:r>
          </w:p>
        </w:tc>
        <w:tc>
          <w:tcPr>
            <w:tcW w:type="dxa" w:w="4939"/>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Output</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1. Diagnostic</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Tested toolkit and institutional readiness profiles.</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2. Competencies</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Role-based competency framework and assessment rubrics.</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3. Use cases</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Prioritized and risk-classified pilot portfolio.</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4. Curriculum</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Common core, source laboratories and agricultural domain laboratory.</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5. Production</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Lessons, exercises, datasets, instructor guides and assessments.</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6. Pilot</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Delivered programme and workplace capstones.</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7. Revision</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Evaluated and improved programme with certification rules.</w:t>
            </w:r>
          </w:p>
        </w:tc>
      </w:tr>
      <w:tr>
        <w:tc>
          <w:tcPr>
            <w:tcW w:type="dxa" w:w="223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8. Scale</w:t>
            </w:r>
          </w:p>
        </w:tc>
        <w:tc>
          <w:tcPr>
            <w:tcW w:type="dxa" w:w="698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Additional domains, languages, countries and institutional partners.</w:t>
            </w:r>
          </w:p>
        </w:tc>
      </w:tr>
    </w:tbl>
    <w:p>
      <w:pPr>
        <w:spacing w:after="0"/>
      </w:pPr>
    </w:p>
    <w:p>
      <w:pPr>
        <w:pStyle w:val="Heading2"/>
      </w:pPr>
      <w:r>
        <w:t>Phase 0 completion criteria</w:t>
      </w:r>
    </w:p>
    <w:p>
      <w:pPr>
        <w:pStyle w:val="ListBullet"/>
        <w:spacing w:after="60"/>
      </w:pPr>
      <w:r>
        <w:t>Strategic decisions recorded and used consistently in subsequent design.</w:t>
      </w:r>
    </w:p>
    <w:p>
      <w:pPr>
        <w:pStyle w:val="ListBullet"/>
        <w:spacing w:after="60"/>
      </w:pPr>
      <w:r>
        <w:t>Programme boundaries and sequencing understood.</w:t>
      </w:r>
    </w:p>
    <w:p>
      <w:pPr>
        <w:pStyle w:val="ListBullet"/>
        <w:spacing w:after="60"/>
      </w:pPr>
      <w:r>
        <w:t>No premature commitment to expensive digital infrastructure.</w:t>
      </w:r>
    </w:p>
    <w:p>
      <w:pPr>
        <w:pStyle w:val="ListBullet"/>
        <w:spacing w:after="60"/>
      </w:pPr>
      <w:r>
        <w:t>Diagnostic toolkit authorized as the next substantive deliverable.</w:t>
      </w:r>
    </w:p>
    <w:p>
      <w:pPr>
        <w:pStyle w:val="Heading1"/>
      </w:pPr>
      <w:r>
        <w:t>Decision register</w:t>
      </w:r>
    </w:p>
    <w:tbl>
      <w:tblPr>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Decision</w:t>
            </w:r>
          </w:p>
        </w:tc>
        <w:tc>
          <w:tcPr>
            <w:tcW w:type="dxa" w:w="3293"/>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Rationale</w:t>
            </w:r>
          </w:p>
        </w:tc>
        <w:tc>
          <w:tcPr>
            <w:tcW w:type="dxa" w:w="3293"/>
            <w:shd w:fill="17324D"/>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Review point</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Founder-led initial ownership</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Protects coherence while the concept and prototype are established.</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Before formal pilot agreements.</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Agricultural institutional teams first</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Provides a rich, practical domain and supports workplace adoption.</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After evaluation of the first pilot.</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Selected developing countries</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Tests adaptation under real resource and institutional constraints.</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When pilot selection criteria are applied.</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Blended delivery</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Combines access, practice, mentoring and institutional application.</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After learner and cost evaluation.</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English followed by French and Portuguese</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Maintains quality while building multilingual reach.</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After English prototype stabilizes.</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Competency and capstone certification</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Aligns recognition with demonstrated professional ability.</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After assessment rubrics are piloted.</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Mixed financing</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Supports public value and long-term viability.</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During pilot budgeting and partnership negotiations.</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Formal partners after prototype</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Enables credible engagement without premature institutional dependence.</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At prototype completion.</w:t>
            </w:r>
          </w:p>
        </w:tc>
      </w:tr>
      <w:tr>
        <w:tc>
          <w:tcPr>
            <w:tcW w:type="dxa" w:w="2520"/>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Lean website and existing platform</w:t>
            </w:r>
          </w:p>
        </w:tc>
        <w:tc>
          <w:tcPr>
            <w:tcW w:type="dxa" w:w="4824"/>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Limits cost and preserves flexibility during learning and testing.</w:t>
            </w:r>
          </w:p>
        </w:tc>
        <w:tc>
          <w:tcPr>
            <w:tcW w:type="dxa" w:w="1872"/>
            <w:tcMar>
              <w:top w:w="105" w:type="dxa"/>
              <w:start w:w="115" w:type="dxa"/>
              <w:bottom w:w="105" w:type="dxa"/>
              <w:end w:w="11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After the first pilot.</w:t>
            </w:r>
          </w:p>
        </w:tc>
      </w:tr>
    </w:tbl>
    <w:p>
      <w:pPr>
        <w:spacing w:after="0"/>
      </w:pPr>
    </w:p>
    <w:p>
      <w:pPr>
        <w:pStyle w:val="Heading2"/>
      </w:pPr>
      <w:r>
        <w:t>Next management decision</w:t>
      </w:r>
    </w:p>
    <w:p>
      <w:r>
        <w:t>Approve the scope and production sequence for the National Information Ecosystem and AI Readiness Diagnostic Toolkit. Its first version should be designed for agricultural-statistics institutions but structured for later adaptation across the National Statistical System.</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972"/>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6B69"/>
        <w:sz w:val="15"/>
      </w:rPr>
      <w:t>PROFESSIONAL PROGRAMME IN AI AUGMENTED OFFICIAL STATISTICS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Programme in AI Augmented Official Statistics Strategic Positioning Note</dc:title>
  <dc:subject>Phase 0 strategic decisions for programme development</dc:subject>
  <dc:creator>python-docx</dc:creator>
  <cp:keywords>official statistics, artificial intelligence, strategic positioning, programme design, agricultural statistics</cp:keywords>
  <dc:description>generated by python-docx</dc:description>
  <cp:lastModifiedBy/>
  <cp:revision>1</cp:revision>
  <dcterms:created xsi:type="dcterms:W3CDTF">2013-12-23T23:15:00Z</dcterms:created>
  <dcterms:modified xsi:type="dcterms:W3CDTF">2013-12-23T23:15:00Z</dcterms:modified>
  <cp:category/>
</cp:coreProperties>
</file>