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label"/>
      </w:pPr>
      <w:r>
        <w:rPr>
          <w:rFonts w:ascii="Aptos" w:hAnsi="Aptos"/>
          <w:color w:val="000000"/>
          <w:sz w:val="20"/>
        </w:rPr>
        <w:t>NATIONAL INFORMATION ECOSYSTEM AND AI PROGRAMME</w:t>
      </w:r>
    </w:p>
    <w:p>
      <w:pPr>
        <w:pStyle w:val="Title"/>
      </w:pPr>
      <w:r>
        <w:rPr>
          <w:rFonts w:ascii="Aptos" w:hAnsi="Aptos"/>
          <w:color w:val="000000"/>
          <w:sz w:val="20"/>
        </w:rPr>
        <w:t>Controlled AI Pilot Design Evaluation and Statistical Assurance Protocol</w:t>
      </w:r>
    </w:p>
    <w:p>
      <w:pPr>
        <w:spacing w:after="360"/>
      </w:pPr>
      <w:r>
        <w:rPr>
          <w:rFonts w:ascii="Aptos" w:hAnsi="Aptos"/>
          <w:color w:val="4F4F4F"/>
          <w:sz w:val="24"/>
        </w:rPr>
        <w:t>Phase 1F operational document  |  Version 1.0  |  September 2026</w:t>
      </w:r>
    </w:p>
    <w:p>
      <w:pPr>
        <w:pStyle w:val="Heading2"/>
      </w:pPr>
      <w:r>
        <w:rPr>
          <w:rFonts w:ascii="Aptos" w:hAnsi="Aptos"/>
          <w:color w:val="000000"/>
          <w:sz w:val="20"/>
        </w:rPr>
        <w:t>Purpose</w:t>
      </w:r>
    </w:p>
    <w:p>
      <w:r>
        <w:rPr>
          <w:rFonts w:ascii="Aptos" w:hAnsi="Aptos"/>
          <w:color w:val="000000"/>
          <w:sz w:val="20"/>
        </w:rPr>
        <w:t>This protocol governs the controlled testing of artificial intelligence in official statistics. It converts a selected use case into a bounded experiment that can be examined against an approved statistical benchmark before the method affects an official estimate, classification, register, publication or public decision.</w:t>
      </w:r>
    </w:p>
    <w:p>
      <w:pPr>
        <w:pStyle w:val="Heading2"/>
      </w:pPr>
      <w:r>
        <w:rPr>
          <w:rFonts w:ascii="Aptos" w:hAnsi="Aptos"/>
          <w:color w:val="000000"/>
          <w:sz w:val="20"/>
        </w:rPr>
        <w:t>Decision rule</w:t>
      </w:r>
    </w:p>
    <w:p>
      <w:r>
        <w:rPr>
          <w:rFonts w:ascii="Aptos" w:hAnsi="Aptos"/>
          <w:color w:val="000000"/>
          <w:sz w:val="20"/>
        </w:rPr>
        <w:t>No AI use case advances because it is novel, fast or highly ranked. It advances only when the responsible statistical authority has credible evidence that the proposed use is lawful, secure, methodologically defensible, operationally sustainable and fit for its intended statistical purpose. A failed mandatory gate stops the pilot or prevents deployment regardless of an aggregate score.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3024"/>
            <w:shd w:fill="17365D"/>
            <w:vAlign w:val="center"/>
            <w:tcMar>
              <w:top w:w="90" w:type="dxa"/>
              <w:start w:w="100" w:type="dxa"/>
              <w:bottom w:w="90" w:type="dxa"/>
              <w:end w:w="100" w:type="dxa"/>
            </w:tcMar>
          </w:tcPr>
          <w:p>
            <w:pPr>
              <w:keepLines/>
              <w:spacing w:after="0"/>
              <w:jc w:val="center"/>
            </w:pPr>
            <w:r>
              <w:rPr>
                <w:rFonts w:ascii="Aptos" w:hAnsi="Aptos"/>
                <w:b/>
                <w:color w:val="FFFFFF"/>
                <w:sz w:val="18"/>
              </w:rPr>
              <w:t>Document control</w:t>
            </w:r>
          </w:p>
        </w:tc>
        <w:tc>
          <w:tcPr>
            <w:tcW w:type="dxa" w:w="6624"/>
            <w:shd w:fill="17365D"/>
            <w:vAlign w:val="center"/>
            <w:tcMar>
              <w:top w:w="90" w:type="dxa"/>
              <w:start w:w="100" w:type="dxa"/>
              <w:bottom w:w="90" w:type="dxa"/>
              <w:end w:w="100" w:type="dxa"/>
            </w:tcMar>
          </w:tcPr>
          <w:p>
            <w:pPr>
              <w:keepLines/>
              <w:spacing w:after="0"/>
              <w:jc w:val="center"/>
            </w:pPr>
            <w:r>
              <w:rPr>
                <w:rFonts w:ascii="Aptos" w:hAnsi="Aptos"/>
                <w:b/>
                <w:color w:val="FFFFFF"/>
                <w:sz w:val="18"/>
              </w:rPr>
              <w:t>Entry</w:t>
            </w:r>
          </w:p>
        </w:tc>
      </w:tr>
      <w:tr>
        <w:trPr>
          <w:trHeight w:hRule="atLeast"/>
        </w:trPr>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8"/>
              </w:rPr>
              <w:t>Institution</w:t>
            </w:r>
          </w:p>
        </w:tc>
        <w:tc>
          <w:tcPr>
            <w:tcW w:type="dxa" w:w="6624"/>
            <w:vAlign w:val="center"/>
            <w:tcMar>
              <w:top w:w="90" w:type="dxa"/>
              <w:start w:w="100" w:type="dxa"/>
              <w:bottom w:w="90" w:type="dxa"/>
              <w:end w:w="100" w:type="dxa"/>
            </w:tcMar>
          </w:tcPr>
          <w:p>
            <w:pPr>
              <w:keepLines/>
              <w:spacing w:after="0" w:line="240" w:lineRule="auto"/>
            </w:pPr>
            <w:r>
              <w:rPr>
                <w:rFonts w:ascii="Aptos" w:hAnsi="Aptos"/>
                <w:color w:val="000000"/>
                <w:sz w:val="18"/>
              </w:rPr>
              <w:t>____________________________________________</w:t>
            </w:r>
          </w:p>
        </w:tc>
      </w:tr>
      <w:tr>
        <w:trPr>
          <w:trHeight w:hRule="atLeast"/>
        </w:trPr>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Pilot ID and use-case ID</w:t>
            </w:r>
          </w:p>
        </w:tc>
        <w:tc>
          <w:tcPr>
            <w:tcW w:type="dxa" w:w="66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____________________________________________</w:t>
            </w:r>
          </w:p>
        </w:tc>
      </w:tr>
      <w:tr>
        <w:trPr>
          <w:trHeight w:hRule="atLeast"/>
        </w:trPr>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8"/>
              </w:rPr>
              <w:t>Statistical programme</w:t>
            </w:r>
          </w:p>
        </w:tc>
        <w:tc>
          <w:tcPr>
            <w:tcW w:type="dxa" w:w="6624"/>
            <w:vAlign w:val="center"/>
            <w:tcMar>
              <w:top w:w="90" w:type="dxa"/>
              <w:start w:w="100" w:type="dxa"/>
              <w:bottom w:w="90" w:type="dxa"/>
              <w:end w:w="100" w:type="dxa"/>
            </w:tcMar>
          </w:tcPr>
          <w:p>
            <w:pPr>
              <w:keepLines/>
              <w:spacing w:after="0" w:line="240" w:lineRule="auto"/>
            </w:pPr>
            <w:r>
              <w:rPr>
                <w:rFonts w:ascii="Aptos" w:hAnsi="Aptos"/>
                <w:color w:val="000000"/>
                <w:sz w:val="18"/>
              </w:rPr>
              <w:t>____________________________________________</w:t>
            </w:r>
          </w:p>
        </w:tc>
      </w:tr>
      <w:tr>
        <w:trPr>
          <w:trHeight w:hRule="atLeast"/>
        </w:trPr>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Accountable statistical owner</w:t>
            </w:r>
          </w:p>
        </w:tc>
        <w:tc>
          <w:tcPr>
            <w:tcW w:type="dxa" w:w="66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____________________________________________</w:t>
            </w:r>
          </w:p>
        </w:tc>
      </w:tr>
      <w:tr>
        <w:trPr>
          <w:trHeight w:hRule="atLeast"/>
        </w:trPr>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8"/>
              </w:rPr>
              <w:t>Protocol approved by</w:t>
            </w:r>
          </w:p>
        </w:tc>
        <w:tc>
          <w:tcPr>
            <w:tcW w:type="dxa" w:w="6624"/>
            <w:vAlign w:val="center"/>
            <w:tcMar>
              <w:top w:w="90" w:type="dxa"/>
              <w:start w:w="100" w:type="dxa"/>
              <w:bottom w:w="90" w:type="dxa"/>
              <w:end w:w="100" w:type="dxa"/>
            </w:tcMar>
          </w:tcPr>
          <w:p>
            <w:pPr>
              <w:keepLines/>
              <w:spacing w:after="0" w:line="240" w:lineRule="auto"/>
            </w:pPr>
            <w:r>
              <w:rPr>
                <w:rFonts w:ascii="Aptos" w:hAnsi="Aptos"/>
                <w:color w:val="000000"/>
                <w:sz w:val="18"/>
              </w:rPr>
              <w:t>____________________________________________</w:t>
            </w:r>
          </w:p>
        </w:tc>
      </w:tr>
      <w:tr>
        <w:trPr>
          <w:trHeight w:hRule="atLeast"/>
        </w:trPr>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Approval date and version</w:t>
            </w:r>
          </w:p>
        </w:tc>
        <w:tc>
          <w:tcPr>
            <w:tcW w:type="dxa" w:w="6624"/>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____________________________________________</w:t>
            </w:r>
          </w:p>
        </w:tc>
      </w:tr>
    </w:tbl>
    <w:p>
      <w:pPr>
        <w:spacing w:after="20"/>
      </w:pPr>
    </w:p>
    <w:p>
      <w:pPr>
        <w:pStyle w:val="Small"/>
      </w:pPr>
      <w:r>
        <w:rPr>
          <w:rFonts w:ascii="Aptos" w:hAnsi="Aptos"/>
          <w:color w:val="000000"/>
          <w:sz w:val="20"/>
        </w:rPr>
        <w:t>This document is designed for national statistical offices, line ministries and other producers of official statistics, including systems with limited financial, technical or human resources. Its controls should be proportionate to consequence, but its minimum safeguards should not be waived because resources are constrained.</w:t>
      </w:r>
    </w:p>
    <w:p>
      <w:r>
        <w:rPr>
          <w:rFonts w:ascii="Aptos" w:hAnsi="Aptos"/>
          <w:color w:val="000000"/>
          <w:sz w:val="20"/>
        </w:rPr>
        <w:br w:type="page"/>
      </w:r>
    </w:p>
    <w:p>
      <w:pPr>
        <w:pStyle w:val="Heading1"/>
      </w:pPr>
      <w:r>
        <w:rPr>
          <w:rFonts w:ascii="Aptos" w:hAnsi="Aptos"/>
          <w:color w:val="000000"/>
          <w:sz w:val="20"/>
        </w:rPr>
        <w:t>Contents</w:t>
      </w:r>
    </w:p>
    <w:p>
      <w:r>
        <w:rPr>
          <w:rFonts w:ascii="Aptos" w:hAnsi="Aptos"/>
          <w:color w:val="000000"/>
          <w:sz w:val="20"/>
        </w:rPr>
        <w:t>1 Purpose scope and governing principles</w:t>
      </w:r>
    </w:p>
    <w:p>
      <w:r>
        <w:rPr>
          <w:rFonts w:ascii="Aptos" w:hAnsi="Aptos"/>
          <w:color w:val="000000"/>
          <w:sz w:val="20"/>
        </w:rPr>
        <w:t>2 Roles accountability and decision rights</w:t>
      </w:r>
    </w:p>
    <w:p>
      <w:r>
        <w:rPr>
          <w:rFonts w:ascii="Aptos" w:hAnsi="Aptos"/>
          <w:color w:val="000000"/>
          <w:sz w:val="20"/>
        </w:rPr>
        <w:t>3 Pilot lifecycle and authorization points</w:t>
      </w:r>
    </w:p>
    <w:p>
      <w:r>
        <w:rPr>
          <w:rFonts w:ascii="Aptos" w:hAnsi="Aptos"/>
          <w:color w:val="000000"/>
          <w:sz w:val="20"/>
        </w:rPr>
        <w:t>4 Pilot charter and testable claims</w:t>
      </w:r>
    </w:p>
    <w:p>
      <w:r>
        <w:rPr>
          <w:rFonts w:ascii="Aptos" w:hAnsi="Aptos"/>
          <w:color w:val="000000"/>
          <w:sz w:val="20"/>
        </w:rPr>
        <w:t>5 Baseline benchmark and evaluation design</w:t>
      </w:r>
    </w:p>
    <w:p>
      <w:r>
        <w:rPr>
          <w:rFonts w:ascii="Aptos" w:hAnsi="Aptos"/>
          <w:color w:val="000000"/>
          <w:sz w:val="20"/>
        </w:rPr>
        <w:t>6 Statistical quality and fitness for use</w:t>
      </w:r>
    </w:p>
    <w:p>
      <w:r>
        <w:rPr>
          <w:rFonts w:ascii="Aptos" w:hAnsi="Aptos"/>
          <w:color w:val="000000"/>
          <w:sz w:val="20"/>
        </w:rPr>
        <w:t>7 Data governance confidentiality and security</w:t>
      </w:r>
    </w:p>
    <w:p>
      <w:r>
        <w:rPr>
          <w:rFonts w:ascii="Aptos" w:hAnsi="Aptos"/>
          <w:color w:val="000000"/>
          <w:sz w:val="20"/>
        </w:rPr>
        <w:t>8 Human oversight documentation and reproducibility</w:t>
      </w:r>
    </w:p>
    <w:p>
      <w:r>
        <w:rPr>
          <w:rFonts w:ascii="Aptos" w:hAnsi="Aptos"/>
          <w:color w:val="000000"/>
          <w:sz w:val="20"/>
        </w:rPr>
        <w:t>9 Testing by AI use case type</w:t>
      </w:r>
    </w:p>
    <w:p>
      <w:r>
        <w:rPr>
          <w:rFonts w:ascii="Aptos" w:hAnsi="Aptos"/>
          <w:color w:val="000000"/>
          <w:sz w:val="20"/>
        </w:rPr>
        <w:t>10 Monitoring incidents and change control</w:t>
      </w:r>
    </w:p>
    <w:p>
      <w:r>
        <w:rPr>
          <w:rFonts w:ascii="Aptos" w:hAnsi="Aptos"/>
          <w:color w:val="000000"/>
          <w:sz w:val="20"/>
        </w:rPr>
        <w:t>11 Decision analysis and scale up</w:t>
      </w:r>
    </w:p>
    <w:p>
      <w:r>
        <w:rPr>
          <w:rFonts w:ascii="Aptos" w:hAnsi="Aptos"/>
          <w:color w:val="000000"/>
          <w:sz w:val="20"/>
        </w:rPr>
        <w:t>12 Proportionate implementation for different statistical systems</w:t>
      </w:r>
    </w:p>
    <w:p>
      <w:r>
        <w:rPr>
          <w:rFonts w:ascii="Aptos" w:hAnsi="Aptos"/>
          <w:color w:val="000000"/>
          <w:sz w:val="20"/>
        </w:rPr>
        <w:t>Annex A Pilot charter</w:t>
      </w:r>
    </w:p>
    <w:p>
      <w:r>
        <w:rPr>
          <w:rFonts w:ascii="Aptos" w:hAnsi="Aptos"/>
          <w:color w:val="000000"/>
          <w:sz w:val="20"/>
        </w:rPr>
        <w:t>Annex B Evaluation matrix</w:t>
      </w:r>
    </w:p>
    <w:p>
      <w:r>
        <w:rPr>
          <w:rFonts w:ascii="Aptos" w:hAnsi="Aptos"/>
          <w:color w:val="000000"/>
          <w:sz w:val="20"/>
        </w:rPr>
        <w:t>Annex C Data and security assessment</w:t>
      </w:r>
    </w:p>
    <w:p>
      <w:r>
        <w:rPr>
          <w:rFonts w:ascii="Aptos" w:hAnsi="Aptos"/>
          <w:color w:val="000000"/>
          <w:sz w:val="20"/>
        </w:rPr>
        <w:t>Annex D Statistical quality results</w:t>
      </w:r>
    </w:p>
    <w:p>
      <w:r>
        <w:rPr>
          <w:rFonts w:ascii="Aptos" w:hAnsi="Aptos"/>
          <w:color w:val="000000"/>
          <w:sz w:val="20"/>
        </w:rPr>
        <w:t>Annex E Human oversight and incident log</w:t>
      </w:r>
    </w:p>
    <w:p>
      <w:r>
        <w:rPr>
          <w:rFonts w:ascii="Aptos" w:hAnsi="Aptos"/>
          <w:color w:val="000000"/>
          <w:sz w:val="20"/>
        </w:rPr>
        <w:t>Annex F Final assurance case and decision record</w:t>
      </w:r>
    </w:p>
    <w:p>
      <w:r>
        <w:rPr>
          <w:rFonts w:ascii="Aptos" w:hAnsi="Aptos"/>
          <w:color w:val="000000"/>
          <w:sz w:val="20"/>
        </w:rPr>
        <w:t>Annex G Minimum evidence checklist</w:t>
      </w:r>
    </w:p>
    <w:p>
      <w:r>
        <w:rPr>
          <w:rFonts w:ascii="Aptos" w:hAnsi="Aptos"/>
          <w:color w:val="000000"/>
          <w:sz w:val="20"/>
        </w:rPr>
        <w:t>References</w:t>
      </w:r>
    </w:p>
    <w:p>
      <w:pPr>
        <w:pStyle w:val="Heading1"/>
      </w:pPr>
      <w:r>
        <w:rPr>
          <w:rFonts w:ascii="Aptos" w:hAnsi="Aptos"/>
          <w:color w:val="000000"/>
          <w:sz w:val="20"/>
        </w:rPr>
        <w:t>Executive summary</w:t>
      </w:r>
    </w:p>
    <w:p>
      <w:r>
        <w:rPr>
          <w:rFonts w:ascii="Aptos" w:hAnsi="Aptos"/>
          <w:color w:val="000000"/>
          <w:sz w:val="20"/>
        </w:rPr>
        <w:t>The protocol creates a disciplined path from a Phase 1E portfolio decision to a controlled pilot. It is intentionally stricter than an ordinary software trial because official statistics influence legislation, resource allocation, market expectations, social protection and public trust. The experiment must therefore test the complete statistical use, not merely whether a model produces plausible output.</w:t>
      </w:r>
    </w:p>
    <w:p>
      <w:r>
        <w:rPr>
          <w:rFonts w:ascii="Aptos" w:hAnsi="Aptos"/>
          <w:color w:val="000000"/>
          <w:sz w:val="20"/>
        </w:rPr>
        <w:t>A pilot has six authorization points: entry, design approval, data and environment clearance, test execution, results review and deployment decision. The accountable statistical owner remains responsible throughout. Technical teams may build and test the system, but they do not authorize statistical use or release.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8"/>
              </w:rPr>
              <w:t>Question</w:t>
            </w:r>
          </w:p>
        </w:tc>
        <w:tc>
          <w:tcPr>
            <w:tcW w:type="dxa" w:w="6768"/>
            <w:shd w:fill="17365D"/>
            <w:vAlign w:val="center"/>
            <w:tcMar>
              <w:top w:w="90" w:type="dxa"/>
              <w:start w:w="100" w:type="dxa"/>
              <w:bottom w:w="90" w:type="dxa"/>
              <w:end w:w="100" w:type="dxa"/>
            </w:tcMar>
          </w:tcPr>
          <w:p>
            <w:pPr>
              <w:keepLines/>
              <w:spacing w:after="0"/>
              <w:jc w:val="center"/>
            </w:pPr>
            <w:r>
              <w:rPr>
                <w:rFonts w:ascii="Aptos" w:hAnsi="Aptos"/>
                <w:b/>
                <w:color w:val="FFFFFF"/>
                <w:sz w:val="18"/>
              </w:rPr>
              <w:t>Required evidence before approval</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8"/>
              </w:rPr>
              <w:t>Does it solve a real statistical problem?</w:t>
            </w:r>
          </w:p>
        </w:tc>
        <w:tc>
          <w:tcPr>
            <w:tcW w:type="dxa" w:w="6768"/>
            <w:vAlign w:val="center"/>
            <w:tcMar>
              <w:top w:w="90" w:type="dxa"/>
              <w:start w:w="100" w:type="dxa"/>
              <w:bottom w:w="90" w:type="dxa"/>
              <w:end w:w="100" w:type="dxa"/>
            </w:tcMar>
          </w:tcPr>
          <w:p>
            <w:pPr>
              <w:keepLines/>
              <w:spacing w:after="0" w:line="240" w:lineRule="auto"/>
            </w:pPr>
            <w:r>
              <w:rPr>
                <w:rFonts w:ascii="Aptos" w:hAnsi="Aptos"/>
                <w:color w:val="000000"/>
                <w:sz w:val="18"/>
              </w:rPr>
              <w:t>A defined decision, population, output, baseline and expected public or statistical benefit.</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Is the comparison fair?</w:t>
            </w:r>
          </w:p>
        </w:tc>
        <w:tc>
          <w:tcPr>
            <w:tcW w:type="dxa" w:w="6768"/>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A frozen benchmark, representative test data, pre-specified metrics and acceptance thresholds.</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8"/>
              </w:rPr>
              <w:t>Is quality protected?</w:t>
            </w:r>
          </w:p>
        </w:tc>
        <w:tc>
          <w:tcPr>
            <w:tcW w:type="dxa" w:w="6768"/>
            <w:vAlign w:val="center"/>
            <w:tcMar>
              <w:top w:w="90" w:type="dxa"/>
              <w:start w:w="100" w:type="dxa"/>
              <w:bottom w:w="90" w:type="dxa"/>
              <w:end w:w="100" w:type="dxa"/>
            </w:tcMar>
          </w:tcPr>
          <w:p>
            <w:pPr>
              <w:keepLines/>
              <w:spacing w:after="0" w:line="240" w:lineRule="auto"/>
            </w:pPr>
            <w:r>
              <w:rPr>
                <w:rFonts w:ascii="Aptos" w:hAnsi="Aptos"/>
                <w:color w:val="000000"/>
                <w:sz w:val="18"/>
              </w:rPr>
              <w:t>Results across relevance, accuracy, timeliness, coherence, comparability, accessibility and interpretability, including subgroup and geographic performance.</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Are data and people protected?</w:t>
            </w:r>
          </w:p>
        </w:tc>
        <w:tc>
          <w:tcPr>
            <w:tcW w:type="dxa" w:w="6768"/>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Lawful access, purpose limitation, confidentiality controls, security testing and documented human oversight.</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8"/>
              </w:rPr>
              <w:t>Can the result be trusted and repeated?</w:t>
            </w:r>
          </w:p>
        </w:tc>
        <w:tc>
          <w:tcPr>
            <w:tcW w:type="dxa" w:w="6768"/>
            <w:vAlign w:val="center"/>
            <w:tcMar>
              <w:top w:w="90" w:type="dxa"/>
              <w:start w:w="100" w:type="dxa"/>
              <w:bottom w:w="90" w:type="dxa"/>
              <w:end w:w="100" w:type="dxa"/>
            </w:tcMar>
          </w:tcPr>
          <w:p>
            <w:pPr>
              <w:keepLines/>
              <w:spacing w:after="0" w:line="240" w:lineRule="auto"/>
            </w:pPr>
            <w:r>
              <w:rPr>
                <w:rFonts w:ascii="Aptos" w:hAnsi="Aptos"/>
                <w:color w:val="000000"/>
                <w:sz w:val="18"/>
              </w:rPr>
              <w:t>Versioned data, code, prompts, model configuration, logs, review records and an independent reproduction or verification step.</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Can the institution sustain it?</w:t>
            </w:r>
          </w:p>
        </w:tc>
        <w:tc>
          <w:tcPr>
            <w:tcW w:type="dxa" w:w="6768"/>
            <w:vAlign w:val="center"/>
            <w:tcMar>
              <w:top w:w="90" w:type="dxa"/>
              <w:start w:w="100" w:type="dxa"/>
              <w:bottom w:w="90" w:type="dxa"/>
              <w:end w:w="100" w:type="dxa"/>
            </w:tcMar>
            <w:shd w:fill="F3F6F9"/>
          </w:tcPr>
          <w:p>
            <w:pPr>
              <w:keepLines/>
              <w:spacing w:after="0" w:line="240" w:lineRule="auto"/>
            </w:pPr>
            <w:r>
              <w:rPr>
                <w:rFonts w:ascii="Aptos" w:hAnsi="Aptos"/>
                <w:color w:val="000000"/>
                <w:sz w:val="18"/>
              </w:rPr>
              <w:t>Named ownership, skills, cost, procurement, monitoring, incident response, vendor exit and fallback to a safe process.</w:t>
            </w:r>
          </w:p>
        </w:tc>
      </w:tr>
    </w:tbl>
    <w:p>
      <w:pPr>
        <w:spacing w:after="20"/>
      </w:pPr>
    </w:p>
    <w:p>
      <w:r>
        <w:rPr>
          <w:rFonts w:ascii="Aptos" w:hAnsi="Aptos"/>
          <w:color w:val="000000"/>
          <w:sz w:val="20"/>
        </w:rPr>
        <w:br w:type="page"/>
      </w:r>
    </w:p>
    <w:p>
      <w:pPr>
        <w:pStyle w:val="Heading1"/>
      </w:pPr>
      <w:r>
        <w:rPr>
          <w:rFonts w:ascii="Aptos" w:hAnsi="Aptos"/>
          <w:color w:val="000000"/>
          <w:sz w:val="20"/>
        </w:rPr>
        <w:t>1 Purpose scope and governing principles</w:t>
      </w:r>
    </w:p>
    <w:p>
      <w:pPr>
        <w:pStyle w:val="Heading2"/>
      </w:pPr>
      <w:r>
        <w:rPr>
          <w:rFonts w:ascii="Aptos" w:hAnsi="Aptos"/>
          <w:color w:val="000000"/>
          <w:sz w:val="20"/>
        </w:rPr>
        <w:t>1.1 Purpose</w:t>
      </w:r>
    </w:p>
    <w:p>
      <w:r>
        <w:rPr>
          <w:rFonts w:ascii="Aptos" w:hAnsi="Aptos"/>
          <w:color w:val="000000"/>
          <w:sz w:val="20"/>
        </w:rPr>
        <w:t>This protocol sets the minimum institutional, methodological, data, technical and ethical requirements for designing, running and deciding on an AI pilot in an official statistical process. It applies after a use case has passed initial screening under Phase 1E and before any operational deployment.</w:t>
      </w:r>
    </w:p>
    <w:p>
      <w:pPr>
        <w:pStyle w:val="Heading2"/>
      </w:pPr>
      <w:r>
        <w:rPr>
          <w:rFonts w:ascii="Aptos" w:hAnsi="Aptos"/>
          <w:color w:val="000000"/>
          <w:sz w:val="20"/>
        </w:rPr>
        <w:t>1.2 Scope</w:t>
      </w:r>
    </w:p>
    <w:p>
      <w:r>
        <w:rPr>
          <w:rFonts w:ascii="Aptos" w:hAnsi="Aptos"/>
          <w:color w:val="000000"/>
          <w:sz w:val="20"/>
        </w:rPr>
        <w:t>The protocol covers AI used in surveys and censuses, administrative records, geospatial and earth observation data, research and technological information, privately held data and integrated national information systems. It applies to generative AI, natural-language processing, computer vision, prediction and estimation, anomaly detection, record linkage, imputation, optimization and synthetic data.</w:t>
      </w:r>
    </w:p>
    <w:p>
      <w:r>
        <w:rPr>
          <w:rFonts w:ascii="Aptos" w:hAnsi="Aptos"/>
          <w:color w:val="000000"/>
          <w:sz w:val="20"/>
        </w:rPr>
        <w:t>It covers internal support tools when their outputs could influence confidential information, methodology, production decisions or public communication. It does not treat low-consequence experimentation as risk-free; it permits a lighter evidence burden where consequences are genuinely limited and reversible.</w:t>
      </w:r>
    </w:p>
    <w:p>
      <w:pPr>
        <w:pStyle w:val="Heading2"/>
      </w:pPr>
      <w:r>
        <w:rPr>
          <w:rFonts w:ascii="Aptos" w:hAnsi="Aptos"/>
          <w:color w:val="000000"/>
          <w:sz w:val="20"/>
        </w:rPr>
        <w:t>1.3 Governing principles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2448"/>
            <w:shd w:fill="17365D"/>
            <w:vAlign w:val="center"/>
            <w:tcMar>
              <w:top w:w="90" w:type="dxa"/>
              <w:start w:w="100" w:type="dxa"/>
              <w:bottom w:w="90" w:type="dxa"/>
              <w:end w:w="100" w:type="dxa"/>
            </w:tcMar>
          </w:tcPr>
          <w:p>
            <w:pPr>
              <w:keepLines/>
              <w:spacing w:after="0"/>
              <w:jc w:val="center"/>
            </w:pPr>
            <w:r>
              <w:rPr>
                <w:rFonts w:ascii="Aptos" w:hAnsi="Aptos"/>
                <w:b/>
                <w:color w:val="FFFFFF"/>
                <w:sz w:val="17"/>
              </w:rPr>
              <w:t>Principle</w:t>
            </w:r>
          </w:p>
        </w:tc>
        <w:tc>
          <w:tcPr>
            <w:tcW w:type="dxa" w:w="7200"/>
            <w:shd w:fill="17365D"/>
            <w:vAlign w:val="center"/>
            <w:tcMar>
              <w:top w:w="90" w:type="dxa"/>
              <w:start w:w="100" w:type="dxa"/>
              <w:bottom w:w="90" w:type="dxa"/>
              <w:end w:w="100" w:type="dxa"/>
            </w:tcMar>
          </w:tcPr>
          <w:p>
            <w:pPr>
              <w:keepLines/>
              <w:spacing w:after="0"/>
              <w:jc w:val="center"/>
            </w:pPr>
            <w:r>
              <w:rPr>
                <w:rFonts w:ascii="Aptos" w:hAnsi="Aptos"/>
                <w:b/>
                <w:color w:val="FFFFFF"/>
                <w:sz w:val="17"/>
              </w:rPr>
              <w:t>Operational meaning</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Statistical purpose</w:t>
            </w:r>
          </w:p>
        </w:tc>
        <w:tc>
          <w:tcPr>
            <w:tcW w:type="dxa" w:w="7200"/>
            <w:vAlign w:val="center"/>
            <w:tcMar>
              <w:top w:w="90" w:type="dxa"/>
              <w:start w:w="100" w:type="dxa"/>
              <w:bottom w:w="90" w:type="dxa"/>
              <w:end w:w="100" w:type="dxa"/>
            </w:tcMar>
          </w:tcPr>
          <w:p>
            <w:pPr>
              <w:keepLines/>
              <w:spacing w:after="0" w:line="240" w:lineRule="auto"/>
            </w:pPr>
            <w:r>
              <w:rPr>
                <w:rFonts w:ascii="Aptos" w:hAnsi="Aptos"/>
                <w:color w:val="000000"/>
                <w:sz w:val="17"/>
              </w:rPr>
              <w:t>The pilot starts from a defined information need and intended use, not from the availability of a model.</w:t>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Professional independence</w:t>
            </w:r>
          </w:p>
        </w:tc>
        <w:tc>
          <w:tcPr>
            <w:tcW w:type="dxa" w:w="72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Statistical authorities decide methods, thresholds, revisions and release. Vendors and political authorities do not determine statistical findings.</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Fitness for use</w:t>
            </w:r>
          </w:p>
        </w:tc>
        <w:tc>
          <w:tcPr>
            <w:tcW w:type="dxa" w:w="7200"/>
            <w:vAlign w:val="center"/>
            <w:tcMar>
              <w:top w:w="90" w:type="dxa"/>
              <w:start w:w="100" w:type="dxa"/>
              <w:bottom w:w="90" w:type="dxa"/>
              <w:end w:w="100" w:type="dxa"/>
            </w:tcMar>
          </w:tcPr>
          <w:p>
            <w:pPr>
              <w:keepLines/>
              <w:spacing w:after="0" w:line="240" w:lineRule="auto"/>
            </w:pPr>
            <w:r>
              <w:rPr>
                <w:rFonts w:ascii="Aptos" w:hAnsi="Aptos"/>
                <w:color w:val="000000"/>
                <w:sz w:val="17"/>
              </w:rPr>
              <w:t>Quality is judged against the actual decision and users, not against generic model performance.</w:t>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Confidentiality and purpose limitation</w:t>
            </w:r>
          </w:p>
        </w:tc>
        <w:tc>
          <w:tcPr>
            <w:tcW w:type="dxa" w:w="72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Individual data remain protected and are used only under approved authority and controls.</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Scientific validity</w:t>
            </w:r>
          </w:p>
        </w:tc>
        <w:tc>
          <w:tcPr>
            <w:tcW w:type="dxa" w:w="7200"/>
            <w:vAlign w:val="center"/>
            <w:tcMar>
              <w:top w:w="90" w:type="dxa"/>
              <w:start w:w="100" w:type="dxa"/>
              <w:bottom w:w="90" w:type="dxa"/>
              <w:end w:w="100" w:type="dxa"/>
            </w:tcMar>
          </w:tcPr>
          <w:p>
            <w:pPr>
              <w:keepLines/>
              <w:spacing w:after="0" w:line="240" w:lineRule="auto"/>
            </w:pPr>
            <w:r>
              <w:rPr>
                <w:rFonts w:ascii="Aptos" w:hAnsi="Aptos"/>
                <w:color w:val="000000"/>
                <w:sz w:val="17"/>
              </w:rPr>
              <w:t>Claims are testable, comparison is fair, uncertainty is measured and limitations are reported.</w:t>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Transparency and accountability</w:t>
            </w:r>
          </w:p>
        </w:tc>
        <w:tc>
          <w:tcPr>
            <w:tcW w:type="dxa" w:w="72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The institution can explain what was used, what changed, who decided and on what evidence.</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Human control</w:t>
            </w:r>
          </w:p>
        </w:tc>
        <w:tc>
          <w:tcPr>
            <w:tcW w:type="dxa" w:w="7200"/>
            <w:vAlign w:val="center"/>
            <w:tcMar>
              <w:top w:w="90" w:type="dxa"/>
              <w:start w:w="100" w:type="dxa"/>
              <w:bottom w:w="90" w:type="dxa"/>
              <w:end w:w="100" w:type="dxa"/>
            </w:tcMar>
          </w:tcPr>
          <w:p>
            <w:pPr>
              <w:keepLines/>
              <w:spacing w:after="0" w:line="240" w:lineRule="auto"/>
            </w:pPr>
            <w:r>
              <w:rPr>
                <w:rFonts w:ascii="Aptos" w:hAnsi="Aptos"/>
                <w:color w:val="000000"/>
                <w:sz w:val="17"/>
              </w:rPr>
              <w:t>Named officers can review, override, suspend and revert the system.</w:t>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Proportionality</w:t>
            </w:r>
          </w:p>
        </w:tc>
        <w:tc>
          <w:tcPr>
            <w:tcW w:type="dxa" w:w="72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Controls increase with consequence, scale, data sensitivity, autonomy and difficulty of correction.</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Sustainability</w:t>
            </w:r>
          </w:p>
        </w:tc>
        <w:tc>
          <w:tcPr>
            <w:tcW w:type="dxa" w:w="7200"/>
            <w:vAlign w:val="center"/>
            <w:tcMar>
              <w:top w:w="90" w:type="dxa"/>
              <w:start w:w="100" w:type="dxa"/>
              <w:bottom w:w="90" w:type="dxa"/>
              <w:end w:w="100" w:type="dxa"/>
            </w:tcMar>
          </w:tcPr>
          <w:p>
            <w:pPr>
              <w:keepLines/>
              <w:spacing w:after="0" w:line="240" w:lineRule="auto"/>
            </w:pPr>
            <w:r>
              <w:rPr>
                <w:rFonts w:ascii="Aptos" w:hAnsi="Aptos"/>
                <w:color w:val="000000"/>
                <w:sz w:val="17"/>
              </w:rPr>
              <w:t>The decision includes total cost, skills, infrastructure, vendor dependence and a safe exit path.</w:t>
            </w:r>
          </w:p>
        </w:tc>
      </w:tr>
    </w:tbl>
    <w:p>
      <w:pPr>
        <w:spacing w:after="20"/>
      </w:pPr>
    </w:p>
    <w:p>
      <w:pPr>
        <w:pStyle w:val="Heading2"/>
      </w:pPr>
      <w:r>
        <w:rPr>
          <w:rFonts w:ascii="Aptos" w:hAnsi="Aptos"/>
          <w:color w:val="000000"/>
          <w:sz w:val="20"/>
        </w:rPr>
        <w:t>1.4 Non-negotiable prohibitions</w:t>
      </w:r>
    </w:p>
    <w:p>
      <w:pPr>
        <w:pStyle w:val="ListBullet"/>
        <w:spacing w:after="60"/>
      </w:pPr>
      <w:r>
        <w:rPr>
          <w:rFonts w:ascii="Aptos" w:hAnsi="Aptos"/>
          <w:color w:val="000000"/>
          <w:sz w:val="20"/>
        </w:rPr>
        <w:t>No transfer of confidential statistical data to an unapproved service or environment.</w:t>
      </w:r>
    </w:p>
    <w:p>
      <w:pPr>
        <w:pStyle w:val="ListBullet"/>
        <w:spacing w:after="60"/>
      </w:pPr>
      <w:r>
        <w:rPr>
          <w:rFonts w:ascii="Aptos" w:hAnsi="Aptos"/>
          <w:color w:val="000000"/>
          <w:sz w:val="20"/>
        </w:rPr>
        <w:t>No autonomous publication, revision or suppression of official statistics.</w:t>
      </w:r>
    </w:p>
    <w:p>
      <w:pPr>
        <w:pStyle w:val="ListBullet"/>
        <w:spacing w:after="60"/>
      </w:pPr>
      <w:r>
        <w:rPr>
          <w:rFonts w:ascii="Aptos" w:hAnsi="Aptos"/>
          <w:color w:val="000000"/>
          <w:sz w:val="20"/>
        </w:rPr>
        <w:t>No use without an accountable statistical owner and documented legal authority.</w:t>
      </w:r>
    </w:p>
    <w:p>
      <w:pPr>
        <w:pStyle w:val="ListBullet"/>
        <w:spacing w:after="60"/>
      </w:pPr>
      <w:r>
        <w:rPr>
          <w:rFonts w:ascii="Aptos" w:hAnsi="Aptos"/>
          <w:color w:val="000000"/>
          <w:sz w:val="20"/>
        </w:rPr>
        <w:t>No material production decision based only on demonstrations, anecdotal examples or vendor-reported accuracy.</w:t>
      </w:r>
    </w:p>
    <w:p>
      <w:pPr>
        <w:pStyle w:val="ListBullet"/>
        <w:spacing w:after="60"/>
      </w:pPr>
      <w:r>
        <w:rPr>
          <w:rFonts w:ascii="Aptos" w:hAnsi="Aptos"/>
          <w:color w:val="000000"/>
          <w:sz w:val="20"/>
        </w:rPr>
        <w:t>No deployment when results cannot be reproduced, audited or safely reversed.</w:t>
      </w:r>
    </w:p>
    <w:p>
      <w:pPr>
        <w:pStyle w:val="ListBullet"/>
        <w:spacing w:after="60"/>
      </w:pPr>
      <w:r>
        <w:rPr>
          <w:rFonts w:ascii="Aptos" w:hAnsi="Aptos"/>
          <w:color w:val="000000"/>
          <w:sz w:val="20"/>
        </w:rPr>
        <w:t>No silent model, prompt, provider or data change after approval.</w:t>
      </w:r>
    </w:p>
    <w:p>
      <w:r>
        <w:rPr>
          <w:rFonts w:ascii="Aptos" w:hAnsi="Aptos"/>
          <w:color w:val="000000"/>
          <w:sz w:val="20"/>
        </w:rPr>
        <w:br w:type="page"/>
      </w:r>
    </w:p>
    <w:p>
      <w:pPr>
        <w:pStyle w:val="Heading1"/>
      </w:pPr>
      <w:r>
        <w:rPr>
          <w:rFonts w:ascii="Aptos" w:hAnsi="Aptos"/>
          <w:color w:val="000000"/>
          <w:sz w:val="20"/>
        </w:rPr>
        <w:t>2 Roles accountability and decision rights</w:t>
      </w:r>
    </w:p>
    <w:p>
      <w:r>
        <w:rPr>
          <w:rFonts w:ascii="Aptos" w:hAnsi="Aptos"/>
          <w:color w:val="000000"/>
          <w:sz w:val="20"/>
        </w:rPr>
        <w:t>The pilot must separate ownership, technical implementation, validation and authorization. One person may hold more than one role in a small institution, but the same person should not build, validate and approve a material use case without independent review.</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304"/>
            <w:shd w:fill="17365D"/>
            <w:vAlign w:val="center"/>
            <w:tcMar>
              <w:top w:w="90" w:type="dxa"/>
              <w:start w:w="100" w:type="dxa"/>
              <w:bottom w:w="90" w:type="dxa"/>
              <w:end w:w="100" w:type="dxa"/>
            </w:tcMar>
          </w:tcPr>
          <w:p>
            <w:pPr>
              <w:keepLines/>
              <w:spacing w:after="0"/>
              <w:jc w:val="center"/>
            </w:pPr>
            <w:r>
              <w:rPr>
                <w:rFonts w:ascii="Aptos" w:hAnsi="Aptos"/>
                <w:b/>
                <w:color w:val="FFFFFF"/>
                <w:sz w:val="16"/>
              </w:rPr>
              <w:t>Role</w:t>
            </w:r>
          </w:p>
        </w:tc>
        <w:tc>
          <w:tcPr>
            <w:tcW w:type="dxa" w:w="4320"/>
            <w:shd w:fill="17365D"/>
            <w:vAlign w:val="center"/>
            <w:tcMar>
              <w:top w:w="90" w:type="dxa"/>
              <w:start w:w="100" w:type="dxa"/>
              <w:bottom w:w="90" w:type="dxa"/>
              <w:end w:w="100" w:type="dxa"/>
            </w:tcMar>
          </w:tcPr>
          <w:p>
            <w:pPr>
              <w:keepLines/>
              <w:spacing w:after="0"/>
              <w:jc w:val="center"/>
            </w:pPr>
            <w:r>
              <w:rPr>
                <w:rFonts w:ascii="Aptos" w:hAnsi="Aptos"/>
                <w:b/>
                <w:color w:val="FFFFFF"/>
                <w:sz w:val="16"/>
              </w:rPr>
              <w:t>Core responsibility</w:t>
            </w:r>
          </w:p>
        </w:tc>
        <w:tc>
          <w:tcPr>
            <w:tcW w:type="dxa" w:w="3024"/>
            <w:shd w:fill="17365D"/>
            <w:vAlign w:val="center"/>
            <w:tcMar>
              <w:top w:w="90" w:type="dxa"/>
              <w:start w:w="100" w:type="dxa"/>
              <w:bottom w:w="90" w:type="dxa"/>
              <w:end w:w="100" w:type="dxa"/>
            </w:tcMar>
          </w:tcPr>
          <w:p>
            <w:pPr>
              <w:keepLines/>
              <w:spacing w:after="0"/>
              <w:jc w:val="center"/>
            </w:pPr>
            <w:r>
              <w:rPr>
                <w:rFonts w:ascii="Aptos" w:hAnsi="Aptos"/>
                <w:b/>
                <w:color w:val="FFFFFF"/>
                <w:sz w:val="16"/>
              </w:rPr>
              <w:t>Cannot delegate</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Accountable statistical owner</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Defines the use, accepts the baseline, approves quality thresholds and owns the statistical decision.</w:t>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6"/>
              </w:rPr>
              <w:t>Responsibility for fitness for use and official output.</w:t>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Pilot manager</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Maintains charter, schedule, evidence register, risks, decisions and closure.</w:t>
            </w:r>
          </w:p>
        </w:tc>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Complete and accurate pilot record.</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Methodologist or domain statistician</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Specifies estimand or classification target, evaluation design, error measures and benchmark.</w:t>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6"/>
              </w:rPr>
              <w:t>Professional judgement on statistical validity.</w:t>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Data steward or source owner</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Confirms provenance, legal authority, access, metadata, linkage and retention rules.</w:t>
            </w:r>
          </w:p>
        </w:tc>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Source authorization and data-quality disclosure.</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Privacy and legal reviewer</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Assesses legal basis, confidentiality, data protection and contractual terms.</w:t>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6"/>
              </w:rPr>
              <w:t>Required legal or privacy clearance.</w:t>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Security and technology reviewer</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Approves environment, architecture, identity controls, logging, resilience and supplier risk.</w:t>
            </w:r>
          </w:p>
        </w:tc>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Security acceptance within institutional authority.</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Independent validator</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Challenges design, reproduces key results and examines failure modes.</w:t>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6"/>
              </w:rPr>
              <w:t>Independent conclusion and documented reservations.</w:t>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Release authority</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Decides whether and how an approved method may enter production or dissemination.</w:t>
            </w:r>
          </w:p>
        </w:tc>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Release decision and public accountability.</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Users and affected-group representatives</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Test interpretability, relevance, burden and plausible harms.</w:t>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6"/>
              </w:rPr>
              <w:t>Their own evidence and concerns.</w:t>
            </w:r>
          </w:p>
        </w:tc>
      </w:tr>
    </w:tbl>
    <w:p>
      <w:pPr>
        <w:spacing w:after="20"/>
      </w:pPr>
    </w:p>
    <w:p>
      <w:pPr>
        <w:pStyle w:val="Heading2"/>
      </w:pPr>
      <w:r>
        <w:rPr>
          <w:rFonts w:ascii="Aptos" w:hAnsi="Aptos"/>
          <w:color w:val="000000"/>
          <w:sz w:val="20"/>
        </w:rPr>
        <w:t>2.1 Required decision bodies</w:t>
      </w:r>
    </w:p>
    <w:p>
      <w:r>
        <w:rPr>
          <w:rFonts w:ascii="Aptos" w:hAnsi="Aptos"/>
          <w:color w:val="000000"/>
          <w:sz w:val="20"/>
        </w:rPr>
        <w:t>Each institution should designate an AI statistical assurance group or assign equivalent duties to an existing methodology, data governance or quality committee. In a decentralized national statistical system, sector producers may conduct pilots, while the NSO or coordinating body sets minimum rules, supports shared infrastructure and reviews cross-system comparability and high-consequence cases.</w:t>
      </w:r>
    </w:p>
    <w:p>
      <w:pPr>
        <w:pStyle w:val="Heading2"/>
      </w:pPr>
      <w:r>
        <w:rPr>
          <w:rFonts w:ascii="Aptos" w:hAnsi="Aptos"/>
          <w:color w:val="000000"/>
          <w:sz w:val="20"/>
        </w:rPr>
        <w:t>2.2 Conflict and escalation</w:t>
      </w:r>
    </w:p>
    <w:p>
      <w:r>
        <w:rPr>
          <w:rFonts w:ascii="Aptos" w:hAnsi="Aptos"/>
          <w:color w:val="000000"/>
          <w:sz w:val="20"/>
        </w:rPr>
        <w:t>Disagreement is recorded, not averaged away. A privacy, security, legal or statistical owner refusal stops the affected activity until the competent authority resolves it. The final decision record must retain minority or conditional opinions and identify the authority that accepted any residual risk.</w:t>
      </w:r>
    </w:p>
    <w:p>
      <w:r>
        <w:rPr>
          <w:rFonts w:ascii="Aptos" w:hAnsi="Aptos"/>
          <w:color w:val="000000"/>
          <w:sz w:val="20"/>
        </w:rPr>
        <w:br w:type="page"/>
      </w:r>
    </w:p>
    <w:p>
      <w:pPr>
        <w:pStyle w:val="Heading1"/>
      </w:pPr>
      <w:r>
        <w:rPr>
          <w:rFonts w:ascii="Aptos" w:hAnsi="Aptos"/>
          <w:color w:val="000000"/>
          <w:sz w:val="20"/>
        </w:rPr>
        <w:t>3 Pilot lifecycle and authorization points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6"/>
              </w:rPr>
              <w:t>Stage</w:t>
            </w:r>
          </w:p>
        </w:tc>
        <w:tc>
          <w:tcPr>
            <w:tcW w:type="dxa" w:w="4608"/>
            <w:shd w:fill="17365D"/>
            <w:vAlign w:val="center"/>
            <w:tcMar>
              <w:top w:w="90" w:type="dxa"/>
              <w:start w:w="100" w:type="dxa"/>
              <w:bottom w:w="90" w:type="dxa"/>
              <w:end w:w="100" w:type="dxa"/>
            </w:tcMar>
          </w:tcPr>
          <w:p>
            <w:pPr>
              <w:keepLines/>
              <w:spacing w:after="0"/>
              <w:jc w:val="center"/>
            </w:pPr>
            <w:r>
              <w:rPr>
                <w:rFonts w:ascii="Aptos" w:hAnsi="Aptos"/>
                <w:b/>
                <w:color w:val="FFFFFF"/>
                <w:sz w:val="16"/>
              </w:rPr>
              <w:t>Required output</w:t>
            </w:r>
          </w:p>
        </w:tc>
        <w:tc>
          <w:tcPr>
            <w:tcW w:type="dxa" w:w="3312"/>
            <w:shd w:fill="17365D"/>
            <w:vAlign w:val="center"/>
            <w:tcMar>
              <w:top w:w="90" w:type="dxa"/>
              <w:start w:w="100" w:type="dxa"/>
              <w:bottom w:w="90" w:type="dxa"/>
              <w:end w:w="100" w:type="dxa"/>
            </w:tcMar>
          </w:tcPr>
          <w:p>
            <w:pPr>
              <w:keepLines/>
              <w:spacing w:after="0"/>
              <w:jc w:val="center"/>
            </w:pPr>
            <w:r>
              <w:rPr>
                <w:rFonts w:ascii="Aptos" w:hAnsi="Aptos"/>
                <w:b/>
                <w:color w:val="FFFFFF"/>
                <w:sz w:val="16"/>
              </w:rPr>
              <w:t>Authorization to proceed</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0 Portfolio selection</w:t>
            </w:r>
          </w:p>
        </w:tc>
        <w:tc>
          <w:tcPr>
            <w:tcW w:type="dxa" w:w="4608"/>
            <w:vAlign w:val="center"/>
            <w:tcMar>
              <w:top w:w="90" w:type="dxa"/>
              <w:start w:w="100" w:type="dxa"/>
              <w:bottom w:w="90" w:type="dxa"/>
              <w:end w:w="100" w:type="dxa"/>
            </w:tcMar>
          </w:tcPr>
          <w:p>
            <w:pPr>
              <w:keepLines/>
              <w:spacing w:after="0" w:line="240" w:lineRule="auto"/>
            </w:pPr>
            <w:r>
              <w:rPr>
                <w:rFonts w:ascii="Aptos" w:hAnsi="Aptos"/>
                <w:color w:val="000000"/>
                <w:sz w:val="16"/>
              </w:rPr>
              <w:t>Phase 1E record, preliminary score and gate result.</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Use case accepted for pilot design only.</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1 Charter</w:t>
            </w:r>
          </w:p>
        </w:tc>
        <w:tc>
          <w:tcPr>
            <w:tcW w:type="dxa" w:w="460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Scope, users, baseline, claims, consequences, resources and owner.</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Accountable owner approves design work.</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2 Design</w:t>
            </w:r>
          </w:p>
        </w:tc>
        <w:tc>
          <w:tcPr>
            <w:tcW w:type="dxa" w:w="4608"/>
            <w:vAlign w:val="center"/>
            <w:tcMar>
              <w:top w:w="90" w:type="dxa"/>
              <w:start w:w="100" w:type="dxa"/>
              <w:bottom w:w="90" w:type="dxa"/>
              <w:end w:w="100" w:type="dxa"/>
            </w:tcMar>
          </w:tcPr>
          <w:p>
            <w:pPr>
              <w:keepLines/>
              <w:spacing w:after="0" w:line="240" w:lineRule="auto"/>
            </w:pPr>
            <w:r>
              <w:rPr>
                <w:rFonts w:ascii="Aptos" w:hAnsi="Aptos"/>
                <w:color w:val="000000"/>
                <w:sz w:val="16"/>
              </w:rPr>
              <w:t>Evaluation plan, data split, metrics, thresholds, subgroup tests and stopping rules.</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Methodology and independent validation approval.</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3 Clearance</w:t>
            </w:r>
          </w:p>
        </w:tc>
        <w:tc>
          <w:tcPr>
            <w:tcW w:type="dxa" w:w="460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Data, privacy, legal, security, procurement and environment evidence.</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All mandatory clearances recorded.</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4 Controlled execution</w:t>
            </w:r>
          </w:p>
        </w:tc>
        <w:tc>
          <w:tcPr>
            <w:tcW w:type="dxa" w:w="4608"/>
            <w:vAlign w:val="center"/>
            <w:tcMar>
              <w:top w:w="90" w:type="dxa"/>
              <w:start w:w="100" w:type="dxa"/>
              <w:bottom w:w="90" w:type="dxa"/>
              <w:end w:w="100" w:type="dxa"/>
            </w:tcMar>
          </w:tcPr>
          <w:p>
            <w:pPr>
              <w:keepLines/>
              <w:spacing w:after="0" w:line="240" w:lineRule="auto"/>
            </w:pPr>
            <w:r>
              <w:rPr>
                <w:rFonts w:ascii="Aptos" w:hAnsi="Aptos"/>
                <w:color w:val="000000"/>
                <w:sz w:val="16"/>
              </w:rPr>
              <w:t>Locked test, logs, exceptions, model and data versions, human-review records.</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No production influence unless explicitly authorized.</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5 Assurance review</w:t>
            </w:r>
          </w:p>
        </w:tc>
        <w:tc>
          <w:tcPr>
            <w:tcW w:type="dxa" w:w="460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Results, limitations, cost, incidents, residual risk and assurance case.</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Committee recommendation.</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6 Decision and transition</w:t>
            </w:r>
          </w:p>
        </w:tc>
        <w:tc>
          <w:tcPr>
            <w:tcW w:type="dxa" w:w="4608"/>
            <w:vAlign w:val="center"/>
            <w:tcMar>
              <w:top w:w="90" w:type="dxa"/>
              <w:start w:w="100" w:type="dxa"/>
              <w:bottom w:w="90" w:type="dxa"/>
              <w:end w:w="100" w:type="dxa"/>
            </w:tcMar>
          </w:tcPr>
          <w:p>
            <w:pPr>
              <w:keepLines/>
              <w:spacing w:after="0" w:line="240" w:lineRule="auto"/>
            </w:pPr>
            <w:r>
              <w:rPr>
                <w:rFonts w:ascii="Aptos" w:hAnsi="Aptos"/>
                <w:color w:val="000000"/>
                <w:sz w:val="16"/>
              </w:rPr>
              <w:t>Approve, approve conditionally, extend, redesign, reject or close.</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Release authority decision.</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7 Monitored operation</w:t>
            </w:r>
          </w:p>
        </w:tc>
        <w:tc>
          <w:tcPr>
            <w:tcW w:type="dxa" w:w="460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Performance surveillance, drift tests, incident response, review dates and fallback.</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Continued use remains conditional on monitoring.</w:t>
            </w:r>
          </w:p>
        </w:tc>
      </w:tr>
    </w:tbl>
    <w:p>
      <w:pPr>
        <w:spacing w:after="20"/>
      </w:pPr>
    </w:p>
    <w:p>
      <w:pPr>
        <w:pStyle w:val="Heading2"/>
      </w:pPr>
      <w:r>
        <w:rPr>
          <w:rFonts w:ascii="Aptos" w:hAnsi="Aptos"/>
          <w:color w:val="000000"/>
          <w:sz w:val="20"/>
        </w:rPr>
        <w:t>3.1 Gate logic</w:t>
      </w:r>
    </w:p>
    <w:p>
      <w:r>
        <w:rPr>
          <w:rFonts w:ascii="Aptos" w:hAnsi="Aptos"/>
          <w:color w:val="000000"/>
          <w:sz w:val="20"/>
        </w:rPr>
        <w:t>Gates are conjunctive, not compensatory. Strong timeliness or cost results cannot compensate for a failed confidentiality, legal, security or methodological gate. A conditional gate must state the unmet element, interim safeguard, responsible owner and due date. If the condition is not closed by the due date, authorization expires.</w:t>
      </w:r>
    </w:p>
    <w:p>
      <w:pPr>
        <w:pStyle w:val="Heading2"/>
      </w:pPr>
      <w:r>
        <w:rPr>
          <w:rFonts w:ascii="Aptos" w:hAnsi="Aptos"/>
          <w:color w:val="000000"/>
          <w:sz w:val="20"/>
        </w:rPr>
        <w:t>3.2 Controlled environment</w:t>
      </w:r>
    </w:p>
    <w:p>
      <w:pPr>
        <w:pStyle w:val="ListBullet"/>
        <w:spacing w:after="60"/>
      </w:pPr>
      <w:r>
        <w:rPr>
          <w:rFonts w:ascii="Aptos" w:hAnsi="Aptos"/>
          <w:color w:val="000000"/>
          <w:sz w:val="20"/>
        </w:rPr>
        <w:t>Use a segregated workspace with approved access controls and logging.</w:t>
      </w:r>
    </w:p>
    <w:p>
      <w:pPr>
        <w:pStyle w:val="ListBullet"/>
        <w:spacing w:after="60"/>
      </w:pPr>
      <w:r>
        <w:rPr>
          <w:rFonts w:ascii="Aptos" w:hAnsi="Aptos"/>
          <w:color w:val="000000"/>
          <w:sz w:val="20"/>
        </w:rPr>
        <w:t>Use de-identified, synthetic or public data during early technical exploration whenever possible.</w:t>
      </w:r>
    </w:p>
    <w:p>
      <w:pPr>
        <w:pStyle w:val="ListBullet"/>
        <w:spacing w:after="60"/>
      </w:pPr>
      <w:r>
        <w:rPr>
          <w:rFonts w:ascii="Aptos" w:hAnsi="Aptos"/>
          <w:color w:val="000000"/>
          <w:sz w:val="20"/>
        </w:rPr>
        <w:t>Do not allow test output to overwrite source data, production registers or released series.</w:t>
      </w:r>
    </w:p>
    <w:p>
      <w:pPr>
        <w:pStyle w:val="ListBullet"/>
        <w:spacing w:after="60"/>
      </w:pPr>
      <w:r>
        <w:rPr>
          <w:rFonts w:ascii="Aptos" w:hAnsi="Aptos"/>
          <w:color w:val="000000"/>
          <w:sz w:val="20"/>
        </w:rPr>
        <w:t>Maintain a working fallback and a clear mechanism to disable the AI component.</w:t>
      </w:r>
    </w:p>
    <w:p>
      <w:pPr>
        <w:pStyle w:val="ListBullet"/>
        <w:spacing w:after="60"/>
      </w:pPr>
      <w:r>
        <w:rPr>
          <w:rFonts w:ascii="Aptos" w:hAnsi="Aptos"/>
          <w:color w:val="000000"/>
          <w:sz w:val="20"/>
        </w:rPr>
        <w:t>Record every external model, library, dataset and service dependency.</w:t>
      </w:r>
    </w:p>
    <w:p>
      <w:pPr>
        <w:pStyle w:val="Heading2"/>
      </w:pPr>
      <w:r>
        <w:rPr>
          <w:rFonts w:ascii="Aptos" w:hAnsi="Aptos"/>
          <w:color w:val="000000"/>
          <w:sz w:val="20"/>
        </w:rPr>
        <w:t>3.3 Pilot closure</w:t>
      </w:r>
    </w:p>
    <w:p>
      <w:r>
        <w:rPr>
          <w:rFonts w:ascii="Aptos" w:hAnsi="Aptos"/>
          <w:color w:val="000000"/>
          <w:sz w:val="20"/>
        </w:rPr>
        <w:t>Every pilot closes formally, including unsuccessful pilots. Closure records what was learned, what data and artefacts must be retained or destroyed, whether obligations to suppliers remain, and whether the use case returns to the portfolio for redesign.</w:t>
      </w:r>
    </w:p>
    <w:p>
      <w:r>
        <w:rPr>
          <w:rFonts w:ascii="Aptos" w:hAnsi="Aptos"/>
          <w:color w:val="000000"/>
          <w:sz w:val="20"/>
        </w:rPr>
        <w:br w:type="page"/>
      </w:r>
    </w:p>
    <w:p>
      <w:pPr>
        <w:pStyle w:val="Heading1"/>
      </w:pPr>
      <w:r>
        <w:rPr>
          <w:rFonts w:ascii="Aptos" w:hAnsi="Aptos"/>
          <w:color w:val="000000"/>
          <w:sz w:val="20"/>
        </w:rPr>
        <w:t>4 Pilot charter and testable claims</w:t>
      </w:r>
    </w:p>
    <w:p>
      <w:pPr>
        <w:pStyle w:val="Heading2"/>
      </w:pPr>
      <w:r>
        <w:rPr>
          <w:rFonts w:ascii="Aptos" w:hAnsi="Aptos"/>
          <w:color w:val="000000"/>
          <w:sz w:val="20"/>
        </w:rPr>
        <w:t>4.1 Define the statistical decision</w:t>
      </w:r>
    </w:p>
    <w:p>
      <w:r>
        <w:rPr>
          <w:rFonts w:ascii="Aptos" w:hAnsi="Aptos"/>
          <w:color w:val="000000"/>
          <w:sz w:val="20"/>
        </w:rPr>
        <w:t>The charter identifies the official statistical output or production decision affected, the users and decisions served, the target population or units, the production stage, the required frequency and timeliness, and the acceptable consequences of error. Broad goals such as improve efficiency are insufficient.</w:t>
      </w:r>
    </w:p>
    <w:p>
      <w:pPr>
        <w:pStyle w:val="Heading2"/>
      </w:pPr>
      <w:r>
        <w:rPr>
          <w:rFonts w:ascii="Aptos" w:hAnsi="Aptos"/>
          <w:color w:val="000000"/>
          <w:sz w:val="20"/>
        </w:rPr>
        <w:t>4.2 State testable claims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800"/>
            <w:shd w:fill="17365D"/>
            <w:vAlign w:val="center"/>
            <w:tcMar>
              <w:top w:w="90" w:type="dxa"/>
              <w:start w:w="100" w:type="dxa"/>
              <w:bottom w:w="90" w:type="dxa"/>
              <w:end w:w="100" w:type="dxa"/>
            </w:tcMar>
          </w:tcPr>
          <w:p>
            <w:pPr>
              <w:keepLines/>
              <w:spacing w:after="0"/>
              <w:jc w:val="center"/>
            </w:pPr>
            <w:r>
              <w:rPr>
                <w:rFonts w:ascii="Aptos" w:hAnsi="Aptos"/>
                <w:b/>
                <w:color w:val="FFFFFF"/>
                <w:sz w:val="17"/>
              </w:rPr>
              <w:t>Claim type</w:t>
            </w:r>
          </w:p>
        </w:tc>
        <w:tc>
          <w:tcPr>
            <w:tcW w:type="dxa" w:w="3240"/>
            <w:shd w:fill="17365D"/>
            <w:vAlign w:val="center"/>
            <w:tcMar>
              <w:top w:w="90" w:type="dxa"/>
              <w:start w:w="100" w:type="dxa"/>
              <w:bottom w:w="90" w:type="dxa"/>
              <w:end w:w="100" w:type="dxa"/>
            </w:tcMar>
          </w:tcPr>
          <w:p>
            <w:pPr>
              <w:keepLines/>
              <w:spacing w:after="0"/>
              <w:jc w:val="center"/>
            </w:pPr>
            <w:r>
              <w:rPr>
                <w:rFonts w:ascii="Aptos" w:hAnsi="Aptos"/>
                <w:b/>
                <w:color w:val="FFFFFF"/>
                <w:sz w:val="17"/>
              </w:rPr>
              <w:t>Weak statement</w:t>
            </w:r>
          </w:p>
        </w:tc>
        <w:tc>
          <w:tcPr>
            <w:tcW w:type="dxa" w:w="4968"/>
            <w:shd w:fill="17365D"/>
            <w:vAlign w:val="center"/>
            <w:tcMar>
              <w:top w:w="90" w:type="dxa"/>
              <w:start w:w="100" w:type="dxa"/>
              <w:bottom w:w="90" w:type="dxa"/>
              <w:end w:w="100" w:type="dxa"/>
            </w:tcMar>
          </w:tcPr>
          <w:p>
            <w:pPr>
              <w:keepLines/>
              <w:spacing w:after="0"/>
              <w:jc w:val="center"/>
            </w:pPr>
            <w:r>
              <w:rPr>
                <w:rFonts w:ascii="Aptos" w:hAnsi="Aptos"/>
                <w:b/>
                <w:color w:val="FFFFFF"/>
                <w:sz w:val="17"/>
              </w:rPr>
              <w:t>Testable statement</w:t>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7"/>
              </w:rPr>
              <w:t>Accuracy</w:t>
            </w:r>
          </w:p>
        </w:tc>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The model codes responses well.</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On the frozen test set, weighted macro F1 is at least 0.90 and no priority class falls below 0.80.</w:t>
            </w:r>
          </w:p>
        </w:tc>
      </w:tr>
      <w:tr>
        <w:trPr>
          <w:trHeight w:hRule="atLeast"/>
        </w:trPr>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Efficiency</w:t>
            </w:r>
          </w:p>
        </w:tc>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AI will save time.</w:t>
            </w:r>
          </w:p>
        </w:tc>
        <w:tc>
          <w:tcPr>
            <w:tcW w:type="dxa" w:w="496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Median coder minutes per 1,000 records fall by at least 30 percent without increasing weighted error beyond the non-inferiority margin.</w:t>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7"/>
              </w:rPr>
              <w:t>Timeliness</w:t>
            </w:r>
          </w:p>
        </w:tc>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Estimates will be faster.</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Preliminary crop-area estimates are available 21 days earlier with absolute relative bias below the approved threshold.</w:t>
            </w:r>
          </w:p>
        </w:tc>
      </w:tr>
      <w:tr>
        <w:trPr>
          <w:trHeight w:hRule="atLeast"/>
        </w:trPr>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Equity</w:t>
            </w:r>
          </w:p>
        </w:tc>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Performance is fair.</w:t>
            </w:r>
          </w:p>
        </w:tc>
        <w:tc>
          <w:tcPr>
            <w:tcW w:type="dxa" w:w="496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The error-rate ratio between specified geographic or population groups remains within the approved range, with uncertainty reported.</w:t>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7"/>
              </w:rPr>
              <w:t>Interpretability</w:t>
            </w:r>
          </w:p>
        </w:tc>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Users will understand it.</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At least 80 percent of trained reviewers correctly interpret the output, uncertainty and escalation instruction in a structured usability test.</w:t>
            </w:r>
          </w:p>
        </w:tc>
      </w:tr>
    </w:tbl>
    <w:p>
      <w:pPr>
        <w:spacing w:after="20"/>
      </w:pPr>
    </w:p>
    <w:p>
      <w:pPr>
        <w:pStyle w:val="Heading2"/>
      </w:pPr>
      <w:r>
        <w:rPr>
          <w:rFonts w:ascii="Aptos" w:hAnsi="Aptos"/>
          <w:color w:val="000000"/>
          <w:sz w:val="20"/>
        </w:rPr>
        <w:t>4.3 Specify boundaries</w:t>
      </w:r>
    </w:p>
    <w:p>
      <w:pPr>
        <w:pStyle w:val="ListBullet"/>
        <w:spacing w:after="60"/>
      </w:pPr>
      <w:r>
        <w:rPr>
          <w:rFonts w:ascii="Aptos" w:hAnsi="Aptos"/>
          <w:color w:val="000000"/>
          <w:sz w:val="20"/>
        </w:rPr>
        <w:t>In scope and out of scope data, populations, geography, periods and production stages.</w:t>
      </w:r>
    </w:p>
    <w:p>
      <w:pPr>
        <w:pStyle w:val="ListBullet"/>
        <w:spacing w:after="60"/>
      </w:pPr>
      <w:r>
        <w:rPr>
          <w:rFonts w:ascii="Aptos" w:hAnsi="Aptos"/>
          <w:color w:val="000000"/>
          <w:sz w:val="20"/>
        </w:rPr>
        <w:t>What the AI may recommend, generate or flag, and what it may never decide.</w:t>
      </w:r>
    </w:p>
    <w:p>
      <w:pPr>
        <w:pStyle w:val="ListBullet"/>
        <w:spacing w:after="60"/>
      </w:pPr>
      <w:r>
        <w:rPr>
          <w:rFonts w:ascii="Aptos" w:hAnsi="Aptos"/>
          <w:color w:val="000000"/>
          <w:sz w:val="20"/>
        </w:rPr>
        <w:t>Which users may access it and which outputs may leave the environment.</w:t>
      </w:r>
    </w:p>
    <w:p>
      <w:pPr>
        <w:pStyle w:val="ListBullet"/>
        <w:spacing w:after="60"/>
      </w:pPr>
      <w:r>
        <w:rPr>
          <w:rFonts w:ascii="Aptos" w:hAnsi="Aptos"/>
          <w:color w:val="000000"/>
          <w:sz w:val="20"/>
        </w:rPr>
        <w:t>Maximum pilot duration, record volume and cost.</w:t>
      </w:r>
    </w:p>
    <w:p>
      <w:pPr>
        <w:pStyle w:val="ListBullet"/>
        <w:spacing w:after="60"/>
      </w:pPr>
      <w:r>
        <w:rPr>
          <w:rFonts w:ascii="Aptos" w:hAnsi="Aptos"/>
          <w:color w:val="000000"/>
          <w:sz w:val="20"/>
        </w:rPr>
        <w:t>Conditions that trigger pause, rollback or termination.</w:t>
      </w:r>
    </w:p>
    <w:p>
      <w:pPr>
        <w:pStyle w:val="Heading2"/>
      </w:pPr>
      <w:r>
        <w:rPr>
          <w:rFonts w:ascii="Aptos" w:hAnsi="Aptos"/>
          <w:color w:val="000000"/>
          <w:sz w:val="20"/>
        </w:rPr>
        <w:t>4.4 Consequence assessment</w:t>
      </w:r>
    </w:p>
    <w:p>
      <w:r>
        <w:rPr>
          <w:rFonts w:ascii="Aptos" w:hAnsi="Aptos"/>
          <w:color w:val="000000"/>
          <w:sz w:val="20"/>
        </w:rPr>
        <w:t>Rate the plausible consequence of an error, disclosure, exclusion or service failure. Consider individuals, population groups, geographic areas, official aggregates, institutional credibility and downstream government decisions. The rating determines independent-review depth, required sample size, monitoring frequency and approval level.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6"/>
              </w:rPr>
              <w:t>Level</w:t>
            </w:r>
          </w:p>
        </w:tc>
        <w:tc>
          <w:tcPr>
            <w:tcW w:type="dxa" w:w="4896"/>
            <w:shd w:fill="17365D"/>
            <w:vAlign w:val="center"/>
            <w:tcMar>
              <w:top w:w="90" w:type="dxa"/>
              <w:start w:w="100" w:type="dxa"/>
              <w:bottom w:w="90" w:type="dxa"/>
              <w:end w:w="100" w:type="dxa"/>
            </w:tcMar>
          </w:tcPr>
          <w:p>
            <w:pPr>
              <w:keepLines/>
              <w:spacing w:after="0"/>
              <w:jc w:val="center"/>
            </w:pPr>
            <w:r>
              <w:rPr>
                <w:rFonts w:ascii="Aptos" w:hAnsi="Aptos"/>
                <w:b/>
                <w:color w:val="FFFFFF"/>
                <w:sz w:val="16"/>
              </w:rPr>
              <w:t>Typical consequence</w:t>
            </w:r>
          </w:p>
        </w:tc>
        <w:tc>
          <w:tcPr>
            <w:tcW w:type="dxa" w:w="3672"/>
            <w:shd w:fill="17365D"/>
            <w:vAlign w:val="center"/>
            <w:tcMar>
              <w:top w:w="90" w:type="dxa"/>
              <w:start w:w="100" w:type="dxa"/>
              <w:bottom w:w="90" w:type="dxa"/>
              <w:end w:w="100" w:type="dxa"/>
            </w:tcMar>
          </w:tcPr>
          <w:p>
            <w:pPr>
              <w:keepLines/>
              <w:spacing w:after="0"/>
              <w:jc w:val="center"/>
            </w:pPr>
            <w:r>
              <w:rPr>
                <w:rFonts w:ascii="Aptos" w:hAnsi="Aptos"/>
                <w:b/>
                <w:color w:val="FFFFFF"/>
                <w:sz w:val="16"/>
              </w:rPr>
              <w:t>Minimum treatment</w:t>
            </w:r>
          </w:p>
        </w:tc>
      </w:tr>
      <w:tr>
        <w:trPr>
          <w:trHeight w:hRule="atLeast"/>
        </w:trPr>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6"/>
              </w:rPr>
              <w:t>Low</w:t>
            </w:r>
          </w:p>
        </w:tc>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Internal assistance with easy correction and no confidential or public output.</w:t>
            </w:r>
          </w:p>
        </w:tc>
        <w:tc>
          <w:tcPr>
            <w:tcW w:type="dxa" w:w="3672"/>
            <w:vAlign w:val="center"/>
            <w:tcMar>
              <w:top w:w="90" w:type="dxa"/>
              <w:start w:w="100" w:type="dxa"/>
              <w:bottom w:w="90" w:type="dxa"/>
              <w:end w:w="100" w:type="dxa"/>
            </w:tcMar>
          </w:tcPr>
          <w:p>
            <w:pPr>
              <w:keepLines/>
              <w:spacing w:after="0" w:line="240" w:lineRule="auto"/>
            </w:pPr>
            <w:r>
              <w:rPr>
                <w:rFonts w:ascii="Aptos" w:hAnsi="Aptos"/>
                <w:color w:val="000000"/>
                <w:sz w:val="16"/>
              </w:rPr>
              <w:t>Documented owner review and basic test.</w:t>
            </w:r>
          </w:p>
        </w:tc>
      </w:tr>
      <w:tr>
        <w:trPr>
          <w:trHeight w:hRule="atLeast"/>
        </w:trPr>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Moderate</w:t>
            </w:r>
          </w:p>
        </w:tc>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Material production efficiency or quality effect, but errors are detectable and reversible before release.</w:t>
            </w:r>
          </w:p>
        </w:tc>
        <w:tc>
          <w:tcPr>
            <w:tcW w:type="dxa" w:w="367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Independent validation and representative test.</w:t>
            </w:r>
          </w:p>
        </w:tc>
      </w:tr>
      <w:tr>
        <w:trPr>
          <w:trHeight w:hRule="atLeast"/>
        </w:trPr>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6"/>
              </w:rPr>
              <w:t>High</w:t>
            </w:r>
          </w:p>
        </w:tc>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Possible effect on official estimates, eligibility, resource allocation or sensitive groups.</w:t>
            </w:r>
          </w:p>
        </w:tc>
        <w:tc>
          <w:tcPr>
            <w:tcW w:type="dxa" w:w="3672"/>
            <w:vAlign w:val="center"/>
            <w:tcMar>
              <w:top w:w="90" w:type="dxa"/>
              <w:start w:w="100" w:type="dxa"/>
              <w:bottom w:w="90" w:type="dxa"/>
              <w:end w:w="100" w:type="dxa"/>
            </w:tcMar>
          </w:tcPr>
          <w:p>
            <w:pPr>
              <w:keepLines/>
              <w:spacing w:after="0" w:line="240" w:lineRule="auto"/>
            </w:pPr>
            <w:r>
              <w:rPr>
                <w:rFonts w:ascii="Aptos" w:hAnsi="Aptos"/>
                <w:color w:val="000000"/>
                <w:sz w:val="16"/>
              </w:rPr>
              <w:t>Formal assurance committee, subgroup analysis, security testing and shadow operation.</w:t>
            </w:r>
          </w:p>
        </w:tc>
      </w:tr>
      <w:tr>
        <w:trPr>
          <w:trHeight w:hRule="atLeast"/>
        </w:trPr>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Very high</w:t>
            </w:r>
          </w:p>
        </w:tc>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Difficult-to-reverse public, legal, safety or rights consequence.</w:t>
            </w:r>
          </w:p>
        </w:tc>
        <w:tc>
          <w:tcPr>
            <w:tcW w:type="dxa" w:w="367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Executive authorization, external or cross-institutional challenge where feasible, and strict proof of necessity.</w:t>
            </w:r>
          </w:p>
        </w:tc>
      </w:tr>
    </w:tbl>
    <w:p>
      <w:pPr>
        <w:spacing w:after="20"/>
      </w:pPr>
    </w:p>
    <w:p>
      <w:pPr>
        <w:pStyle w:val="Heading1"/>
      </w:pPr>
      <w:r>
        <w:rPr>
          <w:rFonts w:ascii="Aptos" w:hAnsi="Aptos"/>
          <w:color w:val="000000"/>
          <w:sz w:val="20"/>
        </w:rPr>
        <w:t>5 Baseline benchmark and evaluation design</w:t>
      </w:r>
    </w:p>
    <w:p>
      <w:pPr>
        <w:pStyle w:val="Heading2"/>
      </w:pPr>
      <w:r>
        <w:rPr>
          <w:rFonts w:ascii="Aptos" w:hAnsi="Aptos"/>
          <w:color w:val="000000"/>
          <w:sz w:val="20"/>
        </w:rPr>
        <w:t>5.1 Freeze the benchmark</w:t>
      </w:r>
    </w:p>
    <w:p>
      <w:r>
        <w:rPr>
          <w:rFonts w:ascii="Aptos" w:hAnsi="Aptos"/>
          <w:color w:val="000000"/>
          <w:sz w:val="20"/>
        </w:rPr>
        <w:t>The benchmark is the approved current method or another professionally justified comparator. Record its version, period, staff effort, costs, rules, software, data inputs, quality results and known limitations before seeing final AI test results. If no accepted benchmark exists, construct and document a reference set through expert adjudication or a validated external standard.</w:t>
      </w:r>
    </w:p>
    <w:p>
      <w:pPr>
        <w:pStyle w:val="Heading2"/>
      </w:pPr>
      <w:r>
        <w:rPr>
          <w:rFonts w:ascii="Aptos" w:hAnsi="Aptos"/>
          <w:color w:val="000000"/>
          <w:sz w:val="20"/>
        </w:rPr>
        <w:t>5.2 Separate development validation and test data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944"/>
            <w:shd w:fill="17365D"/>
            <w:vAlign w:val="center"/>
            <w:tcMar>
              <w:top w:w="90" w:type="dxa"/>
              <w:start w:w="100" w:type="dxa"/>
              <w:bottom w:w="90" w:type="dxa"/>
              <w:end w:w="100" w:type="dxa"/>
            </w:tcMar>
          </w:tcPr>
          <w:p>
            <w:pPr>
              <w:keepLines/>
              <w:spacing w:after="0"/>
              <w:jc w:val="center"/>
            </w:pPr>
            <w:r>
              <w:rPr>
                <w:rFonts w:ascii="Aptos" w:hAnsi="Aptos"/>
                <w:b/>
                <w:color w:val="FFFFFF"/>
                <w:sz w:val="17"/>
              </w:rPr>
              <w:t>Data partition</w:t>
            </w:r>
          </w:p>
        </w:tc>
        <w:tc>
          <w:tcPr>
            <w:tcW w:type="dxa" w:w="3312"/>
            <w:shd w:fill="17365D"/>
            <w:vAlign w:val="center"/>
            <w:tcMar>
              <w:top w:w="90" w:type="dxa"/>
              <w:start w:w="100" w:type="dxa"/>
              <w:bottom w:w="90" w:type="dxa"/>
              <w:end w:w="100" w:type="dxa"/>
            </w:tcMar>
          </w:tcPr>
          <w:p>
            <w:pPr>
              <w:keepLines/>
              <w:spacing w:after="0"/>
              <w:jc w:val="center"/>
            </w:pPr>
            <w:r>
              <w:rPr>
                <w:rFonts w:ascii="Aptos" w:hAnsi="Aptos"/>
                <w:b/>
                <w:color w:val="FFFFFF"/>
                <w:sz w:val="17"/>
              </w:rPr>
              <w:t>Purpose</w:t>
            </w:r>
          </w:p>
        </w:tc>
        <w:tc>
          <w:tcPr>
            <w:tcW w:type="dxa" w:w="4752"/>
            <w:shd w:fill="17365D"/>
            <w:vAlign w:val="center"/>
            <w:tcMar>
              <w:top w:w="90" w:type="dxa"/>
              <w:start w:w="100" w:type="dxa"/>
              <w:bottom w:w="90" w:type="dxa"/>
              <w:end w:w="100" w:type="dxa"/>
            </w:tcMar>
          </w:tcPr>
          <w:p>
            <w:pPr>
              <w:keepLines/>
              <w:spacing w:after="0"/>
              <w:jc w:val="center"/>
            </w:pPr>
            <w:r>
              <w:rPr>
                <w:rFonts w:ascii="Aptos" w:hAnsi="Aptos"/>
                <w:b/>
                <w:color w:val="FFFFFF"/>
                <w:sz w:val="17"/>
              </w:rPr>
              <w:t>Control</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7"/>
              </w:rPr>
              <w:t>Development</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7"/>
              </w:rPr>
              <w:t>Training, prompting, tuning and feature design.</w:t>
            </w:r>
          </w:p>
        </w:tc>
        <w:tc>
          <w:tcPr>
            <w:tcW w:type="dxa" w:w="4752"/>
            <w:vAlign w:val="center"/>
            <w:tcMar>
              <w:top w:w="90" w:type="dxa"/>
              <w:start w:w="100" w:type="dxa"/>
              <w:bottom w:w="90" w:type="dxa"/>
              <w:end w:w="100" w:type="dxa"/>
            </w:tcMar>
          </w:tcPr>
          <w:p>
            <w:pPr>
              <w:keepLines/>
              <w:spacing w:after="0" w:line="240" w:lineRule="auto"/>
            </w:pPr>
            <w:r>
              <w:rPr>
                <w:rFonts w:ascii="Aptos" w:hAnsi="Aptos"/>
                <w:color w:val="000000"/>
                <w:sz w:val="17"/>
              </w:rPr>
              <w:t>May be inspected and reused; document all iterations.</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Validation</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Model and threshold selection.</w:t>
            </w:r>
          </w:p>
        </w:tc>
        <w:tc>
          <w:tcPr>
            <w:tcW w:type="dxa" w:w="475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Used for design choices; not reported as final unbiased performance.</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7"/>
              </w:rPr>
              <w:t>Locked test</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7"/>
              </w:rPr>
              <w:t>Final evaluation against pre-specified claims.</w:t>
            </w:r>
          </w:p>
        </w:tc>
        <w:tc>
          <w:tcPr>
            <w:tcW w:type="dxa" w:w="4752"/>
            <w:vAlign w:val="center"/>
            <w:tcMar>
              <w:top w:w="90" w:type="dxa"/>
              <w:start w:w="100" w:type="dxa"/>
              <w:bottom w:w="90" w:type="dxa"/>
              <w:end w:w="100" w:type="dxa"/>
            </w:tcMar>
          </w:tcPr>
          <w:p>
            <w:pPr>
              <w:keepLines/>
              <w:spacing w:after="0" w:line="240" w:lineRule="auto"/>
            </w:pPr>
            <w:r>
              <w:rPr>
                <w:rFonts w:ascii="Aptos" w:hAnsi="Aptos"/>
                <w:color w:val="000000"/>
                <w:sz w:val="17"/>
              </w:rPr>
              <w:t>No tuning after results are opened. Any change creates a new test cycle.</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Temporal or external test</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Performance under later periods, new regions, sources or institutions.</w:t>
            </w:r>
          </w:p>
        </w:tc>
        <w:tc>
          <w:tcPr>
            <w:tcW w:type="dxa" w:w="475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Required when drift or portability matters.</w:t>
            </w:r>
          </w:p>
        </w:tc>
      </w:tr>
    </w:tbl>
    <w:p>
      <w:pPr>
        <w:spacing w:after="20"/>
      </w:pPr>
    </w:p>
    <w:p>
      <w:pPr>
        <w:pStyle w:val="Heading2"/>
      </w:pPr>
      <w:r>
        <w:rPr>
          <w:rFonts w:ascii="Aptos" w:hAnsi="Aptos"/>
          <w:color w:val="000000"/>
          <w:sz w:val="20"/>
        </w:rPr>
        <w:t>5.3 Sampling and weighting</w:t>
      </w:r>
    </w:p>
    <w:p>
      <w:r>
        <w:rPr>
          <w:rFonts w:ascii="Aptos" w:hAnsi="Aptos"/>
          <w:color w:val="000000"/>
          <w:sz w:val="20"/>
        </w:rPr>
        <w:t>The evaluation sample must represent the operational population and important rare cases. Apply survey weights, design variables and finite-population features where relevant. If the pilot oversamples rare classes or high-risk groups for diagnostic power, report both diagnostic results and population-weighted results. Record exclusions and missing cases.</w:t>
      </w:r>
    </w:p>
    <w:p>
      <w:pPr>
        <w:pStyle w:val="Heading2"/>
      </w:pPr>
      <w:r>
        <w:rPr>
          <w:rFonts w:ascii="Aptos" w:hAnsi="Aptos"/>
          <w:color w:val="000000"/>
          <w:sz w:val="20"/>
        </w:rPr>
        <w:t>5.4 Pre-specify acceptance thresholds</w:t>
      </w:r>
    </w:p>
    <w:p>
      <w:r>
        <w:rPr>
          <w:rFonts w:ascii="Aptos" w:hAnsi="Aptos"/>
          <w:color w:val="000000"/>
          <w:sz w:val="20"/>
        </w:rPr>
        <w:t>Set primary and secondary metrics, superiority or non-inferiority margins, minimum subgroup performance, uncertainty levels, operational targets and stopping rules before final testing. Thresholds should reflect statistical use and error costs. A universal accuracy target is inappropriate.</w:t>
      </w:r>
    </w:p>
    <w:p>
      <w:pPr>
        <w:pStyle w:val="Heading2"/>
      </w:pPr>
      <w:r>
        <w:rPr>
          <w:rFonts w:ascii="Aptos" w:hAnsi="Aptos"/>
          <w:color w:val="000000"/>
          <w:sz w:val="20"/>
        </w:rPr>
        <w:t>5.5 Challenge tests</w:t>
      </w:r>
    </w:p>
    <w:p>
      <w:pPr>
        <w:pStyle w:val="ListBullet"/>
        <w:spacing w:after="60"/>
      </w:pPr>
      <w:r>
        <w:rPr>
          <w:rFonts w:ascii="Aptos" w:hAnsi="Aptos"/>
          <w:color w:val="000000"/>
          <w:sz w:val="20"/>
        </w:rPr>
        <w:t>Out-of-period and out-of-region data.</w:t>
      </w:r>
    </w:p>
    <w:p>
      <w:pPr>
        <w:pStyle w:val="ListBullet"/>
        <w:spacing w:after="60"/>
      </w:pPr>
      <w:r>
        <w:rPr>
          <w:rFonts w:ascii="Aptos" w:hAnsi="Aptos"/>
          <w:color w:val="000000"/>
          <w:sz w:val="20"/>
        </w:rPr>
        <w:t>Rare events, small domains, language variants and low-quality records.</w:t>
      </w:r>
    </w:p>
    <w:p>
      <w:pPr>
        <w:pStyle w:val="ListBullet"/>
        <w:spacing w:after="60"/>
      </w:pPr>
      <w:r>
        <w:rPr>
          <w:rFonts w:ascii="Aptos" w:hAnsi="Aptos"/>
          <w:color w:val="000000"/>
          <w:sz w:val="20"/>
        </w:rPr>
        <w:t>Missing, duplicated, inconsistent or adversarial inputs.</w:t>
      </w:r>
    </w:p>
    <w:p>
      <w:pPr>
        <w:pStyle w:val="ListBullet"/>
        <w:spacing w:after="60"/>
      </w:pPr>
      <w:r>
        <w:rPr>
          <w:rFonts w:ascii="Aptos" w:hAnsi="Aptos"/>
          <w:color w:val="000000"/>
          <w:sz w:val="20"/>
        </w:rPr>
        <w:t>Changes in classification, questionnaire, sensor, satellite, administrative process or provider.</w:t>
      </w:r>
    </w:p>
    <w:p>
      <w:pPr>
        <w:pStyle w:val="ListBullet"/>
        <w:spacing w:after="60"/>
      </w:pPr>
      <w:r>
        <w:rPr>
          <w:rFonts w:ascii="Aptos" w:hAnsi="Aptos"/>
          <w:color w:val="000000"/>
          <w:sz w:val="20"/>
        </w:rPr>
        <w:t>System outages, rate limits, latency, staff absence and vendor withdrawal.</w:t>
      </w:r>
    </w:p>
    <w:p>
      <w:pPr>
        <w:pStyle w:val="ListBullet"/>
        <w:spacing w:after="60"/>
      </w:pPr>
      <w:r>
        <w:rPr>
          <w:rFonts w:ascii="Aptos" w:hAnsi="Aptos"/>
          <w:color w:val="000000"/>
          <w:sz w:val="20"/>
        </w:rPr>
        <w:t>Prompt injection, data leakage and unsupported generated statements for generative systems.</w:t>
      </w:r>
    </w:p>
    <w:p>
      <w:pPr>
        <w:pStyle w:val="Heading2"/>
      </w:pPr>
      <w:r>
        <w:rPr>
          <w:rFonts w:ascii="Aptos" w:hAnsi="Aptos"/>
          <w:color w:val="000000"/>
          <w:sz w:val="20"/>
        </w:rPr>
        <w:t>5.6 Statistical inference</w:t>
      </w:r>
    </w:p>
    <w:p>
      <w:r>
        <w:rPr>
          <w:rFonts w:ascii="Aptos" w:hAnsi="Aptos"/>
          <w:color w:val="000000"/>
          <w:sz w:val="20"/>
        </w:rPr>
        <w:t>Report confidence intervals or other appropriate uncertainty measures for primary performance estimates and differences from baseline. Where data are clustered, weighted, spatially correlated or repeatedly observed, use an evaluation method consistent with that structure. Do not treat millions of correlated pixels or tokens as millions of independent observations.</w:t>
      </w:r>
    </w:p>
    <w:p>
      <w:r>
        <w:rPr>
          <w:rFonts w:ascii="Aptos" w:hAnsi="Aptos"/>
          <w:color w:val="000000"/>
          <w:sz w:val="20"/>
        </w:rPr>
        <w:br w:type="page"/>
      </w:r>
    </w:p>
    <w:p>
      <w:pPr>
        <w:pStyle w:val="Heading1"/>
      </w:pPr>
      <w:r>
        <w:rPr>
          <w:rFonts w:ascii="Aptos" w:hAnsi="Aptos"/>
          <w:color w:val="000000"/>
          <w:sz w:val="20"/>
        </w:rPr>
        <w:t>6 Statistical quality and fitness for use</w:t>
      </w:r>
    </w:p>
    <w:p>
      <w:r>
        <w:rPr>
          <w:rFonts w:ascii="Aptos" w:hAnsi="Aptos"/>
          <w:color w:val="000000"/>
          <w:sz w:val="20"/>
        </w:rPr>
        <w:t>Evaluation must cover the quality profile of the statistical output and production process. Model accuracy is one component, not the complete quality judgement.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088"/>
            <w:shd w:fill="17365D"/>
            <w:vAlign w:val="center"/>
            <w:tcMar>
              <w:top w:w="90" w:type="dxa"/>
              <w:start w:w="100" w:type="dxa"/>
              <w:bottom w:w="90" w:type="dxa"/>
              <w:end w:w="100" w:type="dxa"/>
            </w:tcMar>
          </w:tcPr>
          <w:p>
            <w:pPr>
              <w:keepLines/>
              <w:spacing w:after="0"/>
              <w:jc w:val="center"/>
            </w:pPr>
            <w:r>
              <w:rPr>
                <w:rFonts w:ascii="Aptos" w:hAnsi="Aptos"/>
                <w:b/>
                <w:color w:val="FFFFFF"/>
                <w:sz w:val="16"/>
              </w:rPr>
              <w:t>Quality dimension</w:t>
            </w:r>
          </w:p>
        </w:tc>
        <w:tc>
          <w:tcPr>
            <w:tcW w:type="dxa" w:w="4320"/>
            <w:shd w:fill="17365D"/>
            <w:vAlign w:val="center"/>
            <w:tcMar>
              <w:top w:w="90" w:type="dxa"/>
              <w:start w:w="100" w:type="dxa"/>
              <w:bottom w:w="90" w:type="dxa"/>
              <w:end w:w="100" w:type="dxa"/>
            </w:tcMar>
          </w:tcPr>
          <w:p>
            <w:pPr>
              <w:keepLines/>
              <w:spacing w:after="0"/>
              <w:jc w:val="center"/>
            </w:pPr>
            <w:r>
              <w:rPr>
                <w:rFonts w:ascii="Aptos" w:hAnsi="Aptos"/>
                <w:b/>
                <w:color w:val="FFFFFF"/>
                <w:sz w:val="16"/>
              </w:rPr>
              <w:t>Core pilot questions</w:t>
            </w:r>
          </w:p>
        </w:tc>
        <w:tc>
          <w:tcPr>
            <w:tcW w:type="dxa" w:w="3600"/>
            <w:shd w:fill="17365D"/>
            <w:vAlign w:val="center"/>
            <w:tcMar>
              <w:top w:w="90" w:type="dxa"/>
              <w:start w:w="100" w:type="dxa"/>
              <w:bottom w:w="90" w:type="dxa"/>
              <w:end w:w="100" w:type="dxa"/>
            </w:tcMar>
          </w:tcPr>
          <w:p>
            <w:pPr>
              <w:keepLines/>
              <w:spacing w:after="0"/>
              <w:jc w:val="center"/>
            </w:pPr>
            <w:r>
              <w:rPr>
                <w:rFonts w:ascii="Aptos" w:hAnsi="Aptos"/>
                <w:b/>
                <w:color w:val="FFFFFF"/>
                <w:sz w:val="16"/>
              </w:rPr>
              <w:t>Illustrative evidence</w:t>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6"/>
              </w:rPr>
              <w:t>Relevance</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Does the output answer the defined need at the needed level and frequency?</w:t>
            </w:r>
          </w:p>
        </w:tc>
        <w:tc>
          <w:tcPr>
            <w:tcW w:type="dxa" w:w="3600"/>
            <w:vAlign w:val="center"/>
            <w:tcMar>
              <w:top w:w="90" w:type="dxa"/>
              <w:start w:w="100" w:type="dxa"/>
              <w:bottom w:w="90" w:type="dxa"/>
              <w:end w:w="100" w:type="dxa"/>
            </w:tcMar>
          </w:tcPr>
          <w:p>
            <w:pPr>
              <w:keepLines/>
              <w:spacing w:after="0" w:line="240" w:lineRule="auto"/>
            </w:pPr>
            <w:r>
              <w:rPr>
                <w:rFonts w:ascii="Aptos" w:hAnsi="Aptos"/>
                <w:color w:val="000000"/>
                <w:sz w:val="16"/>
              </w:rPr>
              <w:t>User test, unmet-needs analysis, decision mapping.</w:t>
            </w:r>
          </w:p>
        </w:tc>
      </w:tr>
      <w:tr>
        <w:trPr>
          <w:trHeight w:hRule="atLeast"/>
        </w:trPr>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Accuracy and reliability</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What are bias, variance, classification error, revisions and uncertainty?</w:t>
            </w:r>
          </w:p>
        </w:tc>
        <w:tc>
          <w:tcPr>
            <w:tcW w:type="dxa" w:w="360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Benchmark comparison, repeated samples, confusion matrix, interval coverage.</w:t>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6"/>
              </w:rPr>
              <w:t>Timeliness and punctuality</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How much earlier is the output and how reliably is the deadline met?</w:t>
            </w:r>
          </w:p>
        </w:tc>
        <w:tc>
          <w:tcPr>
            <w:tcW w:type="dxa" w:w="3600"/>
            <w:vAlign w:val="center"/>
            <w:tcMar>
              <w:top w:w="90" w:type="dxa"/>
              <w:start w:w="100" w:type="dxa"/>
              <w:bottom w:w="90" w:type="dxa"/>
              <w:end w:w="100" w:type="dxa"/>
            </w:tcMar>
          </w:tcPr>
          <w:p>
            <w:pPr>
              <w:keepLines/>
              <w:spacing w:after="0" w:line="240" w:lineRule="auto"/>
            </w:pPr>
            <w:r>
              <w:rPr>
                <w:rFonts w:ascii="Aptos" w:hAnsi="Aptos"/>
                <w:color w:val="000000"/>
                <w:sz w:val="16"/>
              </w:rPr>
              <w:t>End-to-end cycle time, latency distribution, failed-run rate.</w:t>
            </w:r>
          </w:p>
        </w:tc>
      </w:tr>
      <w:tr>
        <w:trPr>
          <w:trHeight w:hRule="atLeast"/>
        </w:trPr>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Coherence and comparability</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Are concepts, classifications, time series, regions and sources consistent?</w:t>
            </w:r>
          </w:p>
        </w:tc>
        <w:tc>
          <w:tcPr>
            <w:tcW w:type="dxa" w:w="360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Bridge tables, back series, discontinuity analysis, reconciliation.</w:t>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6"/>
              </w:rPr>
              <w:t>Accessibility and clarity</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Can intended users find, interpret and correctly use the result?</w:t>
            </w:r>
          </w:p>
        </w:tc>
        <w:tc>
          <w:tcPr>
            <w:tcW w:type="dxa" w:w="3600"/>
            <w:vAlign w:val="center"/>
            <w:tcMar>
              <w:top w:w="90" w:type="dxa"/>
              <w:start w:w="100" w:type="dxa"/>
              <w:bottom w:w="90" w:type="dxa"/>
              <w:end w:w="100" w:type="dxa"/>
            </w:tcMar>
          </w:tcPr>
          <w:p>
            <w:pPr>
              <w:keepLines/>
              <w:spacing w:after="0" w:line="240" w:lineRule="auto"/>
            </w:pPr>
            <w:r>
              <w:rPr>
                <w:rFonts w:ascii="Aptos" w:hAnsi="Aptos"/>
                <w:color w:val="000000"/>
                <w:sz w:val="16"/>
              </w:rPr>
              <w:t>Metadata review, user test, accessibility assessment.</w:t>
            </w:r>
          </w:p>
        </w:tc>
      </w:tr>
      <w:tr>
        <w:trPr>
          <w:trHeight w:hRule="atLeast"/>
        </w:trPr>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Integrity and transparency</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Can methods, limitations and revisions be explained and audited?</w:t>
            </w:r>
          </w:p>
        </w:tc>
        <w:tc>
          <w:tcPr>
            <w:tcW w:type="dxa" w:w="360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Method note, provenance record, decision log, reproducibility package.</w:t>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6"/>
              </w:rPr>
              <w:t>Cost and respondent burden</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What changes for budgets, staff, respondents and data providers?</w:t>
            </w:r>
          </w:p>
        </w:tc>
        <w:tc>
          <w:tcPr>
            <w:tcW w:type="dxa" w:w="3600"/>
            <w:vAlign w:val="center"/>
            <w:tcMar>
              <w:top w:w="90" w:type="dxa"/>
              <w:start w:w="100" w:type="dxa"/>
              <w:bottom w:w="90" w:type="dxa"/>
              <w:end w:w="100" w:type="dxa"/>
            </w:tcMar>
          </w:tcPr>
          <w:p>
            <w:pPr>
              <w:keepLines/>
              <w:spacing w:after="0" w:line="240" w:lineRule="auto"/>
            </w:pPr>
            <w:r>
              <w:rPr>
                <w:rFonts w:ascii="Aptos" w:hAnsi="Aptos"/>
                <w:color w:val="000000"/>
                <w:sz w:val="16"/>
              </w:rPr>
              <w:t>Total-cost model, staff logs, questionnaire or reporting burden.</w:t>
            </w:r>
          </w:p>
        </w:tc>
      </w:tr>
    </w:tbl>
    <w:p>
      <w:pPr>
        <w:spacing w:after="20"/>
      </w:pPr>
    </w:p>
    <w:p>
      <w:pPr>
        <w:pStyle w:val="Heading2"/>
      </w:pPr>
      <w:r>
        <w:rPr>
          <w:rFonts w:ascii="Aptos" w:hAnsi="Aptos"/>
          <w:color w:val="000000"/>
          <w:sz w:val="20"/>
        </w:rPr>
        <w:t>6.1 Error decomposition</w:t>
      </w:r>
    </w:p>
    <w:p>
      <w:r>
        <w:rPr>
          <w:rFonts w:ascii="Aptos" w:hAnsi="Aptos"/>
          <w:color w:val="000000"/>
          <w:sz w:val="20"/>
        </w:rPr>
        <w:t>Describe where error enters the information chain: coverage, measurement, nonresponse, linkage, coding, imputation, estimation, model, processing and dissemination. An AI improvement in one step may worsen another. For example, automatic coding may be faster while creating systematic class substitution that biases domain estimates.</w:t>
      </w:r>
    </w:p>
    <w:p>
      <w:pPr>
        <w:pStyle w:val="Heading2"/>
      </w:pPr>
      <w:r>
        <w:rPr>
          <w:rFonts w:ascii="Aptos" w:hAnsi="Aptos"/>
          <w:color w:val="000000"/>
          <w:sz w:val="20"/>
        </w:rPr>
        <w:t>6.2 Subgroup and geographic performance</w:t>
      </w:r>
    </w:p>
    <w:p>
      <w:r>
        <w:rPr>
          <w:rFonts w:ascii="Aptos" w:hAnsi="Aptos"/>
          <w:color w:val="000000"/>
          <w:sz w:val="20"/>
        </w:rPr>
        <w:t>Pre-specify groups and areas where error could be unequal or especially harmful. For agricultural statistics this can include farm size, production system, sex of holder, irrigation, crop type, pastoral areas, agroecological zone and remoteness. Report sample sizes and uncertainty; do not interpret unstable small-cell rates as precise.</w:t>
      </w:r>
    </w:p>
    <w:p>
      <w:pPr>
        <w:pStyle w:val="Heading2"/>
      </w:pPr>
      <w:r>
        <w:rPr>
          <w:rFonts w:ascii="Aptos" w:hAnsi="Aptos"/>
          <w:color w:val="000000"/>
          <w:sz w:val="20"/>
        </w:rPr>
        <w:t>6.3 Aggregate and micro-level evaluation</w:t>
      </w:r>
    </w:p>
    <w:p>
      <w:r>
        <w:rPr>
          <w:rFonts w:ascii="Aptos" w:hAnsi="Aptos"/>
          <w:color w:val="000000"/>
          <w:sz w:val="20"/>
        </w:rPr>
        <w:t>Assess both record-level performance and the resulting official aggregate. A modest micro-level error may cancel at national level but create serious bias for a province or vulnerable group. Conversely, a high record-level match rate may hide systematic error in economically important units.</w:t>
      </w:r>
    </w:p>
    <w:p>
      <w:pPr>
        <w:pStyle w:val="Heading2"/>
      </w:pPr>
      <w:r>
        <w:rPr>
          <w:rFonts w:ascii="Aptos" w:hAnsi="Aptos"/>
          <w:color w:val="000000"/>
          <w:sz w:val="20"/>
        </w:rPr>
        <w:t>6.4 Revisions and breaks in series</w:t>
      </w:r>
    </w:p>
    <w:p>
      <w:r>
        <w:rPr>
          <w:rFonts w:ascii="Aptos" w:hAnsi="Aptos"/>
          <w:color w:val="000000"/>
          <w:sz w:val="20"/>
        </w:rPr>
        <w:t>If the method changes historical comparability, quantify the break, determine whether backcasting or parallel publication is required, and prepare user communication before adoption. Method changes must follow the institution’s revision and release policies.</w:t>
      </w:r>
    </w:p>
    <w:p>
      <w:r>
        <w:rPr>
          <w:rFonts w:ascii="Aptos" w:hAnsi="Aptos"/>
          <w:color w:val="000000"/>
          <w:sz w:val="20"/>
        </w:rPr>
        <w:br w:type="page"/>
      </w:r>
    </w:p>
    <w:p>
      <w:pPr>
        <w:pStyle w:val="Heading1"/>
      </w:pPr>
      <w:r>
        <w:rPr>
          <w:rFonts w:ascii="Aptos" w:hAnsi="Aptos"/>
          <w:color w:val="000000"/>
          <w:sz w:val="20"/>
        </w:rPr>
        <w:t>7 Data governance confidentiality and security</w:t>
      </w:r>
    </w:p>
    <w:p>
      <w:pPr>
        <w:pStyle w:val="Heading2"/>
      </w:pPr>
      <w:r>
        <w:rPr>
          <w:rFonts w:ascii="Aptos" w:hAnsi="Aptos"/>
          <w:color w:val="000000"/>
          <w:sz w:val="20"/>
        </w:rPr>
        <w:t>7.1 Data inventory and authority</w:t>
      </w:r>
    </w:p>
    <w:p>
      <w:r>
        <w:rPr>
          <w:rFonts w:ascii="Aptos" w:hAnsi="Aptos"/>
          <w:color w:val="000000"/>
          <w:sz w:val="20"/>
        </w:rPr>
        <w:t>List every dataset, field, derived feature, label and external input. Record source owner, collection purpose, legal authority, sensitivity, permitted use, quality limitations, retention and deletion. Link each asset to the Phase 1D ecosystem map where available.</w:t>
      </w:r>
    </w:p>
    <w:p>
      <w:pPr>
        <w:pStyle w:val="Heading2"/>
      </w:pPr>
      <w:r>
        <w:rPr>
          <w:rFonts w:ascii="Aptos" w:hAnsi="Aptos"/>
          <w:color w:val="000000"/>
          <w:sz w:val="20"/>
        </w:rPr>
        <w:t>7.2 Data minimization</w:t>
      </w:r>
    </w:p>
    <w:p>
      <w:r>
        <w:rPr>
          <w:rFonts w:ascii="Aptos" w:hAnsi="Aptos"/>
          <w:color w:val="000000"/>
          <w:sz w:val="20"/>
        </w:rPr>
        <w:t>Use only the variables and records needed to test the defined claim. Prefer de-identified or synthetic data for early development, while recognizing that final validity testing may require protected representative data in an approved environment. Synthetic data never prove real-world accuracy or confidentiality by themselves.</w:t>
      </w:r>
    </w:p>
    <w:p>
      <w:pPr>
        <w:pStyle w:val="Heading2"/>
      </w:pPr>
      <w:r>
        <w:rPr>
          <w:rFonts w:ascii="Aptos" w:hAnsi="Aptos"/>
          <w:color w:val="000000"/>
          <w:sz w:val="20"/>
        </w:rPr>
        <w:t>7.3 Confidentiality controls</w:t>
      </w:r>
    </w:p>
    <w:p>
      <w:pPr>
        <w:pStyle w:val="ListBullet"/>
        <w:spacing w:after="60"/>
      </w:pPr>
      <w:r>
        <w:rPr>
          <w:rFonts w:ascii="Aptos" w:hAnsi="Aptos"/>
          <w:color w:val="000000"/>
          <w:sz w:val="20"/>
        </w:rPr>
        <w:t>Approved access based on role and least privilege.</w:t>
      </w:r>
    </w:p>
    <w:p>
      <w:pPr>
        <w:pStyle w:val="ListBullet"/>
        <w:spacing w:after="60"/>
      </w:pPr>
      <w:r>
        <w:rPr>
          <w:rFonts w:ascii="Aptos" w:hAnsi="Aptos"/>
          <w:color w:val="000000"/>
          <w:sz w:val="20"/>
        </w:rPr>
        <w:t>Encryption in transit and at rest where applicable.</w:t>
      </w:r>
    </w:p>
    <w:p>
      <w:pPr>
        <w:pStyle w:val="ListBullet"/>
        <w:spacing w:after="60"/>
      </w:pPr>
      <w:r>
        <w:rPr>
          <w:rFonts w:ascii="Aptos" w:hAnsi="Aptos"/>
          <w:color w:val="000000"/>
          <w:sz w:val="20"/>
        </w:rPr>
        <w:t>No training or provider retention of confidential inputs without explicit authorization.</w:t>
      </w:r>
    </w:p>
    <w:p>
      <w:pPr>
        <w:pStyle w:val="ListBullet"/>
        <w:spacing w:after="60"/>
      </w:pPr>
      <w:r>
        <w:rPr>
          <w:rFonts w:ascii="Aptos" w:hAnsi="Aptos"/>
          <w:color w:val="000000"/>
          <w:sz w:val="20"/>
        </w:rPr>
        <w:t>Logging of access, queries, exports and administrative actions.</w:t>
      </w:r>
    </w:p>
    <w:p>
      <w:pPr>
        <w:pStyle w:val="ListBullet"/>
        <w:spacing w:after="60"/>
      </w:pPr>
      <w:r>
        <w:rPr>
          <w:rFonts w:ascii="Aptos" w:hAnsi="Aptos"/>
          <w:color w:val="000000"/>
          <w:sz w:val="20"/>
        </w:rPr>
        <w:t>Output checking for disclosure, memorization and reconstruction risk.</w:t>
      </w:r>
    </w:p>
    <w:p>
      <w:pPr>
        <w:pStyle w:val="ListBullet"/>
        <w:spacing w:after="60"/>
      </w:pPr>
      <w:r>
        <w:rPr>
          <w:rFonts w:ascii="Aptos" w:hAnsi="Aptos"/>
          <w:color w:val="000000"/>
          <w:sz w:val="20"/>
        </w:rPr>
        <w:t>Controlled deletion, retention and legal hold procedures.</w:t>
      </w:r>
    </w:p>
    <w:p>
      <w:pPr>
        <w:pStyle w:val="Heading2"/>
      </w:pPr>
      <w:r>
        <w:rPr>
          <w:rFonts w:ascii="Aptos" w:hAnsi="Aptos"/>
          <w:color w:val="000000"/>
          <w:sz w:val="20"/>
        </w:rPr>
        <w:t>7.4 Security assessment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2376"/>
            <w:shd w:fill="17365D"/>
            <w:vAlign w:val="center"/>
            <w:tcMar>
              <w:top w:w="90" w:type="dxa"/>
              <w:start w:w="100" w:type="dxa"/>
              <w:bottom w:w="90" w:type="dxa"/>
              <w:end w:w="100" w:type="dxa"/>
            </w:tcMar>
          </w:tcPr>
          <w:p>
            <w:pPr>
              <w:keepLines/>
              <w:spacing w:after="0"/>
              <w:jc w:val="center"/>
            </w:pPr>
            <w:r>
              <w:rPr>
                <w:rFonts w:ascii="Aptos" w:hAnsi="Aptos"/>
                <w:b/>
                <w:color w:val="FFFFFF"/>
                <w:sz w:val="17"/>
              </w:rPr>
              <w:t>Control area</w:t>
            </w:r>
          </w:p>
        </w:tc>
        <w:tc>
          <w:tcPr>
            <w:tcW w:type="dxa" w:w="7560"/>
            <w:shd w:fill="17365D"/>
            <w:vAlign w:val="center"/>
            <w:tcMar>
              <w:top w:w="90" w:type="dxa"/>
              <w:start w:w="100" w:type="dxa"/>
              <w:bottom w:w="90" w:type="dxa"/>
              <w:end w:w="100" w:type="dxa"/>
            </w:tcMar>
          </w:tcPr>
          <w:p>
            <w:pPr>
              <w:keepLines/>
              <w:spacing w:after="0"/>
              <w:jc w:val="center"/>
            </w:pPr>
            <w:r>
              <w:rPr>
                <w:rFonts w:ascii="Aptos" w:hAnsi="Aptos"/>
                <w:b/>
                <w:color w:val="FFFFFF"/>
                <w:sz w:val="17"/>
              </w:rPr>
              <w:t>Minimum evidence</w:t>
            </w:r>
          </w:p>
        </w:tc>
      </w:tr>
      <w:tr>
        <w:trPr>
          <w:trHeight w:hRule="atLeast"/>
        </w:trPr>
        <w:tc>
          <w:tcPr>
            <w:tcW w:type="dxa" w:w="2376"/>
            <w:vAlign w:val="center"/>
            <w:tcMar>
              <w:top w:w="90" w:type="dxa"/>
              <w:start w:w="100" w:type="dxa"/>
              <w:bottom w:w="90" w:type="dxa"/>
              <w:end w:w="100" w:type="dxa"/>
            </w:tcMar>
          </w:tcPr>
          <w:p>
            <w:pPr>
              <w:keepLines/>
              <w:spacing w:after="0" w:line="240" w:lineRule="auto"/>
            </w:pPr>
            <w:r>
              <w:rPr>
                <w:rFonts w:ascii="Aptos" w:hAnsi="Aptos"/>
                <w:color w:val="000000"/>
                <w:sz w:val="17"/>
              </w:rPr>
              <w:t>Architecture</w:t>
            </w:r>
          </w:p>
        </w:tc>
        <w:tc>
          <w:tcPr>
            <w:tcW w:type="dxa" w:w="7560"/>
            <w:vAlign w:val="center"/>
            <w:tcMar>
              <w:top w:w="90" w:type="dxa"/>
              <w:start w:w="100" w:type="dxa"/>
              <w:bottom w:w="90" w:type="dxa"/>
              <w:end w:w="100" w:type="dxa"/>
            </w:tcMar>
          </w:tcPr>
          <w:p>
            <w:pPr>
              <w:keepLines/>
              <w:spacing w:after="0" w:line="240" w:lineRule="auto"/>
            </w:pPr>
            <w:r>
              <w:rPr>
                <w:rFonts w:ascii="Aptos" w:hAnsi="Aptos"/>
                <w:color w:val="000000"/>
                <w:sz w:val="17"/>
              </w:rPr>
              <w:t>Diagram of data flows, model/service boundary, storage and external connections.</w:t>
            </w:r>
          </w:p>
        </w:tc>
      </w:tr>
      <w:tr>
        <w:trPr>
          <w:trHeight w:hRule="atLeast"/>
        </w:trPr>
        <w:tc>
          <w:tcPr>
            <w:tcW w:type="dxa" w:w="237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Identity and access</w:t>
            </w:r>
          </w:p>
        </w:tc>
        <w:tc>
          <w:tcPr>
            <w:tcW w:type="dxa" w:w="756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Named roles, authentication, least privilege, privileged-access review and offboarding.</w:t>
            </w:r>
          </w:p>
        </w:tc>
      </w:tr>
      <w:tr>
        <w:trPr>
          <w:trHeight w:hRule="atLeast"/>
        </w:trPr>
        <w:tc>
          <w:tcPr>
            <w:tcW w:type="dxa" w:w="2376"/>
            <w:vAlign w:val="center"/>
            <w:tcMar>
              <w:top w:w="90" w:type="dxa"/>
              <w:start w:w="100" w:type="dxa"/>
              <w:bottom w:w="90" w:type="dxa"/>
              <w:end w:w="100" w:type="dxa"/>
            </w:tcMar>
          </w:tcPr>
          <w:p>
            <w:pPr>
              <w:keepLines/>
              <w:spacing w:after="0" w:line="240" w:lineRule="auto"/>
            </w:pPr>
            <w:r>
              <w:rPr>
                <w:rFonts w:ascii="Aptos" w:hAnsi="Aptos"/>
                <w:color w:val="000000"/>
                <w:sz w:val="17"/>
              </w:rPr>
              <w:t>Software and model supply chain</w:t>
            </w:r>
          </w:p>
        </w:tc>
        <w:tc>
          <w:tcPr>
            <w:tcW w:type="dxa" w:w="7560"/>
            <w:vAlign w:val="center"/>
            <w:tcMar>
              <w:top w:w="90" w:type="dxa"/>
              <w:start w:w="100" w:type="dxa"/>
              <w:bottom w:w="90" w:type="dxa"/>
              <w:end w:w="100" w:type="dxa"/>
            </w:tcMar>
          </w:tcPr>
          <w:p>
            <w:pPr>
              <w:keepLines/>
              <w:spacing w:after="0" w:line="240" w:lineRule="auto"/>
            </w:pPr>
            <w:r>
              <w:rPr>
                <w:rFonts w:ascii="Aptos" w:hAnsi="Aptos"/>
                <w:color w:val="000000"/>
                <w:sz w:val="17"/>
              </w:rPr>
              <w:t>Versioned components, supplier, licence, vulnerability and dependency record.</w:t>
            </w:r>
          </w:p>
        </w:tc>
      </w:tr>
      <w:tr>
        <w:trPr>
          <w:trHeight w:hRule="atLeast"/>
        </w:trPr>
        <w:tc>
          <w:tcPr>
            <w:tcW w:type="dxa" w:w="237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Logging and monitoring</w:t>
            </w:r>
          </w:p>
        </w:tc>
        <w:tc>
          <w:tcPr>
            <w:tcW w:type="dxa" w:w="756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Events captured, log protection, reviewer, retention and alert thresholds.</w:t>
            </w:r>
          </w:p>
        </w:tc>
      </w:tr>
      <w:tr>
        <w:trPr>
          <w:trHeight w:hRule="atLeast"/>
        </w:trPr>
        <w:tc>
          <w:tcPr>
            <w:tcW w:type="dxa" w:w="2376"/>
            <w:vAlign w:val="center"/>
            <w:tcMar>
              <w:top w:w="90" w:type="dxa"/>
              <w:start w:w="100" w:type="dxa"/>
              <w:bottom w:w="90" w:type="dxa"/>
              <w:end w:w="100" w:type="dxa"/>
            </w:tcMar>
          </w:tcPr>
          <w:p>
            <w:pPr>
              <w:keepLines/>
              <w:spacing w:after="0" w:line="240" w:lineRule="auto"/>
            </w:pPr>
            <w:r>
              <w:rPr>
                <w:rFonts w:ascii="Aptos" w:hAnsi="Aptos"/>
                <w:color w:val="000000"/>
                <w:sz w:val="17"/>
              </w:rPr>
              <w:t>Resilience</w:t>
            </w:r>
          </w:p>
        </w:tc>
        <w:tc>
          <w:tcPr>
            <w:tcW w:type="dxa" w:w="7560"/>
            <w:vAlign w:val="center"/>
            <w:tcMar>
              <w:top w:w="90" w:type="dxa"/>
              <w:start w:w="100" w:type="dxa"/>
              <w:bottom w:w="90" w:type="dxa"/>
              <w:end w:w="100" w:type="dxa"/>
            </w:tcMar>
          </w:tcPr>
          <w:p>
            <w:pPr>
              <w:keepLines/>
              <w:spacing w:after="0" w:line="240" w:lineRule="auto"/>
            </w:pPr>
            <w:r>
              <w:rPr>
                <w:rFonts w:ascii="Aptos" w:hAnsi="Aptos"/>
                <w:color w:val="000000"/>
                <w:sz w:val="17"/>
              </w:rPr>
              <w:t>Backups, recovery, offline or manual fallback, capacity and service-level assumptions.</w:t>
            </w:r>
          </w:p>
        </w:tc>
      </w:tr>
      <w:tr>
        <w:trPr>
          <w:trHeight w:hRule="atLeast"/>
        </w:trPr>
        <w:tc>
          <w:tcPr>
            <w:tcW w:type="dxa" w:w="237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Adversarial testing</w:t>
            </w:r>
          </w:p>
        </w:tc>
        <w:tc>
          <w:tcPr>
            <w:tcW w:type="dxa" w:w="756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Relevant abuse cases such as injection, extraction, poisoning, evasion or malicious files.</w:t>
            </w:r>
          </w:p>
        </w:tc>
      </w:tr>
      <w:tr>
        <w:trPr>
          <w:trHeight w:hRule="atLeast"/>
        </w:trPr>
        <w:tc>
          <w:tcPr>
            <w:tcW w:type="dxa" w:w="2376"/>
            <w:vAlign w:val="center"/>
            <w:tcMar>
              <w:top w:w="90" w:type="dxa"/>
              <w:start w:w="100" w:type="dxa"/>
              <w:bottom w:w="90" w:type="dxa"/>
              <w:end w:w="100" w:type="dxa"/>
            </w:tcMar>
          </w:tcPr>
          <w:p>
            <w:pPr>
              <w:keepLines/>
              <w:spacing w:after="0" w:line="240" w:lineRule="auto"/>
            </w:pPr>
            <w:r>
              <w:rPr>
                <w:rFonts w:ascii="Aptos" w:hAnsi="Aptos"/>
                <w:color w:val="000000"/>
                <w:sz w:val="17"/>
              </w:rPr>
              <w:t>Supplier and jurisdiction</w:t>
            </w:r>
          </w:p>
        </w:tc>
        <w:tc>
          <w:tcPr>
            <w:tcW w:type="dxa" w:w="7560"/>
            <w:vAlign w:val="center"/>
            <w:tcMar>
              <w:top w:w="90" w:type="dxa"/>
              <w:start w:w="100" w:type="dxa"/>
              <w:bottom w:w="90" w:type="dxa"/>
              <w:end w:w="100" w:type="dxa"/>
            </w:tcMar>
          </w:tcPr>
          <w:p>
            <w:pPr>
              <w:keepLines/>
              <w:spacing w:after="0" w:line="240" w:lineRule="auto"/>
            </w:pPr>
            <w:r>
              <w:rPr>
                <w:rFonts w:ascii="Aptos" w:hAnsi="Aptos"/>
                <w:color w:val="000000"/>
                <w:sz w:val="17"/>
              </w:rPr>
              <w:t>Contract terms, data location, subprocessors, audit rights, continuity and exit provisions.</w:t>
            </w:r>
          </w:p>
        </w:tc>
      </w:tr>
    </w:tbl>
    <w:p>
      <w:pPr>
        <w:spacing w:after="20"/>
      </w:pPr>
    </w:p>
    <w:p>
      <w:pPr>
        <w:pStyle w:val="Heading2"/>
      </w:pPr>
      <w:r>
        <w:rPr>
          <w:rFonts w:ascii="Aptos" w:hAnsi="Aptos"/>
          <w:color w:val="000000"/>
          <w:sz w:val="20"/>
        </w:rPr>
        <w:t>7.5 External and generative services</w:t>
      </w:r>
    </w:p>
    <w:p>
      <w:r>
        <w:rPr>
          <w:rFonts w:ascii="Aptos" w:hAnsi="Aptos"/>
          <w:color w:val="000000"/>
          <w:sz w:val="20"/>
        </w:rPr>
        <w:t>Before using an external AI service, confirm whether prompts and outputs are stored, reviewed, reused for training, transferred across jurisdictions or exposed to subcontractors. Consumer accounts and public interfaces are not acceptable for confidential official statistical data unless specifically approved under institutional policy and law.</w:t>
      </w:r>
    </w:p>
    <w:p>
      <w:r>
        <w:rPr>
          <w:rFonts w:ascii="Aptos" w:hAnsi="Aptos"/>
          <w:color w:val="000000"/>
          <w:sz w:val="20"/>
        </w:rPr>
        <w:br w:type="page"/>
      </w:r>
    </w:p>
    <w:p>
      <w:pPr>
        <w:pStyle w:val="Heading1"/>
      </w:pPr>
      <w:r>
        <w:rPr>
          <w:rFonts w:ascii="Aptos" w:hAnsi="Aptos"/>
          <w:color w:val="000000"/>
          <w:sz w:val="20"/>
        </w:rPr>
        <w:t>8 Human oversight documentation and reproducibility</w:t>
      </w:r>
    </w:p>
    <w:p>
      <w:pPr>
        <w:pStyle w:val="Heading2"/>
      </w:pPr>
      <w:r>
        <w:rPr>
          <w:rFonts w:ascii="Aptos" w:hAnsi="Aptos"/>
          <w:color w:val="000000"/>
          <w:sz w:val="20"/>
        </w:rPr>
        <w:t>8.1 Meaningful human oversight</w:t>
      </w:r>
    </w:p>
    <w:p>
      <w:r>
        <w:rPr>
          <w:rFonts w:ascii="Aptos" w:hAnsi="Aptos"/>
          <w:color w:val="000000"/>
          <w:sz w:val="20"/>
        </w:rPr>
        <w:t>Human review is meaningful only if reviewers have authority, time, competence, access to relevant evidence and a clear escalation path. Requiring a person to click approve on thousands of outputs is not effective oversight.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944"/>
            <w:shd w:fill="17365D"/>
            <w:vAlign w:val="center"/>
            <w:tcMar>
              <w:top w:w="90" w:type="dxa"/>
              <w:start w:w="100" w:type="dxa"/>
              <w:bottom w:w="90" w:type="dxa"/>
              <w:end w:w="100" w:type="dxa"/>
            </w:tcMar>
          </w:tcPr>
          <w:p>
            <w:pPr>
              <w:keepLines/>
              <w:spacing w:after="0"/>
              <w:jc w:val="center"/>
            </w:pPr>
            <w:r>
              <w:rPr>
                <w:rFonts w:ascii="Aptos" w:hAnsi="Aptos"/>
                <w:b/>
                <w:color w:val="FFFFFF"/>
                <w:sz w:val="17"/>
              </w:rPr>
              <w:t>Oversight point</w:t>
            </w:r>
          </w:p>
        </w:tc>
        <w:tc>
          <w:tcPr>
            <w:tcW w:type="dxa" w:w="4968"/>
            <w:shd w:fill="17365D"/>
            <w:vAlign w:val="center"/>
            <w:tcMar>
              <w:top w:w="90" w:type="dxa"/>
              <w:start w:w="100" w:type="dxa"/>
              <w:bottom w:w="90" w:type="dxa"/>
              <w:end w:w="100" w:type="dxa"/>
            </w:tcMar>
          </w:tcPr>
          <w:p>
            <w:pPr>
              <w:keepLines/>
              <w:spacing w:after="0"/>
              <w:jc w:val="center"/>
            </w:pPr>
            <w:r>
              <w:rPr>
                <w:rFonts w:ascii="Aptos" w:hAnsi="Aptos"/>
                <w:b/>
                <w:color w:val="FFFFFF"/>
                <w:sz w:val="17"/>
              </w:rPr>
              <w:t>Reviewer task</w:t>
            </w:r>
          </w:p>
        </w:tc>
        <w:tc>
          <w:tcPr>
            <w:tcW w:type="dxa" w:w="3096"/>
            <w:shd w:fill="17365D"/>
            <w:vAlign w:val="center"/>
            <w:tcMar>
              <w:top w:w="90" w:type="dxa"/>
              <w:start w:w="100" w:type="dxa"/>
              <w:bottom w:w="90" w:type="dxa"/>
              <w:end w:w="100" w:type="dxa"/>
            </w:tcMar>
          </w:tcPr>
          <w:p>
            <w:pPr>
              <w:keepLines/>
              <w:spacing w:after="0"/>
              <w:jc w:val="center"/>
            </w:pPr>
            <w:r>
              <w:rPr>
                <w:rFonts w:ascii="Aptos" w:hAnsi="Aptos"/>
                <w:b/>
                <w:color w:val="FFFFFF"/>
                <w:sz w:val="17"/>
              </w:rPr>
              <w:t>Evidence</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7"/>
              </w:rPr>
              <w:t>Before run</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Confirm approved data, model, configuration and scope.</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7"/>
              </w:rPr>
              <w:t>Run authorization.</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During run</w:t>
            </w:r>
          </w:p>
        </w:tc>
        <w:tc>
          <w:tcPr>
            <w:tcW w:type="dxa" w:w="496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Review alerts, abnormal rates, missing inputs and system health.</w:t>
            </w:r>
          </w:p>
        </w:tc>
        <w:tc>
          <w:tcPr>
            <w:tcW w:type="dxa" w:w="30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Operational log.</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7"/>
              </w:rPr>
              <w:t>Output review</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Inspect sampled and high-risk cases, uncertainty, aggregates and subgroup results.</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7"/>
              </w:rPr>
              <w:t>Review record and overrides.</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Pre-release</w:t>
            </w:r>
          </w:p>
        </w:tc>
        <w:tc>
          <w:tcPr>
            <w:tcW w:type="dxa" w:w="496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Confirm statistical coherence, confidentiality and approved method version.</w:t>
            </w:r>
          </w:p>
        </w:tc>
        <w:tc>
          <w:tcPr>
            <w:tcW w:type="dxa" w:w="30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Release checklist and sign-off.</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7"/>
              </w:rPr>
              <w:t>After release</w:t>
            </w:r>
          </w:p>
        </w:tc>
        <w:tc>
          <w:tcPr>
            <w:tcW w:type="dxa" w:w="4968"/>
            <w:vAlign w:val="center"/>
            <w:tcMar>
              <w:top w:w="90" w:type="dxa"/>
              <w:start w:w="100" w:type="dxa"/>
              <w:bottom w:w="90" w:type="dxa"/>
              <w:end w:w="100" w:type="dxa"/>
            </w:tcMar>
          </w:tcPr>
          <w:p>
            <w:pPr>
              <w:keepLines/>
              <w:spacing w:after="0" w:line="240" w:lineRule="auto"/>
            </w:pPr>
            <w:r>
              <w:rPr>
                <w:rFonts w:ascii="Aptos" w:hAnsi="Aptos"/>
                <w:color w:val="000000"/>
                <w:sz w:val="17"/>
              </w:rPr>
              <w:t>Monitor revisions, user reports, incidents and drift.</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7"/>
              </w:rPr>
              <w:t>Monitoring dashboard and review minutes.</w:t>
            </w:r>
          </w:p>
        </w:tc>
      </w:tr>
    </w:tbl>
    <w:p>
      <w:pPr>
        <w:spacing w:after="20"/>
      </w:pPr>
    </w:p>
    <w:p>
      <w:pPr>
        <w:pStyle w:val="Heading2"/>
      </w:pPr>
      <w:r>
        <w:rPr>
          <w:rFonts w:ascii="Aptos" w:hAnsi="Aptos"/>
          <w:color w:val="000000"/>
          <w:sz w:val="20"/>
        </w:rPr>
        <w:t>8.2 Reproducibility record</w:t>
      </w:r>
    </w:p>
    <w:p>
      <w:pPr>
        <w:pStyle w:val="ListBullet"/>
        <w:spacing w:after="60"/>
      </w:pPr>
      <w:r>
        <w:rPr>
          <w:rFonts w:ascii="Aptos" w:hAnsi="Aptos"/>
          <w:color w:val="000000"/>
          <w:sz w:val="20"/>
        </w:rPr>
        <w:t>Unique pilot, dataset, code, model, prompt, parameter and environment versions.</w:t>
      </w:r>
    </w:p>
    <w:p>
      <w:pPr>
        <w:pStyle w:val="ListBullet"/>
        <w:spacing w:after="60"/>
      </w:pPr>
      <w:r>
        <w:rPr>
          <w:rFonts w:ascii="Aptos" w:hAnsi="Aptos"/>
          <w:color w:val="000000"/>
          <w:sz w:val="20"/>
        </w:rPr>
        <w:t>Training, tuning and evaluation data definitions and hashes or equivalent integrity records.</w:t>
      </w:r>
    </w:p>
    <w:p>
      <w:pPr>
        <w:pStyle w:val="ListBullet"/>
        <w:spacing w:after="60"/>
      </w:pPr>
      <w:r>
        <w:rPr>
          <w:rFonts w:ascii="Aptos" w:hAnsi="Aptos"/>
          <w:color w:val="000000"/>
          <w:sz w:val="20"/>
        </w:rPr>
        <w:t>Random seeds or documented sources of nondeterminism.</w:t>
      </w:r>
    </w:p>
    <w:p>
      <w:pPr>
        <w:pStyle w:val="ListBullet"/>
        <w:spacing w:after="60"/>
      </w:pPr>
      <w:r>
        <w:rPr>
          <w:rFonts w:ascii="Aptos" w:hAnsi="Aptos"/>
          <w:color w:val="000000"/>
          <w:sz w:val="20"/>
        </w:rPr>
        <w:t>Pre-processing, post-processing and manual override rules.</w:t>
      </w:r>
    </w:p>
    <w:p>
      <w:pPr>
        <w:pStyle w:val="ListBullet"/>
        <w:spacing w:after="60"/>
      </w:pPr>
      <w:r>
        <w:rPr>
          <w:rFonts w:ascii="Aptos" w:hAnsi="Aptos"/>
          <w:color w:val="000000"/>
          <w:sz w:val="20"/>
        </w:rPr>
        <w:t>Supplier name, service version, region and configuration.</w:t>
      </w:r>
    </w:p>
    <w:p>
      <w:pPr>
        <w:pStyle w:val="ListBullet"/>
        <w:spacing w:after="60"/>
      </w:pPr>
      <w:r>
        <w:rPr>
          <w:rFonts w:ascii="Aptos" w:hAnsi="Aptos"/>
          <w:color w:val="000000"/>
          <w:sz w:val="20"/>
        </w:rPr>
        <w:t>Execution date, operator, reviewer and approval record.</w:t>
      </w:r>
    </w:p>
    <w:p>
      <w:pPr>
        <w:pStyle w:val="ListBullet"/>
        <w:spacing w:after="60"/>
      </w:pPr>
      <w:r>
        <w:rPr>
          <w:rFonts w:ascii="Aptos" w:hAnsi="Aptos"/>
          <w:color w:val="000000"/>
          <w:sz w:val="20"/>
        </w:rPr>
        <w:t>Known limitations and conditions under which results may not reproduce exactly.</w:t>
      </w:r>
    </w:p>
    <w:p>
      <w:pPr>
        <w:pStyle w:val="Heading2"/>
      </w:pPr>
      <w:r>
        <w:rPr>
          <w:rFonts w:ascii="Aptos" w:hAnsi="Aptos"/>
          <w:color w:val="000000"/>
          <w:sz w:val="20"/>
        </w:rPr>
        <w:t>8.3 Generative AI records</w:t>
      </w:r>
    </w:p>
    <w:p>
      <w:r>
        <w:rPr>
          <w:rFonts w:ascii="Aptos" w:hAnsi="Aptos"/>
          <w:color w:val="000000"/>
          <w:sz w:val="20"/>
        </w:rPr>
        <w:t>For generative use cases, store the system instruction, prompt template, retrieval sources, model and parameter settings, structured-output schema, post-processing, citations or provenance, blocked-content rules and reviewer decision. Evaluate factual support, omission, contradiction, fabrication, confidentiality leakage, consistency and the effect of prompt changes.</w:t>
      </w:r>
    </w:p>
    <w:p>
      <w:pPr>
        <w:pStyle w:val="Heading2"/>
      </w:pPr>
      <w:r>
        <w:rPr>
          <w:rFonts w:ascii="Aptos" w:hAnsi="Aptos"/>
          <w:color w:val="000000"/>
          <w:sz w:val="20"/>
        </w:rPr>
        <w:t>8.4 Explainability</w:t>
      </w:r>
    </w:p>
    <w:p>
      <w:r>
        <w:rPr>
          <w:rFonts w:ascii="Aptos" w:hAnsi="Aptos"/>
          <w:color w:val="000000"/>
          <w:sz w:val="20"/>
        </w:rPr>
        <w:t>Select explanations appropriate to the decision. Statistical staff may need error decomposition, feature sensitivity and case-level evidence; managers may need impact, uncertainty and controls; the public may need a clear method description, limitations and revision policy. An explanation that is technically sophisticated but does not support the user’s task is not fit for use.</w:t>
      </w:r>
    </w:p>
    <w:p>
      <w:r>
        <w:rPr>
          <w:rFonts w:ascii="Aptos" w:hAnsi="Aptos"/>
          <w:color w:val="000000"/>
          <w:sz w:val="20"/>
        </w:rPr>
        <w:br w:type="page"/>
      </w:r>
    </w:p>
    <w:p>
      <w:pPr>
        <w:pStyle w:val="Heading1"/>
      </w:pPr>
      <w:r>
        <w:rPr>
          <w:rFonts w:ascii="Aptos" w:hAnsi="Aptos"/>
          <w:color w:val="000000"/>
          <w:sz w:val="20"/>
        </w:rPr>
        <w:t>9 Testing by AI use case type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5"/>
              </w:rPr>
              <w:t>Use-case type</w:t>
            </w:r>
          </w:p>
        </w:tc>
        <w:tc>
          <w:tcPr>
            <w:tcW w:type="dxa" w:w="4536"/>
            <w:shd w:fill="17365D"/>
            <w:vAlign w:val="center"/>
            <w:tcMar>
              <w:top w:w="90" w:type="dxa"/>
              <w:start w:w="100" w:type="dxa"/>
              <w:bottom w:w="90" w:type="dxa"/>
              <w:end w:w="100" w:type="dxa"/>
            </w:tcMar>
          </w:tcPr>
          <w:p>
            <w:pPr>
              <w:keepLines/>
              <w:spacing w:after="0"/>
              <w:jc w:val="center"/>
            </w:pPr>
            <w:r>
              <w:rPr>
                <w:rFonts w:ascii="Aptos" w:hAnsi="Aptos"/>
                <w:b/>
                <w:color w:val="FFFFFF"/>
                <w:sz w:val="15"/>
              </w:rPr>
              <w:t>Minimum statistical tests</w:t>
            </w:r>
          </w:p>
        </w:tc>
        <w:tc>
          <w:tcPr>
            <w:tcW w:type="dxa" w:w="3456"/>
            <w:shd w:fill="17365D"/>
            <w:vAlign w:val="center"/>
            <w:tcMar>
              <w:top w:w="90" w:type="dxa"/>
              <w:start w:w="100" w:type="dxa"/>
              <w:bottom w:w="90" w:type="dxa"/>
              <w:end w:w="100" w:type="dxa"/>
            </w:tcMar>
          </w:tcPr>
          <w:p>
            <w:pPr>
              <w:keepLines/>
              <w:spacing w:after="0"/>
              <w:jc w:val="center"/>
            </w:pPr>
            <w:r>
              <w:rPr>
                <w:rFonts w:ascii="Aptos" w:hAnsi="Aptos"/>
                <w:b/>
                <w:color w:val="FFFFFF"/>
                <w:sz w:val="15"/>
              </w:rPr>
              <w:t>Particular failure modes</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t>Classification and coding</w:t>
            </w:r>
          </w:p>
        </w:tc>
        <w:tc>
          <w:tcPr>
            <w:tcW w:type="dxa" w:w="4536"/>
            <w:vAlign w:val="center"/>
            <w:tcMar>
              <w:top w:w="90" w:type="dxa"/>
              <w:start w:w="100" w:type="dxa"/>
              <w:bottom w:w="90" w:type="dxa"/>
              <w:end w:w="100" w:type="dxa"/>
            </w:tcMar>
          </w:tcPr>
          <w:p>
            <w:pPr>
              <w:keepLines/>
              <w:spacing w:after="0" w:line="240" w:lineRule="auto"/>
            </w:pPr>
            <w:r>
              <w:rPr>
                <w:rFonts w:ascii="Aptos" w:hAnsi="Aptos"/>
                <w:color w:val="000000"/>
                <w:sz w:val="15"/>
              </w:rPr>
              <w:t>Confusion matrix, weighted precision/recall/F1, rare-class results, coder agreement, aggregate impact.</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5"/>
              </w:rPr>
              <w:t>Class drift, hierarchy errors, language bias, automation bias.</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Prediction or estimation</w:t>
            </w:r>
          </w:p>
        </w:tc>
        <w:tc>
          <w:tcPr>
            <w:tcW w:type="dxa" w:w="453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Bias, RMSE/MAE, calibration, interval coverage, domain estimates, revision behaviour.</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Leakage, temporal drift, extrapolation, undercoverage of uncertainty.</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t>Imputation</w:t>
            </w:r>
          </w:p>
        </w:tc>
        <w:tc>
          <w:tcPr>
            <w:tcW w:type="dxa" w:w="4536"/>
            <w:vAlign w:val="center"/>
            <w:tcMar>
              <w:top w:w="90" w:type="dxa"/>
              <w:start w:w="100" w:type="dxa"/>
              <w:bottom w:w="90" w:type="dxa"/>
              <w:end w:w="100" w:type="dxa"/>
            </w:tcMar>
          </w:tcPr>
          <w:p>
            <w:pPr>
              <w:keepLines/>
              <w:spacing w:after="0" w:line="240" w:lineRule="auto"/>
            </w:pPr>
            <w:r>
              <w:rPr>
                <w:rFonts w:ascii="Aptos" w:hAnsi="Aptos"/>
                <w:color w:val="000000"/>
                <w:sz w:val="15"/>
              </w:rPr>
              <w:t>Distribution preservation, bias of totals and relationships, variance impact, comparison by missingness pattern.</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5"/>
              </w:rPr>
              <w:t>Over-smoothing, false precision, altered correlations.</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Record linkage</w:t>
            </w:r>
          </w:p>
        </w:tc>
        <w:tc>
          <w:tcPr>
            <w:tcW w:type="dxa" w:w="453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Precision/recall at link level, false-link impact, clerical-review sample, group error.</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Systematic missed links, household or enterprise conflation, identity harm.</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t>Computer vision and remote sensing</w:t>
            </w:r>
          </w:p>
        </w:tc>
        <w:tc>
          <w:tcPr>
            <w:tcW w:type="dxa" w:w="4536"/>
            <w:vAlign w:val="center"/>
            <w:tcMar>
              <w:top w:w="90" w:type="dxa"/>
              <w:start w:w="100" w:type="dxa"/>
              <w:bottom w:w="90" w:type="dxa"/>
              <w:end w:w="100" w:type="dxa"/>
            </w:tcMar>
          </w:tcPr>
          <w:p>
            <w:pPr>
              <w:keepLines/>
              <w:spacing w:after="0" w:line="240" w:lineRule="auto"/>
            </w:pPr>
            <w:r>
              <w:rPr>
                <w:rFonts w:ascii="Aptos" w:hAnsi="Aptos"/>
                <w:color w:val="000000"/>
                <w:sz w:val="15"/>
              </w:rPr>
              <w:t>Reference-sample design, spatial accuracy, area-adjusted estimates, seasonal and sensor robustness.</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5"/>
              </w:rPr>
              <w:t>Spatial autocorrelation, cloud effects, boundary error, domain transfer.</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Anomaly detection</w:t>
            </w:r>
          </w:p>
        </w:tc>
        <w:tc>
          <w:tcPr>
            <w:tcW w:type="dxa" w:w="453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Precision at review capacity, false-alert burden, detection delay, missed high-impact events.</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Alert fatigue, feedback loops, rare legitimate units flagged.</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t>Generative AI</w:t>
            </w:r>
          </w:p>
        </w:tc>
        <w:tc>
          <w:tcPr>
            <w:tcW w:type="dxa" w:w="4536"/>
            <w:vAlign w:val="center"/>
            <w:tcMar>
              <w:top w:w="90" w:type="dxa"/>
              <w:start w:w="100" w:type="dxa"/>
              <w:bottom w:w="90" w:type="dxa"/>
              <w:end w:w="100" w:type="dxa"/>
            </w:tcMar>
          </w:tcPr>
          <w:p>
            <w:pPr>
              <w:keepLines/>
              <w:spacing w:after="0" w:line="240" w:lineRule="auto"/>
            </w:pPr>
            <w:r>
              <w:rPr>
                <w:rFonts w:ascii="Aptos" w:hAnsi="Aptos"/>
                <w:color w:val="000000"/>
                <w:sz w:val="15"/>
              </w:rPr>
              <w:t>Grounded factuality, completeness, unsupported-claim rate, citation validity, consistency, human correction effort.</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5"/>
              </w:rPr>
              <w:t>Fabrication, prompt injection, confidential leakage, persuasive wrong output.</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Optimization</w:t>
            </w:r>
          </w:p>
        </w:tc>
        <w:tc>
          <w:tcPr>
            <w:tcW w:type="dxa" w:w="453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Objective validity, constraints, sensitivity, distributional effects and fallback performance.</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Wrong objective, hidden trade-offs, unstable recommendations.</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t>Synthetic data</w:t>
            </w:r>
          </w:p>
        </w:tc>
        <w:tc>
          <w:tcPr>
            <w:tcW w:type="dxa" w:w="4536"/>
            <w:vAlign w:val="center"/>
            <w:tcMar>
              <w:top w:w="90" w:type="dxa"/>
              <w:start w:w="100" w:type="dxa"/>
              <w:bottom w:w="90" w:type="dxa"/>
              <w:end w:w="100" w:type="dxa"/>
            </w:tcMar>
          </w:tcPr>
          <w:p>
            <w:pPr>
              <w:keepLines/>
              <w:spacing w:after="0" w:line="240" w:lineRule="auto"/>
            </w:pPr>
            <w:r>
              <w:rPr>
                <w:rFonts w:ascii="Aptos" w:hAnsi="Aptos"/>
                <w:color w:val="000000"/>
                <w:sz w:val="15"/>
              </w:rPr>
              <w:t>Utility for specified analyses, disclosure and membership risk, subgroup fidelity.</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5"/>
              </w:rPr>
              <w:t>Privacy overclaim, rare-case leakage, distorted relationships.</w:t>
            </w:r>
          </w:p>
        </w:tc>
      </w:tr>
    </w:tbl>
    <w:p>
      <w:pPr>
        <w:spacing w:after="20"/>
      </w:pPr>
    </w:p>
    <w:p>
      <w:pPr>
        <w:pStyle w:val="Heading2"/>
      </w:pPr>
      <w:r>
        <w:rPr>
          <w:rFonts w:ascii="Aptos" w:hAnsi="Aptos"/>
          <w:color w:val="000000"/>
          <w:sz w:val="20"/>
        </w:rPr>
        <w:t>9.1 Agricultural and food statistics examples</w:t>
      </w:r>
    </w:p>
    <w:p>
      <w:pPr>
        <w:pStyle w:val="ListBullet"/>
        <w:spacing w:after="60"/>
      </w:pPr>
      <w:r>
        <w:rPr>
          <w:rFonts w:ascii="Aptos" w:hAnsi="Aptos"/>
          <w:color w:val="000000"/>
          <w:sz w:val="20"/>
        </w:rPr>
        <w:t>Crop-area estimation: use a probability reference sample, area-adjusted accuracy and estimates by crop and domain; test seasons, sensors and agroecological zones.</w:t>
      </w:r>
    </w:p>
    <w:p>
      <w:pPr>
        <w:pStyle w:val="ListBullet"/>
        <w:spacing w:after="60"/>
      </w:pPr>
      <w:r>
        <w:rPr>
          <w:rFonts w:ascii="Aptos" w:hAnsi="Aptos"/>
          <w:color w:val="000000"/>
          <w:sz w:val="20"/>
        </w:rPr>
        <w:t>Yield prediction: distinguish plot-level prediction from official domain estimation; test calibration, weather extremes, variety and management-system shifts.</w:t>
      </w:r>
    </w:p>
    <w:p>
      <w:pPr>
        <w:pStyle w:val="ListBullet"/>
        <w:spacing w:after="60"/>
      </w:pPr>
      <w:r>
        <w:rPr>
          <w:rFonts w:ascii="Aptos" w:hAnsi="Aptos"/>
          <w:color w:val="000000"/>
          <w:sz w:val="20"/>
        </w:rPr>
        <w:t>Livestock and farm coding: examine rare species, mixed systems, local terminology, multilingual responses and impact on aggregates.</w:t>
      </w:r>
    </w:p>
    <w:p>
      <w:pPr>
        <w:pStyle w:val="ListBullet"/>
        <w:spacing w:after="60"/>
      </w:pPr>
      <w:r>
        <w:rPr>
          <w:rFonts w:ascii="Aptos" w:hAnsi="Aptos"/>
          <w:color w:val="000000"/>
          <w:sz w:val="20"/>
        </w:rPr>
        <w:t>Food security text or image analysis: validate against the defined indicator framework and avoid substituting proxy signals for measured household outcomes.</w:t>
      </w:r>
    </w:p>
    <w:p>
      <w:pPr>
        <w:pStyle w:val="ListBullet"/>
        <w:spacing w:after="60"/>
      </w:pPr>
      <w:r>
        <w:rPr>
          <w:rFonts w:ascii="Aptos" w:hAnsi="Aptos"/>
          <w:color w:val="000000"/>
          <w:sz w:val="20"/>
        </w:rPr>
        <w:t>Research-station information: assess whether experimental conditions generalize to farmer populations before using variety or yield results in national inference.</w:t>
      </w:r>
    </w:p>
    <w:p>
      <w:pPr>
        <w:pStyle w:val="Heading2"/>
      </w:pPr>
      <w:r>
        <w:rPr>
          <w:rFonts w:ascii="Aptos" w:hAnsi="Aptos"/>
          <w:color w:val="000000"/>
          <w:sz w:val="20"/>
        </w:rPr>
        <w:t>9.2 Administrative records</w:t>
      </w:r>
    </w:p>
    <w:p>
      <w:r>
        <w:rPr>
          <w:rFonts w:ascii="Aptos" w:hAnsi="Aptos"/>
          <w:color w:val="000000"/>
          <w:sz w:val="20"/>
        </w:rPr>
        <w:t>Administrative data reflect operational rules, incentives and system changes. Test coverage, concept alignment, duplicates, timeliness, revision, discontinuities and selective participation. AI cannot correct an unknown coverage mechanism merely by increasing predictive accuracy.</w:t>
      </w:r>
    </w:p>
    <w:p>
      <w:r>
        <w:rPr>
          <w:rFonts w:ascii="Aptos" w:hAnsi="Aptos"/>
          <w:color w:val="000000"/>
          <w:sz w:val="20"/>
        </w:rPr>
        <w:br w:type="page"/>
      </w:r>
    </w:p>
    <w:p>
      <w:pPr>
        <w:pStyle w:val="Heading1"/>
      </w:pPr>
      <w:r>
        <w:rPr>
          <w:rFonts w:ascii="Aptos" w:hAnsi="Aptos"/>
          <w:color w:val="000000"/>
          <w:sz w:val="20"/>
        </w:rPr>
        <w:t>10 Monitoring incidents and change control</w:t>
      </w:r>
    </w:p>
    <w:p>
      <w:pPr>
        <w:pStyle w:val="Heading2"/>
      </w:pPr>
      <w:r>
        <w:rPr>
          <w:rFonts w:ascii="Aptos" w:hAnsi="Aptos"/>
          <w:color w:val="000000"/>
          <w:sz w:val="20"/>
        </w:rPr>
        <w:t>10.1 Monitoring plan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6"/>
              </w:rPr>
              <w:t>Indicator family</w:t>
            </w:r>
          </w:p>
        </w:tc>
        <w:tc>
          <w:tcPr>
            <w:tcW w:type="dxa" w:w="4896"/>
            <w:shd w:fill="17365D"/>
            <w:vAlign w:val="center"/>
            <w:tcMar>
              <w:top w:w="90" w:type="dxa"/>
              <w:start w:w="100" w:type="dxa"/>
              <w:bottom w:w="90" w:type="dxa"/>
              <w:end w:w="100" w:type="dxa"/>
            </w:tcMar>
          </w:tcPr>
          <w:p>
            <w:pPr>
              <w:keepLines/>
              <w:spacing w:after="0"/>
              <w:jc w:val="center"/>
            </w:pPr>
            <w:r>
              <w:rPr>
                <w:rFonts w:ascii="Aptos" w:hAnsi="Aptos"/>
                <w:b/>
                <w:color w:val="FFFFFF"/>
                <w:sz w:val="16"/>
              </w:rPr>
              <w:t>Examples</w:t>
            </w:r>
          </w:p>
        </w:tc>
        <w:tc>
          <w:tcPr>
            <w:tcW w:type="dxa" w:w="3096"/>
            <w:shd w:fill="17365D"/>
            <w:vAlign w:val="center"/>
            <w:tcMar>
              <w:top w:w="90" w:type="dxa"/>
              <w:start w:w="100" w:type="dxa"/>
              <w:bottom w:w="90" w:type="dxa"/>
              <w:end w:w="100" w:type="dxa"/>
            </w:tcMar>
          </w:tcPr>
          <w:p>
            <w:pPr>
              <w:keepLines/>
              <w:spacing w:after="0"/>
              <w:jc w:val="center"/>
            </w:pPr>
            <w:r>
              <w:rPr>
                <w:rFonts w:ascii="Aptos" w:hAnsi="Aptos"/>
                <w:b/>
                <w:color w:val="FFFFFF"/>
                <w:sz w:val="16"/>
              </w:rPr>
              <w:t>Trigger response</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Input data</w:t>
            </w:r>
          </w:p>
        </w:tc>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Missing fields, category shares, geographic coverage, sensor or source changes.</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6"/>
              </w:rPr>
              <w:t>Investigate source and pause if validity is uncertain.</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Performance</w:t>
            </w:r>
          </w:p>
        </w:tc>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Error on audited sample, calibration, override rate, subgroup gap.</w:t>
            </w:r>
          </w:p>
        </w:tc>
        <w:tc>
          <w:tcPr>
            <w:tcW w:type="dxa" w:w="30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Increase review, revert or retrain under change control.</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Operations</w:t>
            </w:r>
          </w:p>
        </w:tc>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Latency, failures, cost, queue length, staff time.</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6"/>
              </w:rPr>
              <w:t>Use fallback and assess capacity.</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Security and privacy</w:t>
            </w:r>
          </w:p>
        </w:tc>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Unauthorized access, unusual exports, leakage tests, supplier notices.</w:t>
            </w:r>
          </w:p>
        </w:tc>
        <w:tc>
          <w:tcPr>
            <w:tcW w:type="dxa" w:w="30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Contain, notify and invoke incident process.</w:t>
            </w:r>
          </w:p>
        </w:tc>
      </w:tr>
      <w:tr>
        <w:trPr>
          <w:trHeight w:hRule="atLeast"/>
        </w:trPr>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t>Statistical outputs</w:t>
            </w:r>
          </w:p>
        </w:tc>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Level shifts, revisions, coherence failures, unusual domain estimates.</w:t>
            </w:r>
          </w:p>
        </w:tc>
        <w:tc>
          <w:tcPr>
            <w:tcW w:type="dxa" w:w="3096"/>
            <w:vAlign w:val="center"/>
            <w:tcMar>
              <w:top w:w="90" w:type="dxa"/>
              <w:start w:w="100" w:type="dxa"/>
              <w:bottom w:w="90" w:type="dxa"/>
              <w:end w:w="100" w:type="dxa"/>
            </w:tcMar>
          </w:tcPr>
          <w:p>
            <w:pPr>
              <w:keepLines/>
              <w:spacing w:after="0" w:line="240" w:lineRule="auto"/>
            </w:pPr>
            <w:r>
              <w:rPr>
                <w:rFonts w:ascii="Aptos" w:hAnsi="Aptos"/>
                <w:color w:val="000000"/>
                <w:sz w:val="16"/>
              </w:rPr>
              <w:t>Methodological review before release.</w:t>
            </w:r>
          </w:p>
        </w:tc>
      </w:tr>
      <w:tr>
        <w:trPr>
          <w:trHeight w:hRule="atLeast"/>
        </w:trPr>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Users and public</w:t>
            </w:r>
          </w:p>
        </w:tc>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Complaints, misinterpretation, accessibility or harm reports.</w:t>
            </w:r>
          </w:p>
        </w:tc>
        <w:tc>
          <w:tcPr>
            <w:tcW w:type="dxa" w:w="30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Triage, correct and reassess fitness for use.</w:t>
            </w:r>
          </w:p>
        </w:tc>
      </w:tr>
    </w:tbl>
    <w:p>
      <w:pPr>
        <w:spacing w:after="20"/>
      </w:pPr>
    </w:p>
    <w:p>
      <w:pPr>
        <w:pStyle w:val="Heading2"/>
      </w:pPr>
      <w:r>
        <w:rPr>
          <w:rFonts w:ascii="Aptos" w:hAnsi="Aptos"/>
          <w:color w:val="000000"/>
          <w:sz w:val="20"/>
        </w:rPr>
        <w:t>10.2 Incident severity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584"/>
            <w:shd w:fill="17365D"/>
            <w:vAlign w:val="center"/>
            <w:tcMar>
              <w:top w:w="90" w:type="dxa"/>
              <w:start w:w="100" w:type="dxa"/>
              <w:bottom w:w="90" w:type="dxa"/>
              <w:end w:w="100" w:type="dxa"/>
            </w:tcMar>
          </w:tcPr>
          <w:p>
            <w:pPr>
              <w:keepLines/>
              <w:spacing w:after="0"/>
              <w:jc w:val="center"/>
            </w:pPr>
            <w:r>
              <w:rPr>
                <w:rFonts w:ascii="Aptos" w:hAnsi="Aptos"/>
                <w:b/>
                <w:color w:val="FFFFFF"/>
                <w:sz w:val="17"/>
              </w:rPr>
              <w:t>Severity</w:t>
            </w:r>
          </w:p>
        </w:tc>
        <w:tc>
          <w:tcPr>
            <w:tcW w:type="dxa" w:w="5040"/>
            <w:shd w:fill="17365D"/>
            <w:vAlign w:val="center"/>
            <w:tcMar>
              <w:top w:w="90" w:type="dxa"/>
              <w:start w:w="100" w:type="dxa"/>
              <w:bottom w:w="90" w:type="dxa"/>
              <w:end w:w="100" w:type="dxa"/>
            </w:tcMar>
          </w:tcPr>
          <w:p>
            <w:pPr>
              <w:keepLines/>
              <w:spacing w:after="0"/>
              <w:jc w:val="center"/>
            </w:pPr>
            <w:r>
              <w:rPr>
                <w:rFonts w:ascii="Aptos" w:hAnsi="Aptos"/>
                <w:b/>
                <w:color w:val="FFFFFF"/>
                <w:sz w:val="17"/>
              </w:rPr>
              <w:t>Illustration</w:t>
            </w:r>
          </w:p>
        </w:tc>
        <w:tc>
          <w:tcPr>
            <w:tcW w:type="dxa" w:w="3456"/>
            <w:shd w:fill="17365D"/>
            <w:vAlign w:val="center"/>
            <w:tcMar>
              <w:top w:w="90" w:type="dxa"/>
              <w:start w:w="100" w:type="dxa"/>
              <w:bottom w:w="90" w:type="dxa"/>
              <w:end w:w="100" w:type="dxa"/>
            </w:tcMar>
          </w:tcPr>
          <w:p>
            <w:pPr>
              <w:keepLines/>
              <w:spacing w:after="0"/>
              <w:jc w:val="center"/>
            </w:pPr>
            <w:r>
              <w:rPr>
                <w:rFonts w:ascii="Aptos" w:hAnsi="Aptos"/>
                <w:b/>
                <w:color w:val="FFFFFF"/>
                <w:sz w:val="17"/>
              </w:rPr>
              <w:t>Required action</w:t>
            </w:r>
          </w:p>
        </w:tc>
      </w:tr>
      <w:tr>
        <w:trPr>
          <w:trHeight w:hRule="atLeast"/>
        </w:trPr>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7"/>
              </w:rPr>
              <w:t>1 Minor</w:t>
            </w:r>
          </w:p>
        </w:tc>
        <w:tc>
          <w:tcPr>
            <w:tcW w:type="dxa" w:w="5040"/>
            <w:vAlign w:val="center"/>
            <w:tcMar>
              <w:top w:w="90" w:type="dxa"/>
              <w:start w:w="100" w:type="dxa"/>
              <w:bottom w:w="90" w:type="dxa"/>
              <w:end w:w="100" w:type="dxa"/>
            </w:tcMar>
          </w:tcPr>
          <w:p>
            <w:pPr>
              <w:keepLines/>
              <w:spacing w:after="0" w:line="240" w:lineRule="auto"/>
            </w:pPr>
            <w:r>
              <w:rPr>
                <w:rFonts w:ascii="Aptos" w:hAnsi="Aptos"/>
                <w:color w:val="000000"/>
                <w:sz w:val="17"/>
              </w:rPr>
              <w:t>No effect on protected data or official output; quickly corrected.</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7"/>
              </w:rPr>
              <w:t>Log, correct and review trend.</w:t>
            </w:r>
          </w:p>
        </w:tc>
      </w:tr>
      <w:tr>
        <w:trPr>
          <w:trHeight w:hRule="atLeast"/>
        </w:trPr>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2 Material</w:t>
            </w:r>
          </w:p>
        </w:tc>
        <w:tc>
          <w:tcPr>
            <w:tcW w:type="dxa" w:w="50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Limited quality or service effect contained before release.</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Notify owner, investigate and document corrective action.</w:t>
            </w:r>
          </w:p>
        </w:tc>
      </w:tr>
      <w:tr>
        <w:trPr>
          <w:trHeight w:hRule="atLeast"/>
        </w:trPr>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7"/>
              </w:rPr>
              <w:t>3 Serious</w:t>
            </w:r>
          </w:p>
        </w:tc>
        <w:tc>
          <w:tcPr>
            <w:tcW w:type="dxa" w:w="5040"/>
            <w:vAlign w:val="center"/>
            <w:tcMar>
              <w:top w:w="90" w:type="dxa"/>
              <w:start w:w="100" w:type="dxa"/>
              <w:bottom w:w="90" w:type="dxa"/>
              <w:end w:w="100" w:type="dxa"/>
            </w:tcMar>
          </w:tcPr>
          <w:p>
            <w:pPr>
              <w:keepLines/>
              <w:spacing w:after="0" w:line="240" w:lineRule="auto"/>
            </w:pPr>
            <w:r>
              <w:rPr>
                <w:rFonts w:ascii="Aptos" w:hAnsi="Aptos"/>
                <w:color w:val="000000"/>
                <w:sz w:val="17"/>
              </w:rPr>
              <w:t>Potential confidential-data exposure, material statistical error or affected-group harm.</w:t>
            </w:r>
          </w:p>
        </w:tc>
        <w:tc>
          <w:tcPr>
            <w:tcW w:type="dxa" w:w="3456"/>
            <w:vAlign w:val="center"/>
            <w:tcMar>
              <w:top w:w="90" w:type="dxa"/>
              <w:start w:w="100" w:type="dxa"/>
              <w:bottom w:w="90" w:type="dxa"/>
              <w:end w:w="100" w:type="dxa"/>
            </w:tcMar>
          </w:tcPr>
          <w:p>
            <w:pPr>
              <w:keepLines/>
              <w:spacing w:after="0" w:line="240" w:lineRule="auto"/>
            </w:pPr>
            <w:r>
              <w:rPr>
                <w:rFonts w:ascii="Aptos" w:hAnsi="Aptos"/>
                <w:color w:val="000000"/>
                <w:sz w:val="17"/>
              </w:rPr>
              <w:t>Suspend relevant process, activate incident team and notify competent authorities.</w:t>
            </w:r>
          </w:p>
        </w:tc>
      </w:tr>
      <w:tr>
        <w:trPr>
          <w:trHeight w:hRule="atLeast"/>
        </w:trPr>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4 Critical</w:t>
            </w:r>
          </w:p>
        </w:tc>
        <w:tc>
          <w:tcPr>
            <w:tcW w:type="dxa" w:w="50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Confirmed major disclosure, unlawful use or materially wrong official output.</w:t>
            </w:r>
          </w:p>
        </w:tc>
        <w:tc>
          <w:tcPr>
            <w:tcW w:type="dxa" w:w="345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Stop system, execute fallback and correction, executive escalation and required external notification.</w:t>
            </w:r>
          </w:p>
        </w:tc>
      </w:tr>
    </w:tbl>
    <w:p>
      <w:pPr>
        <w:spacing w:after="20"/>
      </w:pPr>
    </w:p>
    <w:p>
      <w:pPr>
        <w:pStyle w:val="Heading2"/>
      </w:pPr>
      <w:r>
        <w:rPr>
          <w:rFonts w:ascii="Aptos" w:hAnsi="Aptos"/>
          <w:color w:val="000000"/>
          <w:sz w:val="20"/>
        </w:rPr>
        <w:t>10.3 Change control</w:t>
      </w:r>
    </w:p>
    <w:p>
      <w:r>
        <w:rPr>
          <w:rFonts w:ascii="Aptos" w:hAnsi="Aptos"/>
          <w:color w:val="000000"/>
          <w:sz w:val="20"/>
        </w:rPr>
        <w:t>Treat changes to model, provider, prompt, retrieval corpus, training data, variables, classification, thresholds, infrastructure or human-review rules as controlled changes. Classify the change, assess affected evidence, rerun proportionate tests and obtain approval before production use. Emergency security changes may be made under incident authority, followed by retrospective statistical validation.</w:t>
      </w:r>
    </w:p>
    <w:p>
      <w:pPr>
        <w:pStyle w:val="Heading2"/>
      </w:pPr>
      <w:r>
        <w:rPr>
          <w:rFonts w:ascii="Aptos" w:hAnsi="Aptos"/>
          <w:color w:val="000000"/>
          <w:sz w:val="20"/>
        </w:rPr>
        <w:t>10.4 Drift and revalidation</w:t>
      </w:r>
    </w:p>
    <w:p>
      <w:r>
        <w:rPr>
          <w:rFonts w:ascii="Aptos" w:hAnsi="Aptos"/>
          <w:color w:val="000000"/>
          <w:sz w:val="20"/>
        </w:rPr>
        <w:t>Define review frequency and drift triggers before deployment. Revalidation is required when input distributions, measurement systems, populations, policies, seasons, sensors or model services change enough to challenge the original evidence. Scheduled review does not replace trigger-based review.</w:t>
      </w:r>
    </w:p>
    <w:p>
      <w:r>
        <w:rPr>
          <w:rFonts w:ascii="Aptos" w:hAnsi="Aptos"/>
          <w:color w:val="000000"/>
          <w:sz w:val="20"/>
        </w:rPr>
        <w:br w:type="page"/>
      </w:r>
    </w:p>
    <w:p>
      <w:pPr>
        <w:pStyle w:val="Heading1"/>
      </w:pPr>
      <w:r>
        <w:rPr>
          <w:rFonts w:ascii="Aptos" w:hAnsi="Aptos"/>
          <w:color w:val="000000"/>
          <w:sz w:val="20"/>
        </w:rPr>
        <w:t>11 Decision analysis and scale up</w:t>
      </w:r>
    </w:p>
    <w:p>
      <w:pPr>
        <w:pStyle w:val="Heading2"/>
      </w:pPr>
      <w:r>
        <w:rPr>
          <w:rFonts w:ascii="Aptos" w:hAnsi="Aptos"/>
          <w:color w:val="000000"/>
          <w:sz w:val="20"/>
        </w:rPr>
        <w:t>11.1 Assurance case</w:t>
      </w:r>
    </w:p>
    <w:p>
      <w:r>
        <w:rPr>
          <w:rFonts w:ascii="Aptos" w:hAnsi="Aptos"/>
          <w:color w:val="000000"/>
          <w:sz w:val="20"/>
        </w:rPr>
        <w:t>The final assurance case is a structured argument supported by evidence. It states why the proposed use is fit for the defined purpose, the limits of that conclusion, the residual risks, the monitoring commitments and the authority accepting those risks. It includes contrary evidence and unresolved uncertainty.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944"/>
            <w:shd w:fill="17365D"/>
            <w:vAlign w:val="center"/>
            <w:tcMar>
              <w:top w:w="90" w:type="dxa"/>
              <w:start w:w="100" w:type="dxa"/>
              <w:bottom w:w="90" w:type="dxa"/>
              <w:end w:w="100" w:type="dxa"/>
            </w:tcMar>
          </w:tcPr>
          <w:p>
            <w:pPr>
              <w:keepLines/>
              <w:spacing w:after="0"/>
              <w:jc w:val="center"/>
            </w:pPr>
            <w:r>
              <w:rPr>
                <w:rFonts w:ascii="Aptos" w:hAnsi="Aptos"/>
                <w:b/>
                <w:color w:val="FFFFFF"/>
                <w:sz w:val="16"/>
              </w:rPr>
              <w:t>Decision</w:t>
            </w:r>
          </w:p>
        </w:tc>
        <w:tc>
          <w:tcPr>
            <w:tcW w:type="dxa" w:w="4824"/>
            <w:shd w:fill="17365D"/>
            <w:vAlign w:val="center"/>
            <w:tcMar>
              <w:top w:w="90" w:type="dxa"/>
              <w:start w:w="100" w:type="dxa"/>
              <w:bottom w:w="90" w:type="dxa"/>
              <w:end w:w="100" w:type="dxa"/>
            </w:tcMar>
          </w:tcPr>
          <w:p>
            <w:pPr>
              <w:keepLines/>
              <w:spacing w:after="0"/>
              <w:jc w:val="center"/>
            </w:pPr>
            <w:r>
              <w:rPr>
                <w:rFonts w:ascii="Aptos" w:hAnsi="Aptos"/>
                <w:b/>
                <w:color w:val="FFFFFF"/>
                <w:sz w:val="16"/>
              </w:rPr>
              <w:t>When appropriate</w:t>
            </w:r>
          </w:p>
        </w:tc>
        <w:tc>
          <w:tcPr>
            <w:tcW w:type="dxa" w:w="3312"/>
            <w:shd w:fill="17365D"/>
            <w:vAlign w:val="center"/>
            <w:tcMar>
              <w:top w:w="90" w:type="dxa"/>
              <w:start w:w="100" w:type="dxa"/>
              <w:bottom w:w="90" w:type="dxa"/>
              <w:end w:w="100" w:type="dxa"/>
            </w:tcMar>
          </w:tcPr>
          <w:p>
            <w:pPr>
              <w:keepLines/>
              <w:spacing w:after="0"/>
              <w:jc w:val="center"/>
            </w:pPr>
            <w:r>
              <w:rPr>
                <w:rFonts w:ascii="Aptos" w:hAnsi="Aptos"/>
                <w:b/>
                <w:color w:val="FFFFFF"/>
                <w:sz w:val="16"/>
              </w:rPr>
              <w:t>Required record</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6"/>
              </w:rPr>
              <w:t>Approve controlled deployment</w:t>
            </w:r>
          </w:p>
        </w:tc>
        <w:tc>
          <w:tcPr>
            <w:tcW w:type="dxa" w:w="4824"/>
            <w:vAlign w:val="center"/>
            <w:tcMar>
              <w:top w:w="90" w:type="dxa"/>
              <w:start w:w="100" w:type="dxa"/>
              <w:bottom w:w="90" w:type="dxa"/>
              <w:end w:w="100" w:type="dxa"/>
            </w:tcMar>
          </w:tcPr>
          <w:p>
            <w:pPr>
              <w:keepLines/>
              <w:spacing w:after="0" w:line="240" w:lineRule="auto"/>
            </w:pPr>
            <w:r>
              <w:rPr>
                <w:rFonts w:ascii="Aptos" w:hAnsi="Aptos"/>
                <w:color w:val="000000"/>
                <w:sz w:val="16"/>
              </w:rPr>
              <w:t>All mandatory gates met; primary thresholds met; residual risk accepted; monitoring and fallback ready.</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Scope, version, conditions, review date and release authority.</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Approve with conditions</w:t>
            </w:r>
          </w:p>
        </w:tc>
        <w:tc>
          <w:tcPr>
            <w:tcW w:type="dxa" w:w="48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Evidence is adequate for a restricted scope and conditions are enforceable.</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Condition, owner, deadline, interim safeguard and expiry.</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6"/>
              </w:rPr>
              <w:t>Extend pilot</w:t>
            </w:r>
          </w:p>
        </w:tc>
        <w:tc>
          <w:tcPr>
            <w:tcW w:type="dxa" w:w="4824"/>
            <w:vAlign w:val="center"/>
            <w:tcMar>
              <w:top w:w="90" w:type="dxa"/>
              <w:start w:w="100" w:type="dxa"/>
              <w:bottom w:w="90" w:type="dxa"/>
              <w:end w:w="100" w:type="dxa"/>
            </w:tcMar>
          </w:tcPr>
          <w:p>
            <w:pPr>
              <w:keepLines/>
              <w:spacing w:after="0" w:line="240" w:lineRule="auto"/>
            </w:pPr>
            <w:r>
              <w:rPr>
                <w:rFonts w:ascii="Aptos" w:hAnsi="Aptos"/>
                <w:color w:val="000000"/>
                <w:sz w:val="16"/>
              </w:rPr>
              <w:t>A pre-specified uncertainty remains and additional evidence can resolve it without production influence.</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New question, data, duration and cost ceiling.</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Redesign</w:t>
            </w:r>
          </w:p>
        </w:tc>
        <w:tc>
          <w:tcPr>
            <w:tcW w:type="dxa" w:w="48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The use remains valuable but method, data, workflow or controls are inadequate.</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Failure analysis and new design approval.</w:t>
            </w:r>
          </w:p>
        </w:tc>
      </w:tr>
      <w:tr>
        <w:trPr>
          <w:trHeight w:hRule="atLeast"/>
        </w:trPr>
        <w:tc>
          <w:tcPr>
            <w:tcW w:type="dxa" w:w="1944"/>
            <w:vAlign w:val="center"/>
            <w:tcMar>
              <w:top w:w="90" w:type="dxa"/>
              <w:start w:w="100" w:type="dxa"/>
              <w:bottom w:w="90" w:type="dxa"/>
              <w:end w:w="100" w:type="dxa"/>
            </w:tcMar>
          </w:tcPr>
          <w:p>
            <w:pPr>
              <w:keepLines/>
              <w:spacing w:after="0" w:line="240" w:lineRule="auto"/>
            </w:pPr>
            <w:r>
              <w:rPr>
                <w:rFonts w:ascii="Aptos" w:hAnsi="Aptos"/>
                <w:color w:val="000000"/>
                <w:sz w:val="16"/>
              </w:rPr>
              <w:t>Reject</w:t>
            </w:r>
          </w:p>
        </w:tc>
        <w:tc>
          <w:tcPr>
            <w:tcW w:type="dxa" w:w="4824"/>
            <w:vAlign w:val="center"/>
            <w:tcMar>
              <w:top w:w="90" w:type="dxa"/>
              <w:start w:w="100" w:type="dxa"/>
              <w:bottom w:w="90" w:type="dxa"/>
              <w:end w:w="100" w:type="dxa"/>
            </w:tcMar>
          </w:tcPr>
          <w:p>
            <w:pPr>
              <w:keepLines/>
              <w:spacing w:after="0" w:line="240" w:lineRule="auto"/>
            </w:pPr>
            <w:r>
              <w:rPr>
                <w:rFonts w:ascii="Aptos" w:hAnsi="Aptos"/>
                <w:color w:val="000000"/>
                <w:sz w:val="16"/>
              </w:rPr>
              <w:t>Benefit is insufficient, risk unacceptable or evidence contradicts the claims.</w:t>
            </w:r>
          </w:p>
        </w:tc>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6"/>
              </w:rPr>
              <w:t>Reasons and consequences for related use cases.</w:t>
            </w:r>
          </w:p>
        </w:tc>
      </w:tr>
      <w:tr>
        <w:trPr>
          <w:trHeight w:hRule="atLeast"/>
        </w:trPr>
        <w:tc>
          <w:tcPr>
            <w:tcW w:type="dxa" w:w="194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Close without decision</w:t>
            </w:r>
          </w:p>
        </w:tc>
        <w:tc>
          <w:tcPr>
            <w:tcW w:type="dxa" w:w="482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External change or loss of need makes further work unjustified.</w:t>
            </w:r>
          </w:p>
        </w:tc>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Closure, data disposition and lessons.</w:t>
            </w:r>
          </w:p>
        </w:tc>
      </w:tr>
    </w:tbl>
    <w:p>
      <w:pPr>
        <w:spacing w:after="20"/>
      </w:pPr>
    </w:p>
    <w:p>
      <w:pPr>
        <w:pStyle w:val="Heading2"/>
      </w:pPr>
      <w:r>
        <w:rPr>
          <w:rFonts w:ascii="Aptos" w:hAnsi="Aptos"/>
          <w:color w:val="000000"/>
          <w:sz w:val="20"/>
        </w:rPr>
        <w:t>11.2 Scale-up conditions</w:t>
      </w:r>
    </w:p>
    <w:p>
      <w:pPr>
        <w:pStyle w:val="ListBullet"/>
        <w:spacing w:after="60"/>
      </w:pPr>
      <w:r>
        <w:rPr>
          <w:rFonts w:ascii="Aptos" w:hAnsi="Aptos"/>
          <w:color w:val="000000"/>
          <w:sz w:val="20"/>
        </w:rPr>
        <w:t>A production owner, operating procedure and support arrangement.</w:t>
      </w:r>
    </w:p>
    <w:p>
      <w:pPr>
        <w:pStyle w:val="ListBullet"/>
        <w:spacing w:after="60"/>
      </w:pPr>
      <w:r>
        <w:rPr>
          <w:rFonts w:ascii="Aptos" w:hAnsi="Aptos"/>
          <w:color w:val="000000"/>
          <w:sz w:val="20"/>
        </w:rPr>
        <w:t>Approved procurement and sustainable total cost, including review and monitoring.</w:t>
      </w:r>
    </w:p>
    <w:p>
      <w:pPr>
        <w:pStyle w:val="ListBullet"/>
        <w:spacing w:after="60"/>
      </w:pPr>
      <w:r>
        <w:rPr>
          <w:rFonts w:ascii="Aptos" w:hAnsi="Aptos"/>
          <w:color w:val="000000"/>
          <w:sz w:val="20"/>
        </w:rPr>
        <w:t>Training for operators, reviewers, methodologists, managers and incident responders.</w:t>
      </w:r>
    </w:p>
    <w:p>
      <w:pPr>
        <w:pStyle w:val="ListBullet"/>
        <w:spacing w:after="60"/>
      </w:pPr>
      <w:r>
        <w:rPr>
          <w:rFonts w:ascii="Aptos" w:hAnsi="Aptos"/>
          <w:color w:val="000000"/>
          <w:sz w:val="20"/>
        </w:rPr>
        <w:t>Version and change-management procedure.</w:t>
      </w:r>
    </w:p>
    <w:p>
      <w:pPr>
        <w:pStyle w:val="ListBullet"/>
        <w:spacing w:after="60"/>
      </w:pPr>
      <w:r>
        <w:rPr>
          <w:rFonts w:ascii="Aptos" w:hAnsi="Aptos"/>
          <w:color w:val="000000"/>
          <w:sz w:val="20"/>
        </w:rPr>
        <w:t>Production monitoring, audit sample and public method documentation.</w:t>
      </w:r>
    </w:p>
    <w:p>
      <w:pPr>
        <w:pStyle w:val="ListBullet"/>
        <w:spacing w:after="60"/>
      </w:pPr>
      <w:r>
        <w:rPr>
          <w:rFonts w:ascii="Aptos" w:hAnsi="Aptos"/>
          <w:color w:val="000000"/>
          <w:sz w:val="20"/>
        </w:rPr>
        <w:t>Fallback, continuity and supplier exit plan.</w:t>
      </w:r>
    </w:p>
    <w:p>
      <w:pPr>
        <w:pStyle w:val="ListBullet"/>
        <w:spacing w:after="60"/>
      </w:pPr>
      <w:r>
        <w:rPr>
          <w:rFonts w:ascii="Aptos" w:hAnsi="Aptos"/>
          <w:color w:val="000000"/>
          <w:sz w:val="20"/>
        </w:rPr>
        <w:t>A defined date for post-implementation review.</w:t>
      </w:r>
    </w:p>
    <w:p>
      <w:pPr>
        <w:pStyle w:val="Heading2"/>
      </w:pPr>
      <w:r>
        <w:rPr>
          <w:rFonts w:ascii="Aptos" w:hAnsi="Aptos"/>
          <w:color w:val="000000"/>
          <w:sz w:val="20"/>
        </w:rPr>
        <w:t>11.3 Public transparency</w:t>
      </w:r>
    </w:p>
    <w:p>
      <w:r>
        <w:rPr>
          <w:rFonts w:ascii="Aptos" w:hAnsi="Aptos"/>
          <w:color w:val="000000"/>
          <w:sz w:val="20"/>
        </w:rPr>
        <w:t>When AI materially affects official statistics, publish proportionate information on the purpose, data sources, role of the system, human oversight, validation, quality implications, limitations and change in method. Protect confidential information and security details while providing enough information to support correct interpretation and accountability.</w:t>
      </w:r>
    </w:p>
    <w:p>
      <w:pPr>
        <w:pStyle w:val="Heading2"/>
      </w:pPr>
      <w:r>
        <w:rPr>
          <w:rFonts w:ascii="Aptos" w:hAnsi="Aptos"/>
          <w:color w:val="000000"/>
          <w:sz w:val="20"/>
        </w:rPr>
        <w:t>11.4 Benefits realization</w:t>
      </w:r>
    </w:p>
    <w:p>
      <w:r>
        <w:rPr>
          <w:rFonts w:ascii="Aptos" w:hAnsi="Aptos"/>
          <w:color w:val="000000"/>
          <w:sz w:val="20"/>
        </w:rPr>
        <w:t>After implementation, compare actual quality, timeliness, cost, burden and staff effects with the charter. Count the continuing cost of review, correction, licensing, compute, security and supplier management. A pilot that saves model-processing time but adds larger review and remediation costs has not delivered the claimed efficiency.</w:t>
      </w:r>
    </w:p>
    <w:p>
      <w:r>
        <w:rPr>
          <w:rFonts w:ascii="Aptos" w:hAnsi="Aptos"/>
          <w:color w:val="000000"/>
          <w:sz w:val="20"/>
        </w:rPr>
        <w:br w:type="page"/>
      </w:r>
    </w:p>
    <w:p>
      <w:pPr>
        <w:pStyle w:val="Heading1"/>
      </w:pPr>
      <w:r>
        <w:rPr>
          <w:rFonts w:ascii="Aptos" w:hAnsi="Aptos"/>
          <w:color w:val="000000"/>
          <w:sz w:val="20"/>
        </w:rPr>
        <w:t>12 Proportionate implementation for different statistical systems</w:t>
      </w:r>
    </w:p>
    <w:p>
      <w:r>
        <w:rPr>
          <w:rFonts w:ascii="Aptos" w:hAnsi="Aptos"/>
          <w:color w:val="000000"/>
          <w:sz w:val="20"/>
        </w:rPr>
        <w:t>The protocol defines functions, evidence and decision rights. It does not require every country to create a new unit or buy an expensive platform. Advanced and resource-constrained systems can meet the same accountability objective through different operating models.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7"/>
              </w:rPr>
              <w:t>Context</w:t>
            </w:r>
          </w:p>
        </w:tc>
        <w:tc>
          <w:tcPr>
            <w:tcW w:type="dxa" w:w="7056"/>
            <w:shd w:fill="17365D"/>
            <w:vAlign w:val="center"/>
            <w:tcMar>
              <w:top w:w="90" w:type="dxa"/>
              <w:start w:w="100" w:type="dxa"/>
              <w:bottom w:w="90" w:type="dxa"/>
              <w:end w:w="100" w:type="dxa"/>
            </w:tcMar>
          </w:tcPr>
          <w:p>
            <w:pPr>
              <w:keepLines/>
              <w:spacing w:after="0"/>
              <w:jc w:val="center"/>
            </w:pPr>
            <w:r>
              <w:rPr>
                <w:rFonts w:ascii="Aptos" w:hAnsi="Aptos"/>
                <w:b/>
                <w:color w:val="FFFFFF"/>
                <w:sz w:val="17"/>
              </w:rPr>
              <w:t>Practical implementation</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7"/>
              </w:rPr>
              <w:t>Centralized and well resourced</w:t>
            </w:r>
          </w:p>
        </w:tc>
        <w:tc>
          <w:tcPr>
            <w:tcW w:type="dxa" w:w="7056"/>
            <w:vAlign w:val="center"/>
            <w:tcMar>
              <w:top w:w="90" w:type="dxa"/>
              <w:start w:w="100" w:type="dxa"/>
              <w:bottom w:w="90" w:type="dxa"/>
              <w:end w:w="100" w:type="dxa"/>
            </w:tcMar>
          </w:tcPr>
          <w:p>
            <w:pPr>
              <w:keepLines/>
              <w:spacing w:after="0" w:line="240" w:lineRule="auto"/>
            </w:pPr>
            <w:r>
              <w:rPr>
                <w:rFonts w:ascii="Aptos" w:hAnsi="Aptos"/>
                <w:color w:val="000000"/>
                <w:sz w:val="17"/>
              </w:rPr>
              <w:t>Permanent multidisciplinary assurance board, secure shared platform, automated monitoring, independent validation team and reusable test harnesses.</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Decentralized and well resourced</w:t>
            </w:r>
          </w:p>
        </w:tc>
        <w:tc>
          <w:tcPr>
            <w:tcW w:type="dxa" w:w="705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System-wide minimum standard, federated sector reviews, shared model and vendor register, common secure services and central review of high-consequence uses.</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7"/>
              </w:rPr>
              <w:t>Centralized with limited resources</w:t>
            </w:r>
          </w:p>
        </w:tc>
        <w:tc>
          <w:tcPr>
            <w:tcW w:type="dxa" w:w="7056"/>
            <w:vAlign w:val="center"/>
            <w:tcMar>
              <w:top w:w="90" w:type="dxa"/>
              <w:start w:w="100" w:type="dxa"/>
              <w:bottom w:w="90" w:type="dxa"/>
              <w:end w:w="100" w:type="dxa"/>
            </w:tcMar>
          </w:tcPr>
          <w:p>
            <w:pPr>
              <w:keepLines/>
              <w:spacing w:after="0" w:line="240" w:lineRule="auto"/>
            </w:pPr>
            <w:r>
              <w:rPr>
                <w:rFonts w:ascii="Aptos" w:hAnsi="Aptos"/>
                <w:color w:val="000000"/>
                <w:sz w:val="17"/>
              </w:rPr>
              <w:t>Small cross-functional committee, narrow pilot scope, open and reproducible tools, manual audit samples, regional or international peer review and shared infrastructure.</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Decentralized with limited resources</w:t>
            </w:r>
          </w:p>
        </w:tc>
        <w:tc>
          <w:tcPr>
            <w:tcW w:type="dxa" w:w="705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Lead agency provides standard templates and pooled expertise; sectors nominate owners; high-risk pilots are reviewed jointly; prioritize a few reusable use cases.</w:t>
            </w:r>
          </w:p>
        </w:tc>
      </w:tr>
    </w:tbl>
    <w:p>
      <w:pPr>
        <w:spacing w:after="20"/>
      </w:pPr>
    </w:p>
    <w:p>
      <w:pPr>
        <w:pStyle w:val="Heading2"/>
      </w:pPr>
      <w:r>
        <w:rPr>
          <w:rFonts w:ascii="Aptos" w:hAnsi="Aptos"/>
          <w:color w:val="000000"/>
          <w:sz w:val="20"/>
        </w:rPr>
        <w:t>12.1 Minimum viable assurance</w:t>
      </w:r>
    </w:p>
    <w:p>
      <w:r>
        <w:rPr>
          <w:rFonts w:ascii="Aptos" w:hAnsi="Aptos"/>
          <w:color w:val="000000"/>
          <w:sz w:val="20"/>
        </w:rPr>
        <w:t>Even the smallest pilot must have: a named statistical owner; defined use and benchmark; representative test; documented metrics and thresholds; approved data environment; human review; error and subgroup analysis; version record; stopping rule; and written decision. If these cannot be provided, the institution is not ready to run that use case.</w:t>
      </w:r>
    </w:p>
    <w:p>
      <w:pPr>
        <w:pStyle w:val="Heading2"/>
      </w:pPr>
      <w:r>
        <w:rPr>
          <w:rFonts w:ascii="Aptos" w:hAnsi="Aptos"/>
          <w:color w:val="000000"/>
          <w:sz w:val="20"/>
        </w:rPr>
        <w:t>12.2 Capacity building during the pilot</w:t>
      </w:r>
    </w:p>
    <w:p>
      <w:pPr>
        <w:pStyle w:val="ListBullet"/>
        <w:spacing w:after="60"/>
      </w:pPr>
      <w:r>
        <w:rPr>
          <w:rFonts w:ascii="Aptos" w:hAnsi="Aptos"/>
          <w:color w:val="000000"/>
          <w:sz w:val="20"/>
        </w:rPr>
        <w:t>Pair subject-matter statisticians with data scientists and system staff.</w:t>
      </w:r>
    </w:p>
    <w:p>
      <w:pPr>
        <w:pStyle w:val="ListBullet"/>
        <w:spacing w:after="60"/>
      </w:pPr>
      <w:r>
        <w:rPr>
          <w:rFonts w:ascii="Aptos" w:hAnsi="Aptos"/>
          <w:color w:val="000000"/>
          <w:sz w:val="20"/>
        </w:rPr>
        <w:t>Use the pilot evidence pack as the training curriculum.</w:t>
      </w:r>
    </w:p>
    <w:p>
      <w:pPr>
        <w:pStyle w:val="ListBullet"/>
        <w:spacing w:after="60"/>
      </w:pPr>
      <w:r>
        <w:rPr>
          <w:rFonts w:ascii="Aptos" w:hAnsi="Aptos"/>
          <w:color w:val="000000"/>
          <w:sz w:val="20"/>
        </w:rPr>
        <w:t>Require staff to reproduce a subset of results instead of relying entirely on consultants.</w:t>
      </w:r>
    </w:p>
    <w:p>
      <w:pPr>
        <w:pStyle w:val="ListBullet"/>
        <w:spacing w:after="60"/>
      </w:pPr>
      <w:r>
        <w:rPr>
          <w:rFonts w:ascii="Aptos" w:hAnsi="Aptos"/>
          <w:color w:val="000000"/>
          <w:sz w:val="20"/>
        </w:rPr>
        <w:t>Document local terms, classifications, seasonal patterns and administrative processes.</w:t>
      </w:r>
    </w:p>
    <w:p>
      <w:pPr>
        <w:pStyle w:val="ListBullet"/>
        <w:spacing w:after="60"/>
      </w:pPr>
      <w:r>
        <w:rPr>
          <w:rFonts w:ascii="Aptos" w:hAnsi="Aptos"/>
          <w:color w:val="000000"/>
          <w:sz w:val="20"/>
        </w:rPr>
        <w:t>Convert lessons into reusable code, checklists, reference datasets and procurement clauses.</w:t>
      </w:r>
    </w:p>
    <w:p>
      <w:pPr>
        <w:pStyle w:val="Heading2"/>
      </w:pPr>
      <w:r>
        <w:rPr>
          <w:rFonts w:ascii="Aptos" w:hAnsi="Aptos"/>
          <w:color w:val="000000"/>
          <w:sz w:val="20"/>
        </w:rPr>
        <w:t>12.3 External partners and consultants</w:t>
      </w:r>
    </w:p>
    <w:p>
      <w:r>
        <w:rPr>
          <w:rFonts w:ascii="Aptos" w:hAnsi="Aptos"/>
          <w:color w:val="000000"/>
          <w:sz w:val="20"/>
        </w:rPr>
        <w:t>Partners may supply expertise and infrastructure, but the institution must retain access to data, artefacts, documentation and decision records. Contracts should address confidentiality, intellectual property, model and data portability, audit access, staff transfer of knowledge, service continuity and exit. Donor timelines must not override statistical gates.</w:t>
      </w:r>
    </w:p>
    <w:p>
      <w:r>
        <w:rPr>
          <w:rFonts w:ascii="Aptos" w:hAnsi="Aptos"/>
          <w:color w:val="000000"/>
          <w:sz w:val="20"/>
        </w:rPr>
        <w:br w:type="page"/>
      </w:r>
    </w:p>
    <w:p>
      <w:pPr>
        <w:pStyle w:val="Heading1"/>
      </w:pPr>
      <w:r>
        <w:rPr>
          <w:rFonts w:ascii="Aptos" w:hAnsi="Aptos"/>
          <w:color w:val="000000"/>
          <w:sz w:val="20"/>
        </w:rPr>
        <w:t>Annex A Pilot charter</w:t>
      </w:r>
    </w:p>
    <w:p>
      <w:r>
        <w:rPr>
          <w:rFonts w:ascii="Aptos" w:hAnsi="Aptos"/>
          <w:color w:val="000000"/>
          <w:sz w:val="20"/>
        </w:rPr>
        <w:t>Complete before design approval. Attach the Phase 1E use-case record.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3240"/>
            <w:shd w:fill="17365D"/>
            <w:vAlign w:val="center"/>
            <w:tcMar>
              <w:top w:w="90" w:type="dxa"/>
              <w:start w:w="100" w:type="dxa"/>
              <w:bottom w:w="90" w:type="dxa"/>
              <w:end w:w="100" w:type="dxa"/>
            </w:tcMar>
          </w:tcPr>
          <w:p>
            <w:pPr>
              <w:keepLines/>
              <w:spacing w:after="0"/>
              <w:jc w:val="center"/>
            </w:pPr>
            <w:r>
              <w:rPr>
                <w:rFonts w:ascii="Aptos" w:hAnsi="Aptos"/>
                <w:b/>
                <w:color w:val="FFFFFF"/>
                <w:sz w:val="17"/>
              </w:rPr>
              <w:t>Field</w:t>
            </w:r>
          </w:p>
        </w:tc>
        <w:tc>
          <w:tcPr>
            <w:tcW w:type="dxa" w:w="6696"/>
            <w:shd w:fill="17365D"/>
            <w:vAlign w:val="center"/>
            <w:tcMar>
              <w:top w:w="90" w:type="dxa"/>
              <w:start w:w="100" w:type="dxa"/>
              <w:bottom w:w="90" w:type="dxa"/>
              <w:end w:w="100" w:type="dxa"/>
            </w:tcMar>
          </w:tcPr>
          <w:p>
            <w:pPr>
              <w:keepLines/>
              <w:spacing w:after="0"/>
              <w:jc w:val="center"/>
            </w:pPr>
            <w:r>
              <w:rPr>
                <w:rFonts w:ascii="Aptos" w:hAnsi="Aptos"/>
                <w:b/>
                <w:color w:val="FFFFFF"/>
                <w:sz w:val="17"/>
              </w:rPr>
              <w:t>Required entry</w:t>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Pilot ID and use-case ID</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Title and statistical programme</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Accountable statistical owner</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Pilot manager and technical lead</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Problem and current baseline</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Official output or decision affected</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Users and affected groups</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AI role and prohibited actions</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In-scope population, geography, period and data</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Out-of-scope uses</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Primary testable claim</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Secondary claims</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Baseline method and version</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Consequence level and rationale</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Pilot duration, volume and cost ceiling</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Required approvals</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tcPr>
          <w:p>
            <w:pPr>
              <w:keepLines/>
              <w:spacing w:after="0" w:line="240" w:lineRule="auto"/>
            </w:pPr>
            <w:r>
              <w:rPr>
                <w:rFonts w:ascii="Aptos" w:hAnsi="Aptos"/>
                <w:color w:val="000000"/>
                <w:sz w:val="17"/>
              </w:rPr>
              <w:t>Stopping rules</w:t>
            </w:r>
          </w:p>
        </w:tc>
        <w:tc>
          <w:tcPr>
            <w:tcW w:type="dxa" w:w="669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2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Expected evidence and final decision date</w:t>
            </w:r>
          </w:p>
        </w:tc>
        <w:tc>
          <w:tcPr>
            <w:tcW w:type="dxa" w:w="669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bl>
    <w:p>
      <w:pPr>
        <w:spacing w:after="20"/>
      </w:pPr>
    </w:p>
    <w:p>
      <w:pPr>
        <w:pStyle w:val="Heading2"/>
      </w:pPr>
      <w:r>
        <w:rPr>
          <w:rFonts w:ascii="Aptos" w:hAnsi="Aptos"/>
          <w:color w:val="000000"/>
          <w:sz w:val="20"/>
        </w:rPr>
        <w:t>Charter approval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rHeight w:hRule="atLeast"/>
          <w:tblHeader w:val="true"/>
        </w:trPr>
        <w:tc>
          <w:tcPr>
            <w:tcW w:type="dxa" w:w="2592"/>
            <w:shd w:fill="17365D"/>
            <w:vAlign w:val="center"/>
            <w:tcMar>
              <w:top w:w="90" w:type="dxa"/>
              <w:start w:w="100" w:type="dxa"/>
              <w:bottom w:w="90" w:type="dxa"/>
              <w:end w:w="100" w:type="dxa"/>
            </w:tcMar>
          </w:tcPr>
          <w:p>
            <w:pPr>
              <w:keepLines/>
              <w:spacing w:after="0"/>
              <w:jc w:val="center"/>
            </w:pPr>
            <w:r>
              <w:rPr>
                <w:rFonts w:ascii="Aptos" w:hAnsi="Aptos"/>
                <w:b/>
                <w:color w:val="FFFFFF"/>
                <w:sz w:val="17"/>
              </w:rPr>
              <w:t>Role</w:t>
            </w:r>
          </w:p>
        </w:tc>
        <w:tc>
          <w:tcPr>
            <w:tcW w:type="dxa" w:w="2592"/>
            <w:shd w:fill="17365D"/>
            <w:vAlign w:val="center"/>
            <w:tcMar>
              <w:top w:w="90" w:type="dxa"/>
              <w:start w:w="100" w:type="dxa"/>
              <w:bottom w:w="90" w:type="dxa"/>
              <w:end w:w="100" w:type="dxa"/>
            </w:tcMar>
          </w:tcPr>
          <w:p>
            <w:pPr>
              <w:keepLines/>
              <w:spacing w:after="0"/>
              <w:jc w:val="center"/>
            </w:pPr>
            <w:r>
              <w:rPr>
                <w:rFonts w:ascii="Aptos" w:hAnsi="Aptos"/>
                <w:b/>
                <w:color w:val="FFFFFF"/>
                <w:sz w:val="17"/>
              </w:rPr>
              <w:t>Name</w:t>
            </w:r>
          </w:p>
        </w:tc>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7"/>
              </w:rPr>
              <w:t>Decision</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7"/>
              </w:rPr>
              <w:t>Date and signature</w:t>
            </w:r>
          </w:p>
        </w:tc>
      </w:tr>
      <w:tr>
        <w:trPr>
          <w:trHeight w:hRule="atLeast"/>
        </w:trPr>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t>Accountable statistical owner</w:t>
            </w:r>
          </w:p>
        </w:tc>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7"/>
              </w:rPr>
              <w:t>☐ Approve  ☐ Return</w:t>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259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Methodology reviewer</w:t>
            </w:r>
          </w:p>
        </w:tc>
        <w:tc>
          <w:tcPr>
            <w:tcW w:type="dxa" w:w="259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 Approve  ☐ Return</w:t>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t>Pilot manager</w:t>
            </w:r>
          </w:p>
        </w:tc>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7"/>
              </w:rPr>
              <w:t>☐ Accept responsibility</w:t>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7"/>
              </w:rPr>
            </w:r>
          </w:p>
        </w:tc>
      </w:tr>
    </w:tbl>
    <w:p>
      <w:pPr>
        <w:spacing w:after="20"/>
      </w:pPr>
    </w:p>
    <w:p>
      <w:r>
        <w:rPr>
          <w:rFonts w:ascii="Aptos" w:hAnsi="Aptos"/>
          <w:color w:val="000000"/>
          <w:sz w:val="20"/>
        </w:rPr>
        <w:br w:type="page"/>
      </w:r>
    </w:p>
    <w:p>
      <w:pPr>
        <w:pStyle w:val="Heading1"/>
      </w:pPr>
      <w:r>
        <w:rPr>
          <w:rFonts w:ascii="Aptos" w:hAnsi="Aptos"/>
          <w:color w:val="000000"/>
          <w:sz w:val="20"/>
        </w:rPr>
        <w:t>Annex B Evaluation matrix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rPr>
          <w:trHeight w:hRule="atLeast"/>
          <w:tblHeader w:val="true"/>
        </w:trPr>
        <w:tc>
          <w:tcPr>
            <w:tcW w:type="dxa" w:w="1728"/>
            <w:shd w:fill="17365D"/>
            <w:vAlign w:val="center"/>
            <w:tcMar>
              <w:top w:w="90" w:type="dxa"/>
              <w:start w:w="100" w:type="dxa"/>
              <w:bottom w:w="90" w:type="dxa"/>
              <w:end w:w="100" w:type="dxa"/>
            </w:tcMar>
          </w:tcPr>
          <w:p>
            <w:pPr>
              <w:keepLines/>
              <w:spacing w:after="0"/>
              <w:jc w:val="center"/>
            </w:pPr>
            <w:r>
              <w:rPr>
                <w:rFonts w:ascii="Aptos" w:hAnsi="Aptos"/>
                <w:b/>
                <w:color w:val="FFFFFF"/>
                <w:sz w:val="15"/>
              </w:rPr>
              <w:t>Claim or risk</w:t>
            </w:r>
          </w:p>
        </w:tc>
        <w:tc>
          <w:tcPr>
            <w:tcW w:type="dxa" w:w="2088"/>
            <w:shd w:fill="17365D"/>
            <w:vAlign w:val="center"/>
            <w:tcMar>
              <w:top w:w="90" w:type="dxa"/>
              <w:start w:w="100" w:type="dxa"/>
              <w:bottom w:w="90" w:type="dxa"/>
              <w:end w:w="100" w:type="dxa"/>
            </w:tcMar>
          </w:tcPr>
          <w:p>
            <w:pPr>
              <w:keepLines/>
              <w:spacing w:after="0"/>
              <w:jc w:val="center"/>
            </w:pPr>
            <w:r>
              <w:rPr>
                <w:rFonts w:ascii="Aptos" w:hAnsi="Aptos"/>
                <w:b/>
                <w:color w:val="FFFFFF"/>
                <w:sz w:val="15"/>
              </w:rPr>
              <w:t>Metric and population</w:t>
            </w:r>
          </w:p>
        </w:tc>
        <w:tc>
          <w:tcPr>
            <w:tcW w:type="dxa" w:w="1008"/>
            <w:shd w:fill="17365D"/>
            <w:vAlign w:val="center"/>
            <w:tcMar>
              <w:top w:w="90" w:type="dxa"/>
              <w:start w:w="100" w:type="dxa"/>
              <w:bottom w:w="90" w:type="dxa"/>
              <w:end w:w="100" w:type="dxa"/>
            </w:tcMar>
          </w:tcPr>
          <w:p>
            <w:pPr>
              <w:keepLines/>
              <w:spacing w:after="0"/>
              <w:jc w:val="center"/>
            </w:pPr>
            <w:r>
              <w:rPr>
                <w:rFonts w:ascii="Aptos" w:hAnsi="Aptos"/>
                <w:b/>
                <w:color w:val="FFFFFF"/>
                <w:sz w:val="15"/>
              </w:rPr>
              <w:t>Baseline</w:t>
            </w:r>
          </w:p>
        </w:tc>
        <w:tc>
          <w:tcPr>
            <w:tcW w:type="dxa" w:w="1152"/>
            <w:shd w:fill="17365D"/>
            <w:vAlign w:val="center"/>
            <w:tcMar>
              <w:top w:w="90" w:type="dxa"/>
              <w:start w:w="100" w:type="dxa"/>
              <w:bottom w:w="90" w:type="dxa"/>
              <w:end w:w="100" w:type="dxa"/>
            </w:tcMar>
          </w:tcPr>
          <w:p>
            <w:pPr>
              <w:keepLines/>
              <w:spacing w:after="0"/>
              <w:jc w:val="center"/>
            </w:pPr>
            <w:r>
              <w:rPr>
                <w:rFonts w:ascii="Aptos" w:hAnsi="Aptos"/>
                <w:b/>
                <w:color w:val="FFFFFF"/>
                <w:sz w:val="15"/>
              </w:rPr>
              <w:t>Threshold</w:t>
            </w:r>
          </w:p>
        </w:tc>
        <w:tc>
          <w:tcPr>
            <w:tcW w:type="dxa" w:w="2232"/>
            <w:shd w:fill="17365D"/>
            <w:vAlign w:val="center"/>
            <w:tcMar>
              <w:top w:w="90" w:type="dxa"/>
              <w:start w:w="100" w:type="dxa"/>
              <w:bottom w:w="90" w:type="dxa"/>
              <w:end w:w="100" w:type="dxa"/>
            </w:tcMar>
          </w:tcPr>
          <w:p>
            <w:pPr>
              <w:keepLines/>
              <w:spacing w:after="0"/>
              <w:jc w:val="center"/>
            </w:pPr>
            <w:r>
              <w:rPr>
                <w:rFonts w:ascii="Aptos" w:hAnsi="Aptos"/>
                <w:b/>
                <w:color w:val="FFFFFF"/>
                <w:sz w:val="15"/>
              </w:rPr>
              <w:t>Test design and sample</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Evidence owner</w:t>
            </w:r>
          </w:p>
        </w:tc>
        <w:tc>
          <w:tcPr>
            <w:tcW w:type="dxa" w:w="1008"/>
            <w:shd w:fill="17365D"/>
            <w:vAlign w:val="center"/>
            <w:tcMar>
              <w:top w:w="90" w:type="dxa"/>
              <w:start w:w="100" w:type="dxa"/>
              <w:bottom w:w="90" w:type="dxa"/>
              <w:end w:w="100" w:type="dxa"/>
            </w:tcMar>
          </w:tcPr>
          <w:p>
            <w:pPr>
              <w:keepLines/>
              <w:spacing w:after="0"/>
              <w:jc w:val="center"/>
            </w:pPr>
            <w:r>
              <w:rPr>
                <w:rFonts w:ascii="Aptos" w:hAnsi="Aptos"/>
                <w:b/>
                <w:color w:val="FFFFFF"/>
                <w:sz w:val="15"/>
              </w:rPr>
              <w:t>Result</w:t>
            </w:r>
          </w:p>
        </w:tc>
      </w:tr>
      <w:tr>
        <w:trPr>
          <w:trHeight w:hRule="atLeast"/>
        </w:trPr>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t>Primary statistical claim</w:t>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Secondary quality claim</w:t>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t>Timeliness or efficiency</w:t>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Priority subgroup</w:t>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t>Geographic domain</w:t>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Rare or high-impact case</w:t>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t>Operational resilience</w:t>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Privacy or disclosure</w:t>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t>Security challenge</w:t>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Human oversight usability</w:t>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00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bl>
    <w:p>
      <w:pPr>
        <w:spacing w:after="20"/>
      </w:pPr>
    </w:p>
    <w:p>
      <w:pPr>
        <w:pStyle w:val="Heading2"/>
      </w:pPr>
      <w:r>
        <w:rPr>
          <w:rFonts w:ascii="Aptos" w:hAnsi="Aptos"/>
          <w:color w:val="000000"/>
          <w:sz w:val="20"/>
        </w:rPr>
        <w:t>Pre-registration statement</w:t>
      </w:r>
    </w:p>
    <w:p>
      <w:r>
        <w:rPr>
          <w:rFonts w:ascii="Aptos" w:hAnsi="Aptos"/>
          <w:color w:val="000000"/>
          <w:sz w:val="20"/>
        </w:rPr>
        <w:t>The accountable owner and methodologist confirm that primary metrics, thresholds, exclusions, weighting, subgroup analyses and stopping rules were approved before the locked test results were examined.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rHeight w:hRule="atLeast"/>
          <w:tblHeader w:val="true"/>
        </w:trPr>
        <w:tc>
          <w:tcPr>
            <w:tcW w:type="dxa" w:w="2448"/>
            <w:shd w:fill="17365D"/>
            <w:vAlign w:val="center"/>
            <w:tcMar>
              <w:top w:w="90" w:type="dxa"/>
              <w:start w:w="100" w:type="dxa"/>
              <w:bottom w:w="90" w:type="dxa"/>
              <w:end w:w="100" w:type="dxa"/>
            </w:tcMar>
          </w:tcPr>
          <w:p>
            <w:pPr>
              <w:keepLines/>
              <w:spacing w:after="0"/>
              <w:jc w:val="center"/>
            </w:pPr>
            <w:r>
              <w:rPr>
                <w:rFonts w:ascii="Aptos" w:hAnsi="Aptos"/>
                <w:b/>
                <w:color w:val="FFFFFF"/>
                <w:sz w:val="17"/>
              </w:rPr>
              <w:t>Role</w:t>
            </w:r>
          </w:p>
        </w:tc>
        <w:tc>
          <w:tcPr>
            <w:tcW w:type="dxa" w:w="2592"/>
            <w:shd w:fill="17365D"/>
            <w:vAlign w:val="center"/>
            <w:tcMar>
              <w:top w:w="90" w:type="dxa"/>
              <w:start w:w="100" w:type="dxa"/>
              <w:bottom w:w="90" w:type="dxa"/>
              <w:end w:w="100" w:type="dxa"/>
            </w:tcMar>
          </w:tcPr>
          <w:p>
            <w:pPr>
              <w:keepLines/>
              <w:spacing w:after="0"/>
              <w:jc w:val="center"/>
            </w:pPr>
            <w:r>
              <w:rPr>
                <w:rFonts w:ascii="Aptos" w:hAnsi="Aptos"/>
                <w:b/>
                <w:color w:val="FFFFFF"/>
                <w:sz w:val="17"/>
              </w:rPr>
              <w:t>Name</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7"/>
              </w:rPr>
              <w:t>Date</w:t>
            </w:r>
          </w:p>
        </w:tc>
        <w:tc>
          <w:tcPr>
            <w:tcW w:type="dxa" w:w="3024"/>
            <w:shd w:fill="17365D"/>
            <w:vAlign w:val="center"/>
            <w:tcMar>
              <w:top w:w="90" w:type="dxa"/>
              <w:start w:w="100" w:type="dxa"/>
              <w:bottom w:w="90" w:type="dxa"/>
              <w:end w:w="100" w:type="dxa"/>
            </w:tcMar>
          </w:tcPr>
          <w:p>
            <w:pPr>
              <w:keepLines/>
              <w:spacing w:after="0"/>
              <w:jc w:val="center"/>
            </w:pPr>
            <w:r>
              <w:rPr>
                <w:rFonts w:ascii="Aptos" w:hAnsi="Aptos"/>
                <w:b/>
                <w:color w:val="FFFFFF"/>
                <w:sz w:val="17"/>
              </w:rPr>
              <w:t>Signature or recorded approval</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Accountable owner</w:t>
            </w:r>
          </w:p>
        </w:tc>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Methodologist</w:t>
            </w:r>
          </w:p>
        </w:tc>
        <w:tc>
          <w:tcPr>
            <w:tcW w:type="dxa" w:w="259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c>
          <w:tcPr>
            <w:tcW w:type="dxa" w:w="302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7"/>
              </w:rPr>
              <w:t>Independent validator</w:t>
            </w:r>
          </w:p>
        </w:tc>
        <w:tc>
          <w:tcPr>
            <w:tcW w:type="dxa" w:w="259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3024"/>
            <w:vAlign w:val="center"/>
            <w:tcMar>
              <w:top w:w="90" w:type="dxa"/>
              <w:start w:w="100" w:type="dxa"/>
              <w:bottom w:w="90" w:type="dxa"/>
              <w:end w:w="100" w:type="dxa"/>
            </w:tcMar>
          </w:tcPr>
          <w:p>
            <w:pPr>
              <w:keepLines/>
              <w:spacing w:after="0" w:line="240" w:lineRule="auto"/>
            </w:pPr>
            <w:r>
              <w:rPr>
                <w:rFonts w:ascii="Aptos" w:hAnsi="Aptos"/>
                <w:color w:val="000000"/>
                <w:sz w:val="17"/>
              </w:rPr>
            </w:r>
          </w:p>
        </w:tc>
      </w:tr>
    </w:tbl>
    <w:p>
      <w:pPr>
        <w:spacing w:after="20"/>
      </w:pPr>
    </w:p>
    <w:p>
      <w:r>
        <w:rPr>
          <w:rFonts w:ascii="Aptos" w:hAnsi="Aptos"/>
          <w:color w:val="000000"/>
          <w:sz w:val="20"/>
        </w:rPr>
        <w:br w:type="page"/>
      </w:r>
    </w:p>
    <w:p>
      <w:pPr>
        <w:pStyle w:val="Heading1"/>
      </w:pPr>
      <w:r>
        <w:rPr>
          <w:rFonts w:ascii="Aptos" w:hAnsi="Aptos"/>
          <w:color w:val="000000"/>
          <w:sz w:val="20"/>
        </w:rPr>
        <w:t>Annex C Data privacy and security assessment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4896"/>
            <w:shd w:fill="17365D"/>
            <w:vAlign w:val="center"/>
            <w:tcMar>
              <w:top w:w="90" w:type="dxa"/>
              <w:start w:w="100" w:type="dxa"/>
              <w:bottom w:w="90" w:type="dxa"/>
              <w:end w:w="100" w:type="dxa"/>
            </w:tcMar>
          </w:tcPr>
          <w:p>
            <w:pPr>
              <w:keepLines/>
              <w:spacing w:after="0"/>
              <w:jc w:val="center"/>
            </w:pPr>
            <w:r>
              <w:rPr>
                <w:rFonts w:ascii="Aptos" w:hAnsi="Aptos"/>
                <w:b/>
                <w:color w:val="FFFFFF"/>
                <w:sz w:val="16"/>
              </w:rPr>
              <w:t>Assessment item</w:t>
            </w:r>
          </w:p>
        </w:tc>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6"/>
              </w:rPr>
              <w:t>Status</w:t>
            </w:r>
          </w:p>
        </w:tc>
        <w:tc>
          <w:tcPr>
            <w:tcW w:type="dxa" w:w="2160"/>
            <w:shd w:fill="17365D"/>
            <w:vAlign w:val="center"/>
            <w:tcMar>
              <w:top w:w="90" w:type="dxa"/>
              <w:start w:w="100" w:type="dxa"/>
              <w:bottom w:w="90" w:type="dxa"/>
              <w:end w:w="100" w:type="dxa"/>
            </w:tcMar>
          </w:tcPr>
          <w:p>
            <w:pPr>
              <w:keepLines/>
              <w:spacing w:after="0"/>
              <w:jc w:val="center"/>
            </w:pPr>
            <w:r>
              <w:rPr>
                <w:rFonts w:ascii="Aptos" w:hAnsi="Aptos"/>
                <w:b/>
                <w:color w:val="FFFFFF"/>
                <w:sz w:val="16"/>
              </w:rPr>
              <w:t>Evidence or action owner</w:t>
            </w:r>
          </w:p>
        </w:tc>
      </w:tr>
      <w:tr>
        <w:trPr>
          <w:trHeight w:hRule="atLeast"/>
        </w:trPr>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Every dataset and external source is inventoried with provenance and quality limitations.</w:t>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Legal authority and permitted statistical purpose are confirmed.</w:t>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Confidentiality and sensitivity are classified.</w:t>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Data minimization and retention periods are approved.</w:t>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Environment, access, encryption and logging are approved.</w:t>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External service retention, training use, jurisdiction and subprocessors are known.</w:t>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Output disclosure and memorization risks are tested.</w:t>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Architecture, dependencies, licences and vulnerabilities are documented.</w:t>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tcPr>
          <w:p>
            <w:pPr>
              <w:keepLines/>
              <w:spacing w:after="0" w:line="240" w:lineRule="auto"/>
            </w:pPr>
            <w:r>
              <w:rPr>
                <w:rFonts w:ascii="Aptos" w:hAnsi="Aptos"/>
                <w:color w:val="000000"/>
                <w:sz w:val="16"/>
              </w:rPr>
              <w:t>Backups, recovery, fallback and supplier exit are tested.</w:t>
            </w:r>
          </w:p>
        </w:tc>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48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Incident contacts and notification obligations are documented.</w:t>
            </w:r>
          </w:p>
        </w:tc>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Met ☐ Conditional ☐ Not met</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bl>
    <w:p>
      <w:pPr>
        <w:spacing w:after="20"/>
      </w:pPr>
    </w:p>
    <w:p>
      <w:pPr>
        <w:pStyle w:val="Heading2"/>
      </w:pPr>
      <w:r>
        <w:rPr>
          <w:rFonts w:ascii="Aptos" w:hAnsi="Aptos"/>
          <w:color w:val="000000"/>
          <w:sz w:val="20"/>
        </w:rPr>
        <w:t>Clearance decision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rHeight w:hRule="atLeast"/>
          <w:tblHeader w:val="true"/>
        </w:trPr>
        <w:tc>
          <w:tcPr>
            <w:tcW w:type="dxa" w:w="2304"/>
            <w:shd w:fill="17365D"/>
            <w:vAlign w:val="center"/>
            <w:tcMar>
              <w:top w:w="90" w:type="dxa"/>
              <w:start w:w="100" w:type="dxa"/>
              <w:bottom w:w="90" w:type="dxa"/>
              <w:end w:w="100" w:type="dxa"/>
            </w:tcMar>
          </w:tcPr>
          <w:p>
            <w:pPr>
              <w:keepLines/>
              <w:spacing w:after="0"/>
              <w:jc w:val="center"/>
            </w:pPr>
            <w:r>
              <w:rPr>
                <w:rFonts w:ascii="Aptos" w:hAnsi="Aptos"/>
                <w:b/>
                <w:color w:val="FFFFFF"/>
                <w:sz w:val="17"/>
              </w:rPr>
              <w:t>Reviewer</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7"/>
              </w:rPr>
              <w:t>Decision</w:t>
            </w:r>
          </w:p>
        </w:tc>
        <w:tc>
          <w:tcPr>
            <w:tcW w:type="dxa" w:w="4320"/>
            <w:shd w:fill="17365D"/>
            <w:vAlign w:val="center"/>
            <w:tcMar>
              <w:top w:w="90" w:type="dxa"/>
              <w:start w:w="100" w:type="dxa"/>
              <w:bottom w:w="90" w:type="dxa"/>
              <w:end w:w="100" w:type="dxa"/>
            </w:tcMar>
          </w:tcPr>
          <w:p>
            <w:pPr>
              <w:keepLines/>
              <w:spacing w:after="0"/>
              <w:jc w:val="center"/>
            </w:pPr>
            <w:r>
              <w:rPr>
                <w:rFonts w:ascii="Aptos" w:hAnsi="Aptos"/>
                <w:b/>
                <w:color w:val="FFFFFF"/>
                <w:sz w:val="17"/>
              </w:rPr>
              <w:t>Conditions and expiry</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7"/>
              </w:rPr>
              <w:t>Date</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7"/>
              </w:rPr>
              <w:t>Data steward</w:t>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Privacy or legal reviewer</w:t>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7"/>
              </w:rPr>
              <w:t>Security reviewer</w:t>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7"/>
              </w:rPr>
            </w:r>
          </w:p>
        </w:tc>
      </w:tr>
    </w:tbl>
    <w:p>
      <w:pPr>
        <w:spacing w:after="20"/>
      </w:pPr>
    </w:p>
    <w:p>
      <w:r>
        <w:rPr>
          <w:rFonts w:ascii="Aptos" w:hAnsi="Aptos"/>
          <w:color w:val="000000"/>
          <w:sz w:val="20"/>
        </w:rPr>
        <w:br w:type="page"/>
      </w:r>
    </w:p>
    <w:p>
      <w:pPr>
        <w:pStyle w:val="Heading1"/>
      </w:pPr>
      <w:r>
        <w:rPr>
          <w:rFonts w:ascii="Aptos" w:hAnsi="Aptos"/>
          <w:color w:val="000000"/>
          <w:sz w:val="20"/>
        </w:rPr>
        <w:t>Annex D Statistical quality results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trHeight w:hRule="atLeast"/>
          <w:tblHeader w:val="true"/>
        </w:trPr>
        <w:tc>
          <w:tcPr>
            <w:tcW w:type="dxa" w:w="1800"/>
            <w:shd w:fill="17365D"/>
            <w:vAlign w:val="center"/>
            <w:tcMar>
              <w:top w:w="90" w:type="dxa"/>
              <w:start w:w="100" w:type="dxa"/>
              <w:bottom w:w="90" w:type="dxa"/>
              <w:end w:w="100" w:type="dxa"/>
            </w:tcMar>
          </w:tcPr>
          <w:p>
            <w:pPr>
              <w:keepLines/>
              <w:spacing w:after="0"/>
              <w:jc w:val="center"/>
            </w:pPr>
            <w:r>
              <w:rPr>
                <w:rFonts w:ascii="Aptos" w:hAnsi="Aptos"/>
                <w:b/>
                <w:color w:val="FFFFFF"/>
                <w:sz w:val="15"/>
              </w:rPr>
              <w:t>Dimension</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Baseline result</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AI result</w:t>
            </w:r>
          </w:p>
        </w:tc>
        <w:tc>
          <w:tcPr>
            <w:tcW w:type="dxa" w:w="2232"/>
            <w:shd w:fill="17365D"/>
            <w:vAlign w:val="center"/>
            <w:tcMar>
              <w:top w:w="90" w:type="dxa"/>
              <w:start w:w="100" w:type="dxa"/>
              <w:bottom w:w="90" w:type="dxa"/>
              <w:end w:w="100" w:type="dxa"/>
            </w:tcMar>
          </w:tcPr>
          <w:p>
            <w:pPr>
              <w:keepLines/>
              <w:spacing w:after="0"/>
              <w:jc w:val="center"/>
            </w:pPr>
            <w:r>
              <w:rPr>
                <w:rFonts w:ascii="Aptos" w:hAnsi="Aptos"/>
                <w:b/>
                <w:color w:val="FFFFFF"/>
                <w:sz w:val="15"/>
              </w:rPr>
              <w:t>Difference and uncertainty</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Threshold met</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5"/>
              </w:rPr>
              <w:t>Interpretation</w:t>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t>Relevance</w:t>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Accuracy and reliability</w:t>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t>Timeliness and punctuality</w:t>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Coherence and comparability</w:t>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t>Accessibility and clarity</w:t>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t>Integrity and transparency</w:t>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t>Cost and burden</w:t>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bl>
    <w:p>
      <w:pPr>
        <w:spacing w:after="20"/>
      </w:pPr>
    </w:p>
    <w:p>
      <w:pPr>
        <w:pStyle w:val="Heading2"/>
      </w:pPr>
      <w:r>
        <w:rPr>
          <w:rFonts w:ascii="Aptos" w:hAnsi="Aptos"/>
          <w:color w:val="000000"/>
          <w:sz w:val="20"/>
        </w:rPr>
        <w:t>Subgroup and domain analysis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rPr>
          <w:trHeight w:hRule="atLeast"/>
          <w:tblHeader w:val="true"/>
        </w:trPr>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4"/>
              </w:rPr>
              <w:t>Group or domain</w:t>
            </w:r>
          </w:p>
        </w:tc>
        <w:tc>
          <w:tcPr>
            <w:tcW w:type="dxa" w:w="1656"/>
            <w:shd w:fill="17365D"/>
            <w:vAlign w:val="center"/>
            <w:tcMar>
              <w:top w:w="90" w:type="dxa"/>
              <w:start w:w="100" w:type="dxa"/>
              <w:bottom w:w="90" w:type="dxa"/>
              <w:end w:w="100" w:type="dxa"/>
            </w:tcMar>
          </w:tcPr>
          <w:p>
            <w:pPr>
              <w:keepLines/>
              <w:spacing w:after="0"/>
              <w:jc w:val="center"/>
            </w:pPr>
            <w:r>
              <w:rPr>
                <w:rFonts w:ascii="Aptos" w:hAnsi="Aptos"/>
                <w:b/>
                <w:color w:val="FFFFFF"/>
                <w:sz w:val="14"/>
              </w:rPr>
              <w:t>Sample size and weight</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4"/>
              </w:rPr>
              <w:t>Baseline error</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4"/>
              </w:rPr>
              <w:t>AI error</w:t>
            </w:r>
          </w:p>
        </w:tc>
        <w:tc>
          <w:tcPr>
            <w:tcW w:type="dxa" w:w="1224"/>
            <w:shd w:fill="17365D"/>
            <w:vAlign w:val="center"/>
            <w:tcMar>
              <w:top w:w="90" w:type="dxa"/>
              <w:start w:w="100" w:type="dxa"/>
              <w:bottom w:w="90" w:type="dxa"/>
              <w:end w:w="100" w:type="dxa"/>
            </w:tcMar>
          </w:tcPr>
          <w:p>
            <w:pPr>
              <w:keepLines/>
              <w:spacing w:after="0"/>
              <w:jc w:val="center"/>
            </w:pPr>
            <w:r>
              <w:rPr>
                <w:rFonts w:ascii="Aptos" w:hAnsi="Aptos"/>
                <w:b/>
                <w:color w:val="FFFFFF"/>
                <w:sz w:val="14"/>
              </w:rPr>
              <w:t>Gap or ratio</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4"/>
              </w:rPr>
              <w:t>Uncertainty</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4"/>
              </w:rPr>
              <w:t>Decision implication</w:t>
            </w:r>
          </w:p>
        </w:tc>
      </w:tr>
      <w:tr>
        <w:trPr>
          <w:trHeight w:hRule="atLeast"/>
        </w:trPr>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r>
      <w:tr>
        <w:trPr>
          <w:trHeight w:hRule="atLeast"/>
        </w:trPr>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r>
      <w:tr>
        <w:trPr>
          <w:trHeight w:hRule="atLeast"/>
        </w:trPr>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r>
      <w:tr>
        <w:trPr>
          <w:trHeight w:hRule="atLeast"/>
        </w:trPr>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r>
      <w:tr>
        <w:trPr>
          <w:trHeight w:hRule="atLeast"/>
        </w:trPr>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r>
      <w:tr>
        <w:trPr>
          <w:trHeight w:hRule="atLeast"/>
        </w:trPr>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65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24"/>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r>
    </w:tbl>
    <w:p>
      <w:pPr>
        <w:spacing w:after="20"/>
      </w:pPr>
    </w:p>
    <w:p>
      <w:pPr>
        <w:pStyle w:val="Heading2"/>
      </w:pPr>
      <w:r>
        <w:rPr>
          <w:rFonts w:ascii="Aptos" w:hAnsi="Aptos"/>
          <w:color w:val="000000"/>
          <w:sz w:val="20"/>
        </w:rPr>
        <w:t>Aggregate impact and time-series assessment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trHeight w:hRule="atLeast"/>
          <w:tblHeader w:val="true"/>
        </w:trPr>
        <w:tc>
          <w:tcPr>
            <w:tcW w:type="dxa" w:w="2088"/>
            <w:shd w:fill="17365D"/>
            <w:vAlign w:val="center"/>
            <w:tcMar>
              <w:top w:w="90" w:type="dxa"/>
              <w:start w:w="100" w:type="dxa"/>
              <w:bottom w:w="90" w:type="dxa"/>
              <w:end w:w="100" w:type="dxa"/>
            </w:tcMar>
          </w:tcPr>
          <w:p>
            <w:pPr>
              <w:keepLines/>
              <w:spacing w:after="0"/>
              <w:jc w:val="center"/>
            </w:pPr>
            <w:r>
              <w:rPr>
                <w:rFonts w:ascii="Aptos" w:hAnsi="Aptos"/>
                <w:b/>
                <w:color w:val="FFFFFF"/>
                <w:sz w:val="15"/>
              </w:rPr>
              <w:t>Official output or domain</w:t>
            </w:r>
          </w:p>
        </w:tc>
        <w:tc>
          <w:tcPr>
            <w:tcW w:type="dxa" w:w="1584"/>
            <w:shd w:fill="17365D"/>
            <w:vAlign w:val="center"/>
            <w:tcMar>
              <w:top w:w="90" w:type="dxa"/>
              <w:start w:w="100" w:type="dxa"/>
              <w:bottom w:w="90" w:type="dxa"/>
              <w:end w:w="100" w:type="dxa"/>
            </w:tcMar>
          </w:tcPr>
          <w:p>
            <w:pPr>
              <w:keepLines/>
              <w:spacing w:after="0"/>
              <w:jc w:val="center"/>
            </w:pPr>
            <w:r>
              <w:rPr>
                <w:rFonts w:ascii="Aptos" w:hAnsi="Aptos"/>
                <w:b/>
                <w:color w:val="FFFFFF"/>
                <w:sz w:val="15"/>
              </w:rPr>
              <w:t>Baseline estimate</w:t>
            </w:r>
          </w:p>
        </w:tc>
        <w:tc>
          <w:tcPr>
            <w:tcW w:type="dxa" w:w="1656"/>
            <w:shd w:fill="17365D"/>
            <w:vAlign w:val="center"/>
            <w:tcMar>
              <w:top w:w="90" w:type="dxa"/>
              <w:start w:w="100" w:type="dxa"/>
              <w:bottom w:w="90" w:type="dxa"/>
              <w:end w:w="100" w:type="dxa"/>
            </w:tcMar>
          </w:tcPr>
          <w:p>
            <w:pPr>
              <w:keepLines/>
              <w:spacing w:after="0"/>
              <w:jc w:val="center"/>
            </w:pPr>
            <w:r>
              <w:rPr>
                <w:rFonts w:ascii="Aptos" w:hAnsi="Aptos"/>
                <w:b/>
                <w:color w:val="FFFFFF"/>
                <w:sz w:val="15"/>
              </w:rPr>
              <w:t>AI-assisted estimate</w:t>
            </w:r>
          </w:p>
        </w:tc>
        <w:tc>
          <w:tcPr>
            <w:tcW w:type="dxa" w:w="1152"/>
            <w:shd w:fill="17365D"/>
            <w:vAlign w:val="center"/>
            <w:tcMar>
              <w:top w:w="90" w:type="dxa"/>
              <w:start w:w="100" w:type="dxa"/>
              <w:bottom w:w="90" w:type="dxa"/>
              <w:end w:w="100" w:type="dxa"/>
            </w:tcMar>
          </w:tcPr>
          <w:p>
            <w:pPr>
              <w:keepLines/>
              <w:spacing w:after="0"/>
              <w:jc w:val="center"/>
            </w:pPr>
            <w:r>
              <w:rPr>
                <w:rFonts w:ascii="Aptos" w:hAnsi="Aptos"/>
                <w:b/>
                <w:color w:val="FFFFFF"/>
                <w:sz w:val="15"/>
              </w:rPr>
              <w:t>Difference</w:t>
            </w:r>
          </w:p>
        </w:tc>
        <w:tc>
          <w:tcPr>
            <w:tcW w:type="dxa" w:w="1584"/>
            <w:shd w:fill="17365D"/>
            <w:vAlign w:val="center"/>
            <w:tcMar>
              <w:top w:w="90" w:type="dxa"/>
              <w:start w:w="100" w:type="dxa"/>
              <w:bottom w:w="90" w:type="dxa"/>
              <w:end w:w="100" w:type="dxa"/>
            </w:tcMar>
          </w:tcPr>
          <w:p>
            <w:pPr>
              <w:keepLines/>
              <w:spacing w:after="0"/>
              <w:jc w:val="center"/>
            </w:pPr>
            <w:r>
              <w:rPr>
                <w:rFonts w:ascii="Aptos" w:hAnsi="Aptos"/>
                <w:b/>
                <w:color w:val="FFFFFF"/>
                <w:sz w:val="15"/>
              </w:rPr>
              <w:t>Benchmark or reference</w:t>
            </w:r>
          </w:p>
        </w:tc>
        <w:tc>
          <w:tcPr>
            <w:tcW w:type="dxa" w:w="2088"/>
            <w:shd w:fill="17365D"/>
            <w:vAlign w:val="center"/>
            <w:tcMar>
              <w:top w:w="90" w:type="dxa"/>
              <w:start w:w="100" w:type="dxa"/>
              <w:bottom w:w="90" w:type="dxa"/>
              <w:end w:w="100" w:type="dxa"/>
            </w:tcMar>
          </w:tcPr>
          <w:p>
            <w:pPr>
              <w:keepLines/>
              <w:spacing w:after="0"/>
              <w:jc w:val="center"/>
            </w:pPr>
            <w:r>
              <w:rPr>
                <w:rFonts w:ascii="Aptos" w:hAnsi="Aptos"/>
                <w:b/>
                <w:color w:val="FFFFFF"/>
                <w:sz w:val="15"/>
              </w:rPr>
              <w:t>Revision or break treatment</w:t>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65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6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65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88"/>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65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8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bl>
    <w:p>
      <w:pPr>
        <w:spacing w:after="20"/>
      </w:pPr>
    </w:p>
    <w:p>
      <w:r>
        <w:rPr>
          <w:rFonts w:ascii="Aptos" w:hAnsi="Aptos"/>
          <w:color w:val="000000"/>
          <w:sz w:val="20"/>
        </w:rPr>
        <w:br w:type="page"/>
      </w:r>
    </w:p>
    <w:p>
      <w:pPr>
        <w:pStyle w:val="Heading1"/>
      </w:pPr>
      <w:r>
        <w:rPr>
          <w:rFonts w:ascii="Aptos" w:hAnsi="Aptos"/>
          <w:color w:val="000000"/>
          <w:sz w:val="20"/>
        </w:rPr>
        <w:t>Annex E Human oversight and incident log</w:t>
      </w:r>
    </w:p>
    <w:p>
      <w:pPr>
        <w:pStyle w:val="Heading2"/>
      </w:pPr>
      <w:r>
        <w:rPr>
          <w:rFonts w:ascii="Aptos" w:hAnsi="Aptos"/>
          <w:color w:val="000000"/>
          <w:sz w:val="20"/>
        </w:rPr>
        <w:t>Human review log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rPr>
          <w:trHeight w:hRule="atLeast"/>
          <w:tblHeader w:val="true"/>
        </w:trPr>
        <w:tc>
          <w:tcPr>
            <w:tcW w:type="dxa" w:w="1152"/>
            <w:shd w:fill="17365D"/>
            <w:vAlign w:val="center"/>
            <w:tcMar>
              <w:top w:w="90" w:type="dxa"/>
              <w:start w:w="100" w:type="dxa"/>
              <w:bottom w:w="90" w:type="dxa"/>
              <w:end w:w="100" w:type="dxa"/>
            </w:tcMar>
          </w:tcPr>
          <w:p>
            <w:pPr>
              <w:keepLines/>
              <w:spacing w:after="0"/>
              <w:jc w:val="center"/>
            </w:pPr>
            <w:r>
              <w:rPr>
                <w:rFonts w:ascii="Aptos" w:hAnsi="Aptos"/>
                <w:b/>
                <w:color w:val="FFFFFF"/>
                <w:sz w:val="15"/>
              </w:rPr>
              <w:t>Date</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Batch or case</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5"/>
              </w:rPr>
              <w:t>AI recommendation</w:t>
            </w:r>
          </w:p>
        </w:tc>
        <w:tc>
          <w:tcPr>
            <w:tcW w:type="dxa" w:w="1728"/>
            <w:shd w:fill="17365D"/>
            <w:vAlign w:val="center"/>
            <w:tcMar>
              <w:top w:w="90" w:type="dxa"/>
              <w:start w:w="100" w:type="dxa"/>
              <w:bottom w:w="90" w:type="dxa"/>
              <w:end w:w="100" w:type="dxa"/>
            </w:tcMar>
          </w:tcPr>
          <w:p>
            <w:pPr>
              <w:keepLines/>
              <w:spacing w:after="0"/>
              <w:jc w:val="center"/>
            </w:pPr>
            <w:r>
              <w:rPr>
                <w:rFonts w:ascii="Aptos" w:hAnsi="Aptos"/>
                <w:b/>
                <w:color w:val="FFFFFF"/>
                <w:sz w:val="15"/>
              </w:rPr>
              <w:t>Reviewer decision</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5"/>
              </w:rPr>
              <w:t>Override reason</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5"/>
              </w:rPr>
              <w:t>Quality or risk category</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5"/>
              </w:rPr>
              <w:t>Reviewer</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bl>
    <w:p>
      <w:pPr>
        <w:spacing w:after="20"/>
      </w:pPr>
    </w:p>
    <w:p>
      <w:pPr>
        <w:pStyle w:val="Heading2"/>
      </w:pPr>
      <w:r>
        <w:rPr>
          <w:rFonts w:ascii="Aptos" w:hAnsi="Aptos"/>
          <w:color w:val="000000"/>
          <w:sz w:val="20"/>
        </w:rPr>
        <w:t>Incident and exception log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440"/>
        <w:gridCol w:w="1440"/>
        <w:gridCol w:w="1440"/>
        <w:gridCol w:w="1440"/>
        <w:gridCol w:w="1440"/>
      </w:tblGrid>
      <w:tr>
        <w:trPr>
          <w:trHeight w:hRule="atLeast"/>
          <w:tblHeader w:val="true"/>
        </w:trPr>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4"/>
              </w:rPr>
              <w:t>Incident ID and date</w:t>
            </w:r>
          </w:p>
        </w:tc>
        <w:tc>
          <w:tcPr>
            <w:tcW w:type="dxa" w:w="936"/>
            <w:shd w:fill="17365D"/>
            <w:vAlign w:val="center"/>
            <w:tcMar>
              <w:top w:w="90" w:type="dxa"/>
              <w:start w:w="100" w:type="dxa"/>
              <w:bottom w:w="90" w:type="dxa"/>
              <w:end w:w="100" w:type="dxa"/>
            </w:tcMar>
          </w:tcPr>
          <w:p>
            <w:pPr>
              <w:keepLines/>
              <w:spacing w:after="0"/>
              <w:jc w:val="center"/>
            </w:pPr>
            <w:r>
              <w:rPr>
                <w:rFonts w:ascii="Aptos" w:hAnsi="Aptos"/>
                <w:b/>
                <w:color w:val="FFFFFF"/>
                <w:sz w:val="14"/>
              </w:rPr>
              <w:t>Severity</w:t>
            </w:r>
          </w:p>
        </w:tc>
        <w:tc>
          <w:tcPr>
            <w:tcW w:type="dxa" w:w="2232"/>
            <w:shd w:fill="17365D"/>
            <w:vAlign w:val="center"/>
            <w:tcMar>
              <w:top w:w="90" w:type="dxa"/>
              <w:start w:w="100" w:type="dxa"/>
              <w:bottom w:w="90" w:type="dxa"/>
              <w:end w:w="100" w:type="dxa"/>
            </w:tcMar>
          </w:tcPr>
          <w:p>
            <w:pPr>
              <w:keepLines/>
              <w:spacing w:after="0"/>
              <w:jc w:val="center"/>
            </w:pPr>
            <w:r>
              <w:rPr>
                <w:rFonts w:ascii="Aptos" w:hAnsi="Aptos"/>
                <w:b/>
                <w:color w:val="FFFFFF"/>
                <w:sz w:val="14"/>
              </w:rPr>
              <w:t>Description and affected records</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4"/>
              </w:rPr>
              <w:t>Immediate containment</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4"/>
              </w:rPr>
              <w:t>Root cause</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4"/>
              </w:rPr>
              <w:t>Corrective action and owner</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4"/>
              </w:rPr>
              <w:t>Closure approval</w:t>
            </w:r>
          </w:p>
        </w:tc>
      </w:tr>
      <w:tr>
        <w:trPr>
          <w:trHeight w:hRule="atLeast"/>
        </w:trPr>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93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r>
      <w:tr>
        <w:trPr>
          <w:trHeight w:hRule="atLeast"/>
        </w:trPr>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93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r>
      <w:tr>
        <w:trPr>
          <w:trHeight w:hRule="atLeast"/>
        </w:trPr>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93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r>
      <w:tr>
        <w:trPr>
          <w:trHeight w:hRule="atLeast"/>
        </w:trPr>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93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4"/>
              </w:rPr>
            </w:r>
          </w:p>
        </w:tc>
      </w:tr>
      <w:tr>
        <w:trPr>
          <w:trHeight w:hRule="atLeast"/>
        </w:trPr>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93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4"/>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4"/>
              </w:rPr>
            </w:r>
          </w:p>
        </w:tc>
      </w:tr>
    </w:tbl>
    <w:p>
      <w:pPr>
        <w:spacing w:after="20"/>
      </w:pPr>
    </w:p>
    <w:p>
      <w:pPr>
        <w:pStyle w:val="Heading2"/>
      </w:pPr>
      <w:r>
        <w:rPr>
          <w:rFonts w:ascii="Aptos" w:hAnsi="Aptos"/>
          <w:color w:val="000000"/>
          <w:sz w:val="20"/>
        </w:rPr>
        <w:t>Change log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trHeight w:hRule="atLeast"/>
          <w:tblHeader w:val="true"/>
        </w:trPr>
        <w:tc>
          <w:tcPr>
            <w:tcW w:type="dxa" w:w="1584"/>
            <w:shd w:fill="17365D"/>
            <w:vAlign w:val="center"/>
            <w:tcMar>
              <w:top w:w="90" w:type="dxa"/>
              <w:start w:w="100" w:type="dxa"/>
              <w:bottom w:w="90" w:type="dxa"/>
              <w:end w:w="100" w:type="dxa"/>
            </w:tcMar>
          </w:tcPr>
          <w:p>
            <w:pPr>
              <w:keepLines/>
              <w:spacing w:after="0"/>
              <w:jc w:val="center"/>
            </w:pPr>
            <w:r>
              <w:rPr>
                <w:rFonts w:ascii="Aptos" w:hAnsi="Aptos"/>
                <w:b/>
                <w:color w:val="FFFFFF"/>
                <w:sz w:val="15"/>
              </w:rPr>
              <w:t>Change ID and date</w:t>
            </w:r>
          </w:p>
        </w:tc>
        <w:tc>
          <w:tcPr>
            <w:tcW w:type="dxa" w:w="2160"/>
            <w:shd w:fill="17365D"/>
            <w:vAlign w:val="center"/>
            <w:tcMar>
              <w:top w:w="90" w:type="dxa"/>
              <w:start w:w="100" w:type="dxa"/>
              <w:bottom w:w="90" w:type="dxa"/>
              <w:end w:w="100" w:type="dxa"/>
            </w:tcMar>
          </w:tcPr>
          <w:p>
            <w:pPr>
              <w:keepLines/>
              <w:spacing w:after="0"/>
              <w:jc w:val="center"/>
            </w:pPr>
            <w:r>
              <w:rPr>
                <w:rFonts w:ascii="Aptos" w:hAnsi="Aptos"/>
                <w:b/>
                <w:color w:val="FFFFFF"/>
                <w:sz w:val="15"/>
              </w:rPr>
              <w:t>Component and previous version</w:t>
            </w:r>
          </w:p>
        </w:tc>
        <w:tc>
          <w:tcPr>
            <w:tcW w:type="dxa" w:w="1800"/>
            <w:shd w:fill="17365D"/>
            <w:vAlign w:val="center"/>
            <w:tcMar>
              <w:top w:w="90" w:type="dxa"/>
              <w:start w:w="100" w:type="dxa"/>
              <w:bottom w:w="90" w:type="dxa"/>
              <w:end w:w="100" w:type="dxa"/>
            </w:tcMar>
          </w:tcPr>
          <w:p>
            <w:pPr>
              <w:keepLines/>
              <w:spacing w:after="0"/>
              <w:jc w:val="center"/>
            </w:pPr>
            <w:r>
              <w:rPr>
                <w:rFonts w:ascii="Aptos" w:hAnsi="Aptos"/>
                <w:b/>
                <w:color w:val="FFFFFF"/>
                <w:sz w:val="15"/>
              </w:rPr>
              <w:t>Reason</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5"/>
              </w:rPr>
              <w:t>Evidence affected</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Retest required</w:t>
            </w:r>
          </w:p>
        </w:tc>
        <w:tc>
          <w:tcPr>
            <w:tcW w:type="dxa" w:w="1872"/>
            <w:shd w:fill="17365D"/>
            <w:vAlign w:val="center"/>
            <w:tcMar>
              <w:top w:w="90" w:type="dxa"/>
              <w:start w:w="100" w:type="dxa"/>
              <w:bottom w:w="90" w:type="dxa"/>
              <w:end w:w="100" w:type="dxa"/>
            </w:tcMar>
          </w:tcPr>
          <w:p>
            <w:pPr>
              <w:keepLines/>
              <w:spacing w:after="0"/>
              <w:jc w:val="center"/>
            </w:pPr>
            <w:r>
              <w:rPr>
                <w:rFonts w:ascii="Aptos" w:hAnsi="Aptos"/>
                <w:b/>
                <w:color w:val="FFFFFF"/>
                <w:sz w:val="15"/>
              </w:rPr>
              <w:t>Approver and effective date</w:t>
            </w:r>
          </w:p>
        </w:tc>
      </w:tr>
      <w:tr>
        <w:trPr>
          <w:trHeight w:hRule="atLeast"/>
        </w:trPr>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1584"/>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0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1584"/>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0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872"/>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bl>
    <w:p>
      <w:pPr>
        <w:spacing w:after="20"/>
      </w:pPr>
    </w:p>
    <w:p>
      <w:r>
        <w:rPr>
          <w:rFonts w:ascii="Aptos" w:hAnsi="Aptos"/>
          <w:color w:val="000000"/>
          <w:sz w:val="20"/>
        </w:rPr>
        <w:br w:type="page"/>
      </w:r>
    </w:p>
    <w:p>
      <w:pPr>
        <w:pStyle w:val="Heading1"/>
      </w:pPr>
      <w:r>
        <w:rPr>
          <w:rFonts w:ascii="Aptos" w:hAnsi="Aptos"/>
          <w:color w:val="000000"/>
          <w:sz w:val="20"/>
        </w:rPr>
        <w:t>Annex F Final assurance case and decision record</w:t>
      </w:r>
    </w:p>
    <w:p>
      <w:pPr>
        <w:pStyle w:val="Heading2"/>
      </w:pPr>
      <w:r>
        <w:rPr>
          <w:rFonts w:ascii="Aptos" w:hAnsi="Aptos"/>
          <w:color w:val="000000"/>
          <w:sz w:val="20"/>
        </w:rPr>
        <w:t>F1 Proposed decision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3312"/>
            <w:shd w:fill="17365D"/>
            <w:vAlign w:val="center"/>
            <w:tcMar>
              <w:top w:w="90" w:type="dxa"/>
              <w:start w:w="100" w:type="dxa"/>
              <w:bottom w:w="90" w:type="dxa"/>
              <w:end w:w="100" w:type="dxa"/>
            </w:tcMar>
          </w:tcPr>
          <w:p>
            <w:pPr>
              <w:keepLines/>
              <w:spacing w:after="0"/>
              <w:jc w:val="center"/>
            </w:pPr>
            <w:r>
              <w:rPr>
                <w:rFonts w:ascii="Aptos" w:hAnsi="Aptos"/>
                <w:b/>
                <w:color w:val="FFFFFF"/>
                <w:sz w:val="17"/>
              </w:rPr>
              <w:t>Decision option</w:t>
            </w:r>
          </w:p>
        </w:tc>
        <w:tc>
          <w:tcPr>
            <w:tcW w:type="dxa" w:w="1152"/>
            <w:shd w:fill="17365D"/>
            <w:vAlign w:val="center"/>
            <w:tcMar>
              <w:top w:w="90" w:type="dxa"/>
              <w:start w:w="100" w:type="dxa"/>
              <w:bottom w:w="90" w:type="dxa"/>
              <w:end w:w="100" w:type="dxa"/>
            </w:tcMar>
          </w:tcPr>
          <w:p>
            <w:pPr>
              <w:keepLines/>
              <w:spacing w:after="0"/>
              <w:jc w:val="center"/>
            </w:pPr>
            <w:r>
              <w:rPr>
                <w:rFonts w:ascii="Aptos" w:hAnsi="Aptos"/>
                <w:b/>
                <w:color w:val="FFFFFF"/>
                <w:sz w:val="17"/>
              </w:rPr>
              <w:t>Select</w:t>
            </w:r>
          </w:p>
        </w:tc>
        <w:tc>
          <w:tcPr>
            <w:tcW w:type="dxa" w:w="5472"/>
            <w:shd w:fill="17365D"/>
            <w:vAlign w:val="center"/>
            <w:tcMar>
              <w:top w:w="90" w:type="dxa"/>
              <w:start w:w="100" w:type="dxa"/>
              <w:bottom w:w="90" w:type="dxa"/>
              <w:end w:w="100" w:type="dxa"/>
            </w:tcMar>
          </w:tcPr>
          <w:p>
            <w:pPr>
              <w:keepLines/>
              <w:spacing w:after="0"/>
              <w:jc w:val="center"/>
            </w:pPr>
            <w:r>
              <w:rPr>
                <w:rFonts w:ascii="Aptos" w:hAnsi="Aptos"/>
                <w:b/>
                <w:color w:val="FFFFFF"/>
                <w:sz w:val="17"/>
              </w:rPr>
              <w:t>Scope or condition</w:t>
            </w:r>
          </w:p>
        </w:tc>
      </w:tr>
      <w:tr>
        <w:trPr>
          <w:trHeight w:hRule="atLeast"/>
        </w:trPr>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7"/>
              </w:rPr>
              <w:t>Approve controlled deployment</w:t>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Approve with conditions</w:t>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7"/>
              </w:rPr>
              <w:t>Extend pilot</w:t>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Redesign</w:t>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312"/>
            <w:vAlign w:val="center"/>
            <w:tcMar>
              <w:top w:w="90" w:type="dxa"/>
              <w:start w:w="100" w:type="dxa"/>
              <w:bottom w:w="90" w:type="dxa"/>
              <w:end w:w="100" w:type="dxa"/>
            </w:tcMar>
          </w:tcPr>
          <w:p>
            <w:pPr>
              <w:keepLines/>
              <w:spacing w:after="0" w:line="240" w:lineRule="auto"/>
            </w:pPr>
            <w:r>
              <w:rPr>
                <w:rFonts w:ascii="Aptos" w:hAnsi="Aptos"/>
                <w:color w:val="000000"/>
                <w:sz w:val="17"/>
              </w:rPr>
              <w:t>Reject</w:t>
            </w:r>
          </w:p>
        </w:tc>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31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Close without decision</w:t>
            </w:r>
          </w:p>
        </w:tc>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 xml:space="preserve">☐ </w:t>
            </w:r>
          </w:p>
        </w:tc>
        <w:tc>
          <w:tcPr>
            <w:tcW w:type="dxa" w:w="5472"/>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bl>
    <w:p>
      <w:pPr>
        <w:spacing w:after="20"/>
      </w:pPr>
    </w:p>
    <w:p>
      <w:pPr>
        <w:pStyle w:val="Heading2"/>
      </w:pPr>
      <w:r>
        <w:rPr>
          <w:rFonts w:ascii="Aptos" w:hAnsi="Aptos"/>
          <w:color w:val="000000"/>
          <w:sz w:val="20"/>
        </w:rPr>
        <w:t>F2 Assurance argument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4320"/>
            <w:shd w:fill="17365D"/>
            <w:vAlign w:val="center"/>
            <w:tcMar>
              <w:top w:w="90" w:type="dxa"/>
              <w:start w:w="100" w:type="dxa"/>
              <w:bottom w:w="90" w:type="dxa"/>
              <w:end w:w="100" w:type="dxa"/>
            </w:tcMar>
          </w:tcPr>
          <w:p>
            <w:pPr>
              <w:keepLines/>
              <w:spacing w:after="0"/>
              <w:jc w:val="center"/>
            </w:pPr>
            <w:r>
              <w:rPr>
                <w:rFonts w:ascii="Aptos" w:hAnsi="Aptos"/>
                <w:b/>
                <w:color w:val="FFFFFF"/>
                <w:sz w:val="17"/>
              </w:rPr>
              <w:t>Required conclusion</w:t>
            </w:r>
          </w:p>
        </w:tc>
        <w:tc>
          <w:tcPr>
            <w:tcW w:type="dxa" w:w="5616"/>
            <w:shd w:fill="17365D"/>
            <w:vAlign w:val="center"/>
            <w:tcMar>
              <w:top w:w="90" w:type="dxa"/>
              <w:start w:w="100" w:type="dxa"/>
              <w:bottom w:w="90" w:type="dxa"/>
              <w:end w:w="100" w:type="dxa"/>
            </w:tcMar>
          </w:tcPr>
          <w:p>
            <w:pPr>
              <w:keepLines/>
              <w:spacing w:after="0"/>
              <w:jc w:val="center"/>
            </w:pPr>
            <w:r>
              <w:rPr>
                <w:rFonts w:ascii="Aptos" w:hAnsi="Aptos"/>
                <w:b/>
                <w:color w:val="FFFFFF"/>
                <w:sz w:val="17"/>
              </w:rPr>
              <w:t>Evidence summary and reference</w:t>
            </w:r>
          </w:p>
        </w:tc>
      </w:tr>
      <w:tr>
        <w:trPr>
          <w:trHeight w:hRule="atLeast"/>
        </w:trPr>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t>The use remains within the approved statistical purpose.</w:t>
            </w:r>
          </w:p>
        </w:tc>
        <w:tc>
          <w:tcPr>
            <w:tcW w:type="dxa" w:w="561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Primary statistical thresholds were met or the exception is justified.</w:t>
            </w:r>
          </w:p>
        </w:tc>
        <w:tc>
          <w:tcPr>
            <w:tcW w:type="dxa" w:w="561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t>Subgroup, geographic and rare-case risks are acceptable.</w:t>
            </w:r>
          </w:p>
        </w:tc>
        <w:tc>
          <w:tcPr>
            <w:tcW w:type="dxa" w:w="561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Confidentiality, legal and security gates are met.</w:t>
            </w:r>
          </w:p>
        </w:tc>
        <w:tc>
          <w:tcPr>
            <w:tcW w:type="dxa" w:w="561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t>Human oversight is meaningful and operationally feasible.</w:t>
            </w:r>
          </w:p>
        </w:tc>
        <w:tc>
          <w:tcPr>
            <w:tcW w:type="dxa" w:w="561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Results are reproducible and changes are controlled.</w:t>
            </w:r>
          </w:p>
        </w:tc>
        <w:tc>
          <w:tcPr>
            <w:tcW w:type="dxa" w:w="561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t>Costs, skills, procurement and supplier risks are sustainable.</w:t>
            </w:r>
          </w:p>
        </w:tc>
        <w:tc>
          <w:tcPr>
            <w:tcW w:type="dxa" w:w="5616"/>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Monitoring, incident response, fallback and review are ready.</w:t>
            </w:r>
          </w:p>
        </w:tc>
        <w:tc>
          <w:tcPr>
            <w:tcW w:type="dxa" w:w="5616"/>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7"/>
              </w:rPr>
              <w:t>Limitations and residual risks are transparent.</w:t>
            </w:r>
          </w:p>
        </w:tc>
        <w:tc>
          <w:tcPr>
            <w:tcW w:type="dxa" w:w="5616"/>
            <w:vAlign w:val="center"/>
            <w:tcMar>
              <w:top w:w="90" w:type="dxa"/>
              <w:start w:w="100" w:type="dxa"/>
              <w:bottom w:w="90" w:type="dxa"/>
              <w:end w:w="100" w:type="dxa"/>
            </w:tcMar>
          </w:tcPr>
          <w:p>
            <w:pPr>
              <w:keepLines/>
              <w:spacing w:after="0" w:line="240" w:lineRule="auto"/>
            </w:pPr>
            <w:r>
              <w:rPr>
                <w:rFonts w:ascii="Aptos" w:hAnsi="Aptos"/>
                <w:color w:val="000000"/>
                <w:sz w:val="17"/>
              </w:rPr>
            </w:r>
          </w:p>
        </w:tc>
      </w:tr>
    </w:tbl>
    <w:p>
      <w:pPr>
        <w:spacing w:after="20"/>
      </w:pPr>
    </w:p>
    <w:p>
      <w:pPr>
        <w:pStyle w:val="Heading2"/>
      </w:pPr>
      <w:r>
        <w:rPr>
          <w:rFonts w:ascii="Aptos" w:hAnsi="Aptos"/>
          <w:color w:val="000000"/>
          <w:sz w:val="20"/>
        </w:rPr>
        <w:t>F3 Reservations and conditions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rHeight w:hRule="atLeast"/>
          <w:tblHeader w:val="true"/>
        </w:trPr>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5"/>
              </w:rPr>
              <w:t>Reservation or residual risk</w:t>
            </w:r>
          </w:p>
        </w:tc>
        <w:tc>
          <w:tcPr>
            <w:tcW w:type="dxa" w:w="1728"/>
            <w:shd w:fill="17365D"/>
            <w:vAlign w:val="center"/>
            <w:tcMar>
              <w:top w:w="90" w:type="dxa"/>
              <w:start w:w="100" w:type="dxa"/>
              <w:bottom w:w="90" w:type="dxa"/>
              <w:end w:w="100" w:type="dxa"/>
            </w:tcMar>
          </w:tcPr>
          <w:p>
            <w:pPr>
              <w:keepLines/>
              <w:spacing w:after="0"/>
              <w:jc w:val="center"/>
            </w:pPr>
            <w:r>
              <w:rPr>
                <w:rFonts w:ascii="Aptos" w:hAnsi="Aptos"/>
                <w:b/>
                <w:color w:val="FFFFFF"/>
                <w:sz w:val="15"/>
              </w:rPr>
              <w:t>Accepted by</w:t>
            </w:r>
          </w:p>
        </w:tc>
        <w:tc>
          <w:tcPr>
            <w:tcW w:type="dxa" w:w="3168"/>
            <w:shd w:fill="17365D"/>
            <w:vAlign w:val="center"/>
            <w:tcMar>
              <w:top w:w="90" w:type="dxa"/>
              <w:start w:w="100" w:type="dxa"/>
              <w:bottom w:w="90" w:type="dxa"/>
              <w:end w:w="100" w:type="dxa"/>
            </w:tcMar>
          </w:tcPr>
          <w:p>
            <w:pPr>
              <w:keepLines/>
              <w:spacing w:after="0"/>
              <w:jc w:val="center"/>
            </w:pPr>
            <w:r>
              <w:rPr>
                <w:rFonts w:ascii="Aptos" w:hAnsi="Aptos"/>
                <w:b/>
                <w:color w:val="FFFFFF"/>
                <w:sz w:val="15"/>
              </w:rPr>
              <w:t>Condition or monitoring action</w:t>
            </w:r>
          </w:p>
        </w:tc>
        <w:tc>
          <w:tcPr>
            <w:tcW w:type="dxa" w:w="1440"/>
            <w:shd w:fill="17365D"/>
            <w:vAlign w:val="center"/>
            <w:tcMar>
              <w:top w:w="90" w:type="dxa"/>
              <w:start w:w="100" w:type="dxa"/>
              <w:bottom w:w="90" w:type="dxa"/>
              <w:end w:w="100" w:type="dxa"/>
            </w:tcMar>
          </w:tcPr>
          <w:p>
            <w:pPr>
              <w:keepLines/>
              <w:spacing w:after="0"/>
              <w:jc w:val="center"/>
            </w:pPr>
            <w:r>
              <w:rPr>
                <w:rFonts w:ascii="Aptos" w:hAnsi="Aptos"/>
                <w:b/>
                <w:color w:val="FFFFFF"/>
                <w:sz w:val="15"/>
              </w:rPr>
              <w:t>Owner</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5"/>
              </w:rPr>
              <w:t>Due or review date</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316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5"/>
              </w:rPr>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72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3168"/>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440"/>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5"/>
              </w:rPr>
            </w:r>
          </w:p>
        </w:tc>
      </w:tr>
    </w:tbl>
    <w:p>
      <w:pPr>
        <w:spacing w:after="20"/>
      </w:pPr>
    </w:p>
    <w:p>
      <w:pPr>
        <w:pStyle w:val="Heading1"/>
      </w:pPr>
      <w:r>
        <w:rPr>
          <w:rFonts w:ascii="Aptos" w:hAnsi="Aptos"/>
          <w:color w:val="000000"/>
          <w:sz w:val="20"/>
        </w:rPr>
        <w:t>Annex F Final assurance case and decision record continued</w:t>
      </w:r>
    </w:p>
    <w:p>
      <w:pPr>
        <w:pStyle w:val="Heading2"/>
      </w:pPr>
      <w:r>
        <w:rPr>
          <w:rFonts w:ascii="Aptos" w:hAnsi="Aptos"/>
          <w:color w:val="000000"/>
          <w:sz w:val="20"/>
        </w:rPr>
        <w:t>F4 Formal decision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rHeight w:hRule="atLeast"/>
          <w:tblHeader w:val="true"/>
        </w:trPr>
        <w:tc>
          <w:tcPr>
            <w:tcW w:type="dxa" w:w="2304"/>
            <w:shd w:fill="17365D"/>
            <w:vAlign w:val="center"/>
            <w:tcMar>
              <w:top w:w="90" w:type="dxa"/>
              <w:start w:w="100" w:type="dxa"/>
              <w:bottom w:w="90" w:type="dxa"/>
              <w:end w:w="100" w:type="dxa"/>
            </w:tcMar>
          </w:tcPr>
          <w:p>
            <w:pPr>
              <w:keepLines/>
              <w:spacing w:after="0"/>
              <w:jc w:val="center"/>
            </w:pPr>
            <w:r>
              <w:rPr>
                <w:rFonts w:ascii="Aptos" w:hAnsi="Aptos"/>
                <w:b/>
                <w:color w:val="FFFFFF"/>
                <w:sz w:val="16"/>
              </w:rPr>
              <w:t>Decision authority</w:t>
            </w:r>
          </w:p>
        </w:tc>
        <w:tc>
          <w:tcPr>
            <w:tcW w:type="dxa" w:w="2160"/>
            <w:shd w:fill="17365D"/>
            <w:vAlign w:val="center"/>
            <w:tcMar>
              <w:top w:w="90" w:type="dxa"/>
              <w:start w:w="100" w:type="dxa"/>
              <w:bottom w:w="90" w:type="dxa"/>
              <w:end w:w="100" w:type="dxa"/>
            </w:tcMar>
          </w:tcPr>
          <w:p>
            <w:pPr>
              <w:keepLines/>
              <w:spacing w:after="0"/>
              <w:jc w:val="center"/>
            </w:pPr>
            <w:r>
              <w:rPr>
                <w:rFonts w:ascii="Aptos" w:hAnsi="Aptos"/>
                <w:b/>
                <w:color w:val="FFFFFF"/>
                <w:sz w:val="16"/>
              </w:rPr>
              <w:t>Name and role</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6"/>
              </w:rPr>
              <w:t>Decision</w:t>
            </w:r>
          </w:p>
        </w:tc>
        <w:tc>
          <w:tcPr>
            <w:tcW w:type="dxa" w:w="1296"/>
            <w:shd w:fill="17365D"/>
            <w:vAlign w:val="center"/>
            <w:tcMar>
              <w:top w:w="90" w:type="dxa"/>
              <w:start w:w="100" w:type="dxa"/>
              <w:bottom w:w="90" w:type="dxa"/>
              <w:end w:w="100" w:type="dxa"/>
            </w:tcMar>
          </w:tcPr>
          <w:p>
            <w:pPr>
              <w:keepLines/>
              <w:spacing w:after="0"/>
              <w:jc w:val="center"/>
            </w:pPr>
            <w:r>
              <w:rPr>
                <w:rFonts w:ascii="Aptos" w:hAnsi="Aptos"/>
                <w:b/>
                <w:color w:val="FFFFFF"/>
                <w:sz w:val="16"/>
              </w:rPr>
              <w:t>Date</w:t>
            </w:r>
          </w:p>
        </w:tc>
        <w:tc>
          <w:tcPr>
            <w:tcW w:type="dxa" w:w="2160"/>
            <w:shd w:fill="17365D"/>
            <w:vAlign w:val="center"/>
            <w:tcMar>
              <w:top w:w="90" w:type="dxa"/>
              <w:start w:w="100" w:type="dxa"/>
              <w:bottom w:w="90" w:type="dxa"/>
              <w:end w:w="100" w:type="dxa"/>
            </w:tcMar>
          </w:tcPr>
          <w:p>
            <w:pPr>
              <w:keepLines/>
              <w:spacing w:after="0"/>
              <w:jc w:val="center"/>
            </w:pPr>
            <w:r>
              <w:rPr>
                <w:rFonts w:ascii="Aptos" w:hAnsi="Aptos"/>
                <w:b/>
                <w:color w:val="FFFFFF"/>
                <w:sz w:val="16"/>
              </w:rPr>
              <w:t>Signature or recorded approval</w:t>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Accountable statistical owner</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Methodology authority</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Privacy or legal authority</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Security authority</w:t>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129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16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t>Release authority</w:t>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129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160"/>
            <w:vAlign w:val="center"/>
            <w:tcMar>
              <w:top w:w="90" w:type="dxa"/>
              <w:start w:w="100" w:type="dxa"/>
              <w:bottom w:w="90" w:type="dxa"/>
              <w:end w:w="100" w:type="dxa"/>
            </w:tcMar>
          </w:tcPr>
          <w:p>
            <w:pPr>
              <w:keepLines/>
              <w:spacing w:after="0" w:line="240" w:lineRule="auto"/>
            </w:pPr>
            <w:r>
              <w:rPr>
                <w:rFonts w:ascii="Aptos" w:hAnsi="Aptos"/>
                <w:color w:val="000000"/>
                <w:sz w:val="16"/>
              </w:rPr>
            </w:r>
          </w:p>
        </w:tc>
      </w:tr>
    </w:tbl>
    <w:p>
      <w:pPr>
        <w:spacing w:after="20"/>
      </w:pPr>
    </w:p>
    <w:p>
      <w:pPr>
        <w:pStyle w:val="Heading2"/>
      </w:pPr>
      <w:r>
        <w:rPr>
          <w:rFonts w:ascii="Aptos" w:hAnsi="Aptos"/>
          <w:color w:val="000000"/>
          <w:sz w:val="20"/>
        </w:rPr>
        <w:t>F5 Deployment boundary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rHeight w:hRule="atLeast"/>
          <w:tblHeader w:val="true"/>
        </w:trPr>
        <w:tc>
          <w:tcPr>
            <w:tcW w:type="dxa" w:w="3888"/>
            <w:shd w:fill="17365D"/>
            <w:vAlign w:val="center"/>
            <w:tcMar>
              <w:top w:w="90" w:type="dxa"/>
              <w:start w:w="100" w:type="dxa"/>
              <w:bottom w:w="90" w:type="dxa"/>
              <w:end w:w="100" w:type="dxa"/>
            </w:tcMar>
          </w:tcPr>
          <w:p>
            <w:pPr>
              <w:keepLines/>
              <w:spacing w:after="0"/>
              <w:jc w:val="center"/>
            </w:pPr>
            <w:r>
              <w:rPr>
                <w:rFonts w:ascii="Aptos" w:hAnsi="Aptos"/>
                <w:b/>
                <w:color w:val="FFFFFF"/>
                <w:sz w:val="17"/>
              </w:rPr>
              <w:t>Control</w:t>
            </w:r>
          </w:p>
        </w:tc>
        <w:tc>
          <w:tcPr>
            <w:tcW w:type="dxa" w:w="6048"/>
            <w:shd w:fill="17365D"/>
            <w:vAlign w:val="center"/>
            <w:tcMar>
              <w:top w:w="90" w:type="dxa"/>
              <w:start w:w="100" w:type="dxa"/>
              <w:bottom w:w="90" w:type="dxa"/>
              <w:end w:w="100" w:type="dxa"/>
            </w:tcMar>
          </w:tcPr>
          <w:p>
            <w:pPr>
              <w:keepLines/>
              <w:spacing w:after="0"/>
              <w:jc w:val="center"/>
            </w:pPr>
            <w:r>
              <w:rPr>
                <w:rFonts w:ascii="Aptos" w:hAnsi="Aptos"/>
                <w:b/>
                <w:color w:val="FFFFFF"/>
                <w:sz w:val="17"/>
              </w:rPr>
              <w:t>Approved specification</w:t>
            </w:r>
          </w:p>
        </w:tc>
      </w:tr>
      <w:tr>
        <w:trPr>
          <w:trHeight w:hRule="atLeast"/>
        </w:trPr>
        <w:tc>
          <w:tcPr>
            <w:tcW w:type="dxa" w:w="3888"/>
            <w:vAlign w:val="center"/>
            <w:tcMar>
              <w:top w:w="90" w:type="dxa"/>
              <w:start w:w="100" w:type="dxa"/>
              <w:bottom w:w="90" w:type="dxa"/>
              <w:end w:w="100" w:type="dxa"/>
            </w:tcMar>
          </w:tcPr>
          <w:p>
            <w:pPr>
              <w:keepLines/>
              <w:spacing w:after="0" w:line="240" w:lineRule="auto"/>
            </w:pPr>
            <w:r>
              <w:rPr>
                <w:rFonts w:ascii="Aptos" w:hAnsi="Aptos"/>
                <w:color w:val="000000"/>
                <w:sz w:val="17"/>
              </w:rPr>
              <w:t>Authorized users and roles</w:t>
            </w:r>
          </w:p>
        </w:tc>
        <w:tc>
          <w:tcPr>
            <w:tcW w:type="dxa" w:w="6048"/>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Approved population, geography, period and volume</w:t>
            </w:r>
          </w:p>
        </w:tc>
        <w:tc>
          <w:tcPr>
            <w:tcW w:type="dxa" w:w="60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tcPr>
          <w:p>
            <w:pPr>
              <w:keepLines/>
              <w:spacing w:after="0" w:line="240" w:lineRule="auto"/>
            </w:pPr>
            <w:r>
              <w:rPr>
                <w:rFonts w:ascii="Aptos" w:hAnsi="Aptos"/>
                <w:color w:val="000000"/>
                <w:sz w:val="17"/>
              </w:rPr>
              <w:t>Approved data and environment</w:t>
            </w:r>
          </w:p>
        </w:tc>
        <w:tc>
          <w:tcPr>
            <w:tcW w:type="dxa" w:w="6048"/>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Approved model, prompt, code and configuration versions</w:t>
            </w:r>
          </w:p>
        </w:tc>
        <w:tc>
          <w:tcPr>
            <w:tcW w:type="dxa" w:w="60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tcPr>
          <w:p>
            <w:pPr>
              <w:keepLines/>
              <w:spacing w:after="0" w:line="240" w:lineRule="auto"/>
            </w:pPr>
            <w:r>
              <w:rPr>
                <w:rFonts w:ascii="Aptos" w:hAnsi="Aptos"/>
                <w:color w:val="000000"/>
                <w:sz w:val="17"/>
              </w:rPr>
              <w:t>Human-review sample and escalation</w:t>
            </w:r>
          </w:p>
        </w:tc>
        <w:tc>
          <w:tcPr>
            <w:tcW w:type="dxa" w:w="6048"/>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Monitoring indicators and thresholds</w:t>
            </w:r>
          </w:p>
        </w:tc>
        <w:tc>
          <w:tcPr>
            <w:tcW w:type="dxa" w:w="60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tcPr>
          <w:p>
            <w:pPr>
              <w:keepLines/>
              <w:spacing w:after="0" w:line="240" w:lineRule="auto"/>
            </w:pPr>
            <w:r>
              <w:rPr>
                <w:rFonts w:ascii="Aptos" w:hAnsi="Aptos"/>
                <w:color w:val="000000"/>
                <w:sz w:val="17"/>
              </w:rPr>
              <w:t>Fallback process</w:t>
            </w:r>
          </w:p>
        </w:tc>
        <w:tc>
          <w:tcPr>
            <w:tcW w:type="dxa" w:w="6048"/>
            <w:vAlign w:val="center"/>
            <w:tcMar>
              <w:top w:w="90" w:type="dxa"/>
              <w:start w:w="100" w:type="dxa"/>
              <w:bottom w:w="90" w:type="dxa"/>
              <w:end w:w="100" w:type="dxa"/>
            </w:tcMar>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t>Next scheduled review</w:t>
            </w:r>
          </w:p>
        </w:tc>
        <w:tc>
          <w:tcPr>
            <w:tcW w:type="dxa" w:w="6048"/>
            <w:vAlign w:val="center"/>
            <w:tcMar>
              <w:top w:w="90" w:type="dxa"/>
              <w:start w:w="100" w:type="dxa"/>
              <w:bottom w:w="90" w:type="dxa"/>
              <w:end w:w="100" w:type="dxa"/>
            </w:tcMar>
            <w:shd w:fill="F3F6F9"/>
          </w:tcPr>
          <w:p>
            <w:pPr>
              <w:keepLines/>
              <w:spacing w:after="0" w:line="240" w:lineRule="auto"/>
            </w:pPr>
            <w:r>
              <w:rPr>
                <w:rFonts w:ascii="Aptos" w:hAnsi="Aptos"/>
                <w:color w:val="000000"/>
                <w:sz w:val="17"/>
              </w:rPr>
            </w:r>
          </w:p>
        </w:tc>
      </w:tr>
      <w:tr>
        <w:trPr>
          <w:trHeight w:hRule="atLeast"/>
        </w:trPr>
        <w:tc>
          <w:tcPr>
            <w:tcW w:type="dxa" w:w="3888"/>
            <w:vAlign w:val="center"/>
            <w:tcMar>
              <w:top w:w="90" w:type="dxa"/>
              <w:start w:w="100" w:type="dxa"/>
              <w:bottom w:w="90" w:type="dxa"/>
              <w:end w:w="100" w:type="dxa"/>
            </w:tcMar>
          </w:tcPr>
          <w:p>
            <w:pPr>
              <w:keepLines/>
              <w:spacing w:after="0" w:line="240" w:lineRule="auto"/>
            </w:pPr>
            <w:r>
              <w:rPr>
                <w:rFonts w:ascii="Aptos" w:hAnsi="Aptos"/>
                <w:color w:val="000000"/>
                <w:sz w:val="17"/>
              </w:rPr>
              <w:t>Public method and user communication required</w:t>
            </w:r>
          </w:p>
        </w:tc>
        <w:tc>
          <w:tcPr>
            <w:tcW w:type="dxa" w:w="6048"/>
            <w:vAlign w:val="center"/>
            <w:tcMar>
              <w:top w:w="90" w:type="dxa"/>
              <w:start w:w="100" w:type="dxa"/>
              <w:bottom w:w="90" w:type="dxa"/>
              <w:end w:w="100" w:type="dxa"/>
            </w:tcMar>
          </w:tcPr>
          <w:p>
            <w:pPr>
              <w:keepLines/>
              <w:spacing w:after="0" w:line="240" w:lineRule="auto"/>
            </w:pPr>
            <w:r>
              <w:rPr>
                <w:rFonts w:ascii="Aptos" w:hAnsi="Aptos"/>
                <w:color w:val="000000"/>
                <w:sz w:val="17"/>
              </w:rPr>
            </w:r>
          </w:p>
        </w:tc>
      </w:tr>
    </w:tbl>
    <w:p>
      <w:pPr>
        <w:spacing w:after="20"/>
      </w:pPr>
    </w:p>
    <w:p>
      <w:r>
        <w:rPr>
          <w:rFonts w:ascii="Aptos" w:hAnsi="Aptos"/>
          <w:color w:val="000000"/>
          <w:sz w:val="20"/>
        </w:rPr>
        <w:br w:type="page"/>
      </w:r>
    </w:p>
    <w:p>
      <w:pPr>
        <w:pStyle w:val="Heading2"/>
      </w:pPr>
      <w:r>
        <w:rPr>
          <w:rFonts w:ascii="Aptos" w:hAnsi="Aptos"/>
          <w:color w:val="000000"/>
          <w:sz w:val="20"/>
        </w:rPr>
        <w:t>F6 Post-implementation review</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rHeight w:hRule="atLeast"/>
          <w:tblHeader w:val="true"/>
        </w:trPr>
        <w:tc>
          <w:tcPr>
            <w:tcW w:type="dxa" w:w="2448"/>
            <w:shd w:fill="17365D"/>
            <w:vAlign w:val="center"/>
            <w:tcMar>
              <w:top w:w="90" w:type="dxa"/>
              <w:start w:w="100" w:type="dxa"/>
              <w:bottom w:w="90" w:type="dxa"/>
              <w:end w:w="100" w:type="dxa"/>
            </w:tcMar>
          </w:tcPr>
          <w:p>
            <w:pPr>
              <w:keepLines/>
              <w:spacing w:after="0"/>
              <w:jc w:val="center"/>
            </w:pPr>
            <w:r>
              <w:rPr>
                <w:rFonts w:ascii="Aptos" w:hAnsi="Aptos"/>
                <w:b/>
                <w:color w:val="FFFFFF"/>
                <w:sz w:val="16"/>
              </w:rPr>
              <w:t>Measure</w:t>
            </w:r>
          </w:p>
        </w:tc>
        <w:tc>
          <w:tcPr>
            <w:tcW w:type="dxa" w:w="2304"/>
            <w:shd w:fill="17365D"/>
            <w:vAlign w:val="center"/>
            <w:tcMar>
              <w:top w:w="90" w:type="dxa"/>
              <w:start w:w="100" w:type="dxa"/>
              <w:bottom w:w="90" w:type="dxa"/>
              <w:end w:w="100" w:type="dxa"/>
            </w:tcMar>
          </w:tcPr>
          <w:p>
            <w:pPr>
              <w:keepLines/>
              <w:spacing w:after="0"/>
              <w:jc w:val="center"/>
            </w:pPr>
            <w:r>
              <w:rPr>
                <w:rFonts w:ascii="Aptos" w:hAnsi="Aptos"/>
                <w:b/>
                <w:color w:val="FFFFFF"/>
                <w:sz w:val="16"/>
              </w:rPr>
              <w:t>Expected at approval</w:t>
            </w:r>
          </w:p>
        </w:tc>
        <w:tc>
          <w:tcPr>
            <w:tcW w:type="dxa" w:w="2016"/>
            <w:shd w:fill="17365D"/>
            <w:vAlign w:val="center"/>
            <w:tcMar>
              <w:top w:w="90" w:type="dxa"/>
              <w:start w:w="100" w:type="dxa"/>
              <w:bottom w:w="90" w:type="dxa"/>
              <w:end w:w="100" w:type="dxa"/>
            </w:tcMar>
          </w:tcPr>
          <w:p>
            <w:pPr>
              <w:keepLines/>
              <w:spacing w:after="0"/>
              <w:jc w:val="center"/>
            </w:pPr>
            <w:r>
              <w:rPr>
                <w:rFonts w:ascii="Aptos" w:hAnsi="Aptos"/>
                <w:b/>
                <w:color w:val="FFFFFF"/>
                <w:sz w:val="16"/>
              </w:rPr>
              <w:t>Observed</w:t>
            </w:r>
          </w:p>
        </w:tc>
        <w:tc>
          <w:tcPr>
            <w:tcW w:type="dxa" w:w="3168"/>
            <w:shd w:fill="17365D"/>
            <w:vAlign w:val="center"/>
            <w:tcMar>
              <w:top w:w="90" w:type="dxa"/>
              <w:start w:w="100" w:type="dxa"/>
              <w:bottom w:w="90" w:type="dxa"/>
              <w:end w:w="100" w:type="dxa"/>
            </w:tcMar>
          </w:tcPr>
          <w:p>
            <w:pPr>
              <w:keepLines/>
              <w:spacing w:after="0"/>
              <w:jc w:val="center"/>
            </w:pPr>
            <w:r>
              <w:rPr>
                <w:rFonts w:ascii="Aptos" w:hAnsi="Aptos"/>
                <w:b/>
                <w:color w:val="FFFFFF"/>
                <w:sz w:val="16"/>
              </w:rPr>
              <w:t>Explanation and action</w:t>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6"/>
              </w:rPr>
              <w:t>Statistical quality</w:t>
            </w:r>
          </w:p>
        </w:tc>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Timeliness</w:t>
            </w:r>
          </w:p>
        </w:tc>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6"/>
              </w:rPr>
              <w:t>Total cost</w:t>
            </w:r>
          </w:p>
        </w:tc>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Staff time and skills</w:t>
            </w:r>
          </w:p>
        </w:tc>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6"/>
              </w:rPr>
              <w:t>Respondent or provider burden</w:t>
            </w:r>
          </w:p>
        </w:tc>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Incidents and overrides</w:t>
            </w:r>
          </w:p>
        </w:tc>
        <w:tc>
          <w:tcPr>
            <w:tcW w:type="dxa" w:w="2304"/>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shd w:fill="F3F6F9"/>
          </w:tcPr>
          <w:p>
            <w:pPr>
              <w:keepLines/>
              <w:spacing w:after="0" w:line="240" w:lineRule="auto"/>
            </w:pPr>
            <w:r>
              <w:rPr>
                <w:rFonts w:ascii="Aptos" w:hAnsi="Aptos"/>
                <w:color w:val="000000"/>
                <w:sz w:val="16"/>
              </w:rPr>
            </w:r>
          </w:p>
        </w:tc>
      </w:tr>
      <w:tr>
        <w:trPr>
          <w:trHeight w:hRule="atLeast"/>
        </w:trPr>
        <w:tc>
          <w:tcPr>
            <w:tcW w:type="dxa" w:w="2448"/>
            <w:vAlign w:val="center"/>
            <w:tcMar>
              <w:top w:w="90" w:type="dxa"/>
              <w:start w:w="100" w:type="dxa"/>
              <w:bottom w:w="90" w:type="dxa"/>
              <w:end w:w="100" w:type="dxa"/>
            </w:tcMar>
          </w:tcPr>
          <w:p>
            <w:pPr>
              <w:keepLines/>
              <w:spacing w:after="0" w:line="240" w:lineRule="auto"/>
            </w:pPr>
            <w:r>
              <w:rPr>
                <w:rFonts w:ascii="Aptos" w:hAnsi="Aptos"/>
                <w:color w:val="000000"/>
                <w:sz w:val="16"/>
              </w:rPr>
              <w:t>User experience</w:t>
            </w:r>
          </w:p>
        </w:tc>
        <w:tc>
          <w:tcPr>
            <w:tcW w:type="dxa" w:w="2304"/>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2016"/>
            <w:vAlign w:val="center"/>
            <w:tcMar>
              <w:top w:w="90" w:type="dxa"/>
              <w:start w:w="100" w:type="dxa"/>
              <w:bottom w:w="90" w:type="dxa"/>
              <w:end w:w="100" w:type="dxa"/>
            </w:tcMar>
          </w:tcPr>
          <w:p>
            <w:pPr>
              <w:keepLines/>
              <w:spacing w:after="0" w:line="240" w:lineRule="auto"/>
            </w:pPr>
            <w:r>
              <w:rPr>
                <w:rFonts w:ascii="Aptos" w:hAnsi="Aptos"/>
                <w:color w:val="000000"/>
                <w:sz w:val="16"/>
              </w:rPr>
            </w:r>
          </w:p>
        </w:tc>
        <w:tc>
          <w:tcPr>
            <w:tcW w:type="dxa" w:w="3168"/>
            <w:vAlign w:val="center"/>
            <w:tcMar>
              <w:top w:w="90" w:type="dxa"/>
              <w:start w:w="100" w:type="dxa"/>
              <w:bottom w:w="90" w:type="dxa"/>
              <w:end w:w="100" w:type="dxa"/>
            </w:tcMar>
          </w:tcPr>
          <w:p>
            <w:pPr>
              <w:keepLines/>
              <w:spacing w:after="0" w:line="240" w:lineRule="auto"/>
            </w:pPr>
            <w:r>
              <w:rPr>
                <w:rFonts w:ascii="Aptos" w:hAnsi="Aptos"/>
                <w:color w:val="000000"/>
                <w:sz w:val="16"/>
              </w:rPr>
            </w:r>
          </w:p>
        </w:tc>
      </w:tr>
    </w:tbl>
    <w:p>
      <w:pPr>
        <w:spacing w:after="20"/>
      </w:pPr>
    </w:p>
    <w:p>
      <w:r>
        <w:rPr>
          <w:rFonts w:ascii="Aptos" w:hAnsi="Aptos"/>
          <w:color w:val="000000"/>
          <w:sz w:val="20"/>
        </w:rPr>
        <w:br w:type="page"/>
      </w:r>
    </w:p>
    <w:p>
      <w:pPr>
        <w:pStyle w:val="Heading1"/>
      </w:pPr>
      <w:r>
        <w:rPr>
          <w:rFonts w:ascii="Aptos" w:hAnsi="Aptos"/>
          <w:color w:val="000000"/>
          <w:sz w:val="20"/>
        </w:rPr>
        <w:t>Annex G Minimum evidence checklist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1152"/>
            <w:shd w:fill="17365D"/>
            <w:vAlign w:val="center"/>
            <w:tcMar>
              <w:top w:w="90" w:type="dxa"/>
              <w:start w:w="100" w:type="dxa"/>
              <w:bottom w:w="90" w:type="dxa"/>
              <w:end w:w="100" w:type="dxa"/>
            </w:tcMar>
          </w:tcPr>
          <w:p>
            <w:pPr>
              <w:keepLines/>
              <w:spacing w:after="0"/>
              <w:jc w:val="center"/>
            </w:pPr>
            <w:r>
              <w:rPr>
                <w:rFonts w:ascii="Aptos" w:hAnsi="Aptos"/>
                <w:b/>
                <w:color w:val="FFFFFF"/>
                <w:sz w:val="16"/>
              </w:rPr>
              <w:t>Complete</w:t>
            </w:r>
          </w:p>
        </w:tc>
        <w:tc>
          <w:tcPr>
            <w:tcW w:type="dxa" w:w="2232"/>
            <w:shd w:fill="17365D"/>
            <w:vAlign w:val="center"/>
            <w:tcMar>
              <w:top w:w="90" w:type="dxa"/>
              <w:start w:w="100" w:type="dxa"/>
              <w:bottom w:w="90" w:type="dxa"/>
              <w:end w:w="100" w:type="dxa"/>
            </w:tcMar>
          </w:tcPr>
          <w:p>
            <w:pPr>
              <w:keepLines/>
              <w:spacing w:after="0"/>
              <w:jc w:val="center"/>
            </w:pPr>
            <w:r>
              <w:rPr>
                <w:rFonts w:ascii="Aptos" w:hAnsi="Aptos"/>
                <w:b/>
                <w:color w:val="FFFFFF"/>
                <w:sz w:val="16"/>
              </w:rPr>
              <w:t>Evidence area</w:t>
            </w:r>
          </w:p>
        </w:tc>
        <w:tc>
          <w:tcPr>
            <w:tcW w:type="dxa" w:w="6552"/>
            <w:shd w:fill="17365D"/>
            <w:vAlign w:val="center"/>
            <w:tcMar>
              <w:top w:w="90" w:type="dxa"/>
              <w:start w:w="100" w:type="dxa"/>
              <w:bottom w:w="90" w:type="dxa"/>
              <w:end w:w="100" w:type="dxa"/>
            </w:tcMar>
          </w:tcPr>
          <w:p>
            <w:pPr>
              <w:keepLines/>
              <w:spacing w:after="0"/>
              <w:jc w:val="center"/>
            </w:pPr>
            <w:r>
              <w:rPr>
                <w:rFonts w:ascii="Aptos" w:hAnsi="Aptos"/>
                <w:b/>
                <w:color w:val="FFFFFF"/>
                <w:sz w:val="16"/>
              </w:rPr>
              <w:t>Minimum evidence</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Purpose and ownership</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Use case, users, statistical decision, accountable owner and consequence level are defined.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Baseline</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Current method, quality, time, cost and limitations are frozen.</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Claims</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Primary and secondary claims, metrics, thresholds and stopping rules are pre-specified.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Data</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Sources, provenance, authority, quality, linkage, sensitivity and retention are documented.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Design</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Development, validation and locked test data are separated; sampling and weighting are justified.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Quality</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All relevant quality dimensions, aggregates, subgroups and geographic domains are evaluated.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Privacy and legal</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Purpose limitation, confidentiality, data protection and contractual obligations are cleared.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Security</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Architecture, access, logging, resilience, dependency and supplier risks are cleared.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Human control</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Review, override, escalation, release authority and staff capacity are operational.</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Reproducibility</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Versions of data, code, model, prompt, configuration and results are retained.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Challenge tests</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Rare cases, missing data, drift, outages and relevant adversarial scenarios are tested.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Monitoring</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Indicators, audit samples, triggers, review frequency and incident procedure are approved.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Sustainability</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Total cost, procurement, skills, infrastructure, continuity and exit are assessed.</w:t>
            </w:r>
          </w:p>
        </w:tc>
      </w:tr>
      <w:tr>
        <w:trPr>
          <w:trHeight w:hRule="atLeast"/>
        </w:trPr>
        <w:tc>
          <w:tcPr>
            <w:tcW w:type="dxa" w:w="11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Transparency</w:t>
            </w:r>
          </w:p>
        </w:tc>
        <w:tc>
          <w:tcPr>
            <w:tcW w:type="dxa" w:w="6552"/>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Method, limitations, changes and public communication are prepared.</w:t>
            </w:r>
          </w:p>
        </w:tc>
      </w:tr>
      <w:tr>
        <w:trPr>
          <w:trHeight w:hRule="atLeast"/>
        </w:trPr>
        <w:tc>
          <w:tcPr>
            <w:tcW w:type="dxa" w:w="1152"/>
            <w:vAlign w:val="center"/>
            <w:tcMar>
              <w:top w:w="90" w:type="dxa"/>
              <w:start w:w="100" w:type="dxa"/>
              <w:bottom w:w="90" w:type="dxa"/>
              <w:end w:w="100" w:type="dxa"/>
            </w:tcMar>
          </w:tcPr>
          <w:p>
            <w:pPr>
              <w:keepLines/>
              <w:spacing w:after="0" w:line="240" w:lineRule="auto"/>
            </w:pPr>
            <w:r>
              <w:rPr>
                <w:rFonts w:ascii="Aptos" w:hAnsi="Aptos"/>
                <w:color w:val="000000"/>
                <w:sz w:val="16"/>
              </w:rPr>
              <w:t xml:space="preserve">☐ </w:t>
            </w:r>
          </w:p>
        </w:tc>
        <w:tc>
          <w:tcPr>
            <w:tcW w:type="dxa" w:w="2232"/>
            <w:vAlign w:val="center"/>
            <w:tcMar>
              <w:top w:w="90" w:type="dxa"/>
              <w:start w:w="100" w:type="dxa"/>
              <w:bottom w:w="90" w:type="dxa"/>
              <w:end w:w="100" w:type="dxa"/>
            </w:tcMar>
          </w:tcPr>
          <w:p>
            <w:pPr>
              <w:keepLines/>
              <w:spacing w:after="0" w:line="240" w:lineRule="auto"/>
            </w:pPr>
            <w:r>
              <w:rPr>
                <w:rFonts w:ascii="Aptos" w:hAnsi="Aptos"/>
                <w:color w:val="000000"/>
                <w:sz w:val="16"/>
              </w:rPr>
              <w:t>Decision</w:t>
            </w:r>
          </w:p>
        </w:tc>
        <w:tc>
          <w:tcPr>
            <w:tcW w:type="dxa" w:w="6552"/>
            <w:vAlign w:val="center"/>
            <w:tcMar>
              <w:top w:w="90" w:type="dxa"/>
              <w:start w:w="100" w:type="dxa"/>
              <w:bottom w:w="90" w:type="dxa"/>
              <w:end w:w="100" w:type="dxa"/>
            </w:tcMar>
          </w:tcPr>
          <w:p>
            <w:pPr>
              <w:keepLines/>
              <w:spacing w:after="0" w:line="240" w:lineRule="auto"/>
            </w:pPr>
            <w:r>
              <w:rPr>
                <w:rFonts w:ascii="Aptos" w:hAnsi="Aptos"/>
                <w:color w:val="000000"/>
                <w:sz w:val="16"/>
              </w:rPr>
              <w:t>Assurance case, reservations, conditions, authority and review date are recorded.</w:t>
            </w:r>
          </w:p>
        </w:tc>
      </w:tr>
    </w:tbl>
    <w:p>
      <w:pPr>
        <w:spacing w:after="20"/>
      </w:pPr>
    </w:p>
    <w:p>
      <w:r>
        <w:rPr>
          <w:rFonts w:ascii="Aptos" w:hAnsi="Aptos"/>
          <w:color w:val="000000"/>
          <w:sz w:val="20"/>
        </w:rPr>
        <w:t>No unchecked item may be treated as complete through an aggregate score. Where an item is not applicable, record the professional justification and approving authority.</w:t>
      </w:r>
    </w:p>
    <w:p>
      <w:pPr>
        <w:pStyle w:val="Heading1"/>
      </w:pPr>
      <w:r>
        <w:rPr>
          <w:rFonts w:ascii="Aptos" w:hAnsi="Aptos"/>
          <w:color w:val="000000"/>
          <w:sz w:val="20"/>
        </w:rPr>
        <w:t>References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rHeight w:hRule="atLeast"/>
          <w:tblHeader w:val="true"/>
        </w:trPr>
        <w:tc>
          <w:tcPr>
            <w:tcW w:type="dxa" w:w="2880"/>
            <w:shd w:fill="17365D"/>
            <w:vAlign w:val="center"/>
            <w:tcMar>
              <w:top w:w="90" w:type="dxa"/>
              <w:start w:w="100" w:type="dxa"/>
              <w:bottom w:w="90" w:type="dxa"/>
              <w:end w:w="100" w:type="dxa"/>
            </w:tcMar>
          </w:tcPr>
          <w:p>
            <w:pPr>
              <w:keepLines/>
              <w:spacing w:after="0"/>
              <w:jc w:val="center"/>
            </w:pPr>
            <w:r>
              <w:rPr>
                <w:rFonts w:ascii="Aptos" w:hAnsi="Aptos"/>
                <w:b/>
                <w:color w:val="FFFFFF"/>
                <w:sz w:val="16"/>
              </w:rPr>
              <w:t>Institution</w:t>
            </w:r>
          </w:p>
        </w:tc>
        <w:tc>
          <w:tcPr>
            <w:tcW w:type="dxa" w:w="4320"/>
            <w:shd w:fill="17365D"/>
            <w:vAlign w:val="center"/>
            <w:tcMar>
              <w:top w:w="90" w:type="dxa"/>
              <w:start w:w="100" w:type="dxa"/>
              <w:bottom w:w="90" w:type="dxa"/>
              <w:end w:w="100" w:type="dxa"/>
            </w:tcMar>
          </w:tcPr>
          <w:p>
            <w:pPr>
              <w:keepLines/>
              <w:spacing w:after="0"/>
              <w:jc w:val="center"/>
            </w:pPr>
            <w:r>
              <w:rPr>
                <w:rFonts w:ascii="Aptos" w:hAnsi="Aptos"/>
                <w:b/>
                <w:color w:val="FFFFFF"/>
                <w:sz w:val="16"/>
              </w:rPr>
              <w:t>Reference</w:t>
            </w:r>
          </w:p>
        </w:tc>
        <w:tc>
          <w:tcPr>
            <w:tcW w:type="dxa" w:w="2736"/>
            <w:shd w:fill="17365D"/>
            <w:vAlign w:val="center"/>
            <w:tcMar>
              <w:top w:w="90" w:type="dxa"/>
              <w:start w:w="100" w:type="dxa"/>
              <w:bottom w:w="90" w:type="dxa"/>
              <w:end w:w="100" w:type="dxa"/>
            </w:tcMar>
          </w:tcPr>
          <w:p>
            <w:pPr>
              <w:keepLines/>
              <w:spacing w:after="0"/>
              <w:jc w:val="center"/>
            </w:pPr>
            <w:r>
              <w:rPr>
                <w:rFonts w:ascii="Aptos" w:hAnsi="Aptos"/>
                <w:b/>
                <w:color w:val="FFFFFF"/>
                <w:sz w:val="16"/>
              </w:rPr>
              <w:t>Link</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United Nations Statistics Division</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Fundamental Principles of Official Statistics</w:t>
            </w:r>
          </w:p>
        </w:tc>
        <w:tc>
          <w:tcPr>
            <w:tcW w:type="dxa" w:w="2736"/>
            <w:vAlign w:val="center"/>
            <w:tcMar>
              <w:top w:w="90" w:type="dxa"/>
              <w:start w:w="100" w:type="dxa"/>
              <w:bottom w:w="90" w:type="dxa"/>
              <w:end w:w="100" w:type="dxa"/>
            </w:tcMar>
          </w:tcPr>
          <w:p>
            <w:pPr>
              <w:keepLines/>
              <w:spacing w:after="0" w:line="240" w:lineRule="auto"/>
            </w:pPr>
            <w:r>
              <w:rPr>
                <w:rFonts w:ascii="Aptos" w:hAnsi="Aptos"/>
                <w:color w:val="000000"/>
                <w:sz w:val="16"/>
              </w:rPr>
              <w:t>https://unstats.un.org/fpos/</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United Nations Statistics Division</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United Nations National Quality Assurance Frameworks Manual for Official Statistics</w:t>
            </w:r>
          </w:p>
        </w:tc>
        <w:tc>
          <w:tcPr>
            <w:tcW w:type="dxa" w:w="273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https://unstats.un.org/UNSDWebsite/nqaf/Attachment%20B-UNNAQF%20Manual%20in%20PDF.pdf</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United Nations Economic Commission for Europe</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Responsible AI for Official Statistics Framework</w:t>
            </w:r>
          </w:p>
        </w:tc>
        <w:tc>
          <w:tcPr>
            <w:tcW w:type="dxa" w:w="2736"/>
            <w:vAlign w:val="center"/>
            <w:tcMar>
              <w:top w:w="90" w:type="dxa"/>
              <w:start w:w="100" w:type="dxa"/>
              <w:bottom w:w="90" w:type="dxa"/>
              <w:end w:w="100" w:type="dxa"/>
            </w:tcMar>
          </w:tcPr>
          <w:p>
            <w:pPr>
              <w:keepLines/>
              <w:spacing w:after="0" w:line="240" w:lineRule="auto"/>
            </w:pPr>
            <w:r>
              <w:rPr>
                <w:rFonts w:ascii="Aptos" w:hAnsi="Aptos"/>
                <w:color w:val="000000"/>
                <w:sz w:val="16"/>
              </w:rPr>
              <w:t>https://unece.org/statistics/documents/2025/10/reports/responsible-ai-official-statistics-framework</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United Nations Economic Commission for Europe</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Generic Statistical Business Process Model version 5.1</w:t>
            </w:r>
          </w:p>
        </w:tc>
        <w:tc>
          <w:tcPr>
            <w:tcW w:type="dxa" w:w="273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https://unece.org/sites/default/files/2023-11/GSBPM%20v5_1.pdf</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National Institute of Standards and Technology</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Artificial Intelligence Risk Management Framework AI RMF 1.0</w:t>
            </w:r>
          </w:p>
        </w:tc>
        <w:tc>
          <w:tcPr>
            <w:tcW w:type="dxa" w:w="2736"/>
            <w:vAlign w:val="center"/>
            <w:tcMar>
              <w:top w:w="90" w:type="dxa"/>
              <w:start w:w="100" w:type="dxa"/>
              <w:bottom w:w="90" w:type="dxa"/>
              <w:end w:w="100" w:type="dxa"/>
            </w:tcMar>
          </w:tcPr>
          <w:p>
            <w:pPr>
              <w:keepLines/>
              <w:spacing w:after="0" w:line="240" w:lineRule="auto"/>
            </w:pPr>
            <w:r>
              <w:rPr>
                <w:rFonts w:ascii="Aptos" w:hAnsi="Aptos"/>
                <w:color w:val="000000"/>
                <w:sz w:val="16"/>
              </w:rPr>
              <w:t>https://nvlpubs.nist.gov/nistpubs/ai/NIST.AI.100-1.pdf</w:t>
            </w:r>
          </w:p>
        </w:tc>
      </w:tr>
      <w:tr>
        <w:trPr>
          <w:trHeight w:hRule="atLeast"/>
        </w:trPr>
        <w:tc>
          <w:tcPr>
            <w:tcW w:type="dxa" w:w="288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OECD.AI</w:t>
            </w:r>
          </w:p>
        </w:tc>
        <w:tc>
          <w:tcPr>
            <w:tcW w:type="dxa" w:w="4320"/>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OECD AI Principles</w:t>
            </w:r>
          </w:p>
        </w:tc>
        <w:tc>
          <w:tcPr>
            <w:tcW w:type="dxa" w:w="2736"/>
            <w:vAlign w:val="center"/>
            <w:tcMar>
              <w:top w:w="90" w:type="dxa"/>
              <w:start w:w="100" w:type="dxa"/>
              <w:bottom w:w="90" w:type="dxa"/>
              <w:end w:w="100" w:type="dxa"/>
            </w:tcMar>
            <w:shd w:fill="F3F6F9"/>
          </w:tcPr>
          <w:p>
            <w:pPr>
              <w:keepLines/>
              <w:spacing w:after="0" w:line="240" w:lineRule="auto"/>
            </w:pPr>
            <w:r>
              <w:rPr>
                <w:rFonts w:ascii="Aptos" w:hAnsi="Aptos"/>
                <w:color w:val="000000"/>
                <w:sz w:val="16"/>
              </w:rPr>
              <w:t>https://oecd.ai/en/ai-principles</w:t>
            </w:r>
          </w:p>
        </w:tc>
      </w:tr>
      <w:tr>
        <w:trPr>
          <w:trHeight w:hRule="atLeast"/>
        </w:trPr>
        <w:tc>
          <w:tcPr>
            <w:tcW w:type="dxa" w:w="2880"/>
            <w:vAlign w:val="center"/>
            <w:tcMar>
              <w:top w:w="90" w:type="dxa"/>
              <w:start w:w="100" w:type="dxa"/>
              <w:bottom w:w="90" w:type="dxa"/>
              <w:end w:w="100" w:type="dxa"/>
            </w:tcMar>
          </w:tcPr>
          <w:p>
            <w:pPr>
              <w:keepLines/>
              <w:spacing w:after="0" w:line="240" w:lineRule="auto"/>
            </w:pPr>
            <w:r>
              <w:rPr>
                <w:rFonts w:ascii="Aptos" w:hAnsi="Aptos"/>
                <w:color w:val="000000"/>
                <w:sz w:val="16"/>
              </w:rPr>
              <w:t>European Union</w:t>
            </w:r>
          </w:p>
        </w:tc>
        <w:tc>
          <w:tcPr>
            <w:tcW w:type="dxa" w:w="4320"/>
            <w:vAlign w:val="center"/>
            <w:tcMar>
              <w:top w:w="90" w:type="dxa"/>
              <w:start w:w="100" w:type="dxa"/>
              <w:bottom w:w="90" w:type="dxa"/>
              <w:end w:w="100" w:type="dxa"/>
            </w:tcMar>
          </w:tcPr>
          <w:p>
            <w:pPr>
              <w:keepLines/>
              <w:spacing w:after="0" w:line="240" w:lineRule="auto"/>
            </w:pPr>
            <w:r>
              <w:rPr>
                <w:rFonts w:ascii="Aptos" w:hAnsi="Aptos"/>
                <w:color w:val="000000"/>
                <w:sz w:val="16"/>
              </w:rPr>
              <w:t>Regulation EU 2024 1689 Artificial Intelligence Act</w:t>
            </w:r>
          </w:p>
        </w:tc>
        <w:tc>
          <w:tcPr>
            <w:tcW w:type="dxa" w:w="2736"/>
            <w:vAlign w:val="center"/>
            <w:tcMar>
              <w:top w:w="90" w:type="dxa"/>
              <w:start w:w="100" w:type="dxa"/>
              <w:bottom w:w="90" w:type="dxa"/>
              <w:end w:w="100" w:type="dxa"/>
            </w:tcMar>
          </w:tcPr>
          <w:p>
            <w:pPr>
              <w:keepLines/>
              <w:spacing w:after="0" w:line="240" w:lineRule="auto"/>
            </w:pPr>
            <w:r>
              <w:rPr>
                <w:rFonts w:ascii="Aptos" w:hAnsi="Aptos"/>
                <w:color w:val="000000"/>
                <w:sz w:val="16"/>
              </w:rPr>
              <w:t>https://eur-lex.europa.eu/legal-content/EN/TXT/PDF/?uri=CELEX%3A32024R1689</w:t>
            </w:r>
          </w:p>
        </w:tc>
      </w:tr>
    </w:tbl>
    <w:p>
      <w:pPr>
        <w:spacing w:after="20"/>
      </w:pPr>
    </w:p>
    <w:p>
      <w:pPr>
        <w:pStyle w:val="Heading2"/>
      </w:pPr>
      <w:r>
        <w:rPr>
          <w:rFonts w:ascii="Aptos" w:hAnsi="Aptos"/>
          <w:color w:val="000000"/>
          <w:sz w:val="20"/>
        </w:rPr>
        <w:t>Relationship to the programme</w:t>
      </w:r>
    </w:p>
    <w:p>
      <w:r>
        <w:rPr>
          <w:rFonts w:ascii="Aptos" w:hAnsi="Aptos"/>
          <w:color w:val="000000"/>
          <w:sz w:val="20"/>
        </w:rPr>
        <w:t>Phase 1F receives selected use cases from the Phase 1E toolkit. Its completed charter, evaluation matrix, clearance record, results, incident log and assurance decision become evidence for Phase 1G, the national diagnostic synthesis and AI action plan. Later curriculum and practical laboratories should teach participants to complete these instruments using real statistical processes and controlled datasets.</w:t>
      </w:r>
    </w:p>
    <w:sectPr w:rsidR="00FC693F" w:rsidRPr="0006063C" w:rsidSect="00034616">
      <w:footerReference w:type="default" r:id="rId9"/>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Phase 1F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6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label">
    <w:name w:val="Protocol label"/>
    <w:pPr>
      <w:spacing w:after="80"/>
    </w:pPr>
    <w:rPr>
      <w:rFonts w:ascii="Aptos" w:hAnsi="Aptos"/>
      <w:b/>
      <w:color w:val="0F6B78"/>
      <w:sz w:val="18"/>
    </w:rPr>
  </w:style>
  <w:style w:type="paragraph" w:customStyle="1" w:styleId="Small">
    <w:name w:val="Small"/>
    <w:pPr>
      <w:spacing w:after="8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AI Pilot Design Evaluation and Statistical Assurance Protocol</dc:title>
  <dc:subject>Phase 1F National Information Ecosystem and AI Programme</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