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rammelabel"/>
      </w:pPr>
      <w:r>
        <w:t>NATIONAL INFORMATION ECOSYSTEM AND AI PROGRAMME</w:t>
      </w:r>
    </w:p>
    <w:p>
      <w:pPr>
        <w:pStyle w:val="Title"/>
      </w:pPr>
      <w:r>
        <w:t>National Diagnostic Synthesis and AI Action Plan Template</w:t>
      </w:r>
    </w:p>
    <w:p>
      <w:pPr>
        <w:spacing w:after="320"/>
      </w:pPr>
      <w:r>
        <w:rPr>
          <w:rFonts w:ascii="Aptos" w:hAnsi="Aptos"/>
          <w:color w:val="4F4F4F"/>
          <w:sz w:val="24"/>
        </w:rPr>
        <w:t>Phase 1G final Phase 1 document  |  Version 1.0  |  September 2026</w:t>
      </w:r>
    </w:p>
    <w:p>
      <w:pPr>
        <w:pStyle w:val="Heading2"/>
      </w:pPr>
      <w:r>
        <w:t>Purpose</w:t>
      </w:r>
    </w:p>
    <w:p>
      <w:r>
        <w:t>This template converts the evidence generated by Phases 1A to 1F into a country-owned diagnosis and a practical AI action plan for the national statistical system. It is designed for joint use by the national statistical office, sector ministries, central government authorities, research institutions and other official data producers.</w:t>
      </w:r>
    </w:p>
    <w:p>
      <w:pPr>
        <w:pStyle w:val="Heading2"/>
      </w:pPr>
      <w:r>
        <w:t>Required result</w:t>
      </w:r>
    </w:p>
    <w:p>
      <w:r>
        <w:t>The completed document must identify what the country should do, why it should do it, who is accountable, what resources are required, how progress will be measured and which safeguards must be satisfied. It should not reduce a complex statistical system to a single readiness score or produce a list of unrelated technology projects.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61"/>
        <w:gridCol w:w="5061"/>
      </w:tblGrid>
      <w:tr>
        <w:trPr>
          <w:tblHeader w:val="true"/>
        </w:trPr>
        <w:tc>
          <w:tcPr>
            <w:tcW w:type="dxa" w:w="3096"/>
            <w:shd w:fill="17365D"/>
            <w:tcMar>
              <w:top w:w="95" w:type="dxa"/>
              <w:start w:w="95" w:type="dxa"/>
              <w:bottom w:w="95" w:type="dxa"/>
              <w:end w:w="95" w:type="dxa"/>
            </w:tcMar>
            <w:vAlign w:val="center"/>
          </w:tcPr>
          <w:p>
            <w:pPr>
              <w:spacing w:after="0"/>
              <w:jc w:val="center"/>
            </w:pPr>
            <w:r>
              <w:rPr>
                <w:rFonts w:ascii="Aptos" w:hAnsi="Aptos"/>
                <w:b/>
                <w:color w:val="FFFFFF"/>
                <w:sz w:val="18"/>
              </w:rPr>
              <w:t>Document control</w:t>
            </w:r>
          </w:p>
        </w:tc>
        <w:tc>
          <w:tcPr>
            <w:tcW w:type="dxa" w:w="6552"/>
            <w:shd w:fill="17365D"/>
            <w:tcMar>
              <w:top w:w="95" w:type="dxa"/>
              <w:start w:w="95" w:type="dxa"/>
              <w:bottom w:w="95" w:type="dxa"/>
              <w:end w:w="95" w:type="dxa"/>
            </w:tcMar>
            <w:vAlign w:val="center"/>
          </w:tcPr>
          <w:p>
            <w:pPr>
              <w:spacing w:after="0"/>
              <w:jc w:val="center"/>
            </w:pPr>
            <w:r>
              <w:rPr>
                <w:rFonts w:ascii="Aptos" w:hAnsi="Aptos"/>
                <w:b/>
                <w:color w:val="FFFFFF"/>
                <w:sz w:val="18"/>
              </w:rPr>
              <w:t>Entry</w:t>
            </w:r>
          </w:p>
        </w:tc>
      </w:tr>
      <w:tr>
        <w:tc>
          <w:tcPr>
            <w:tcW w:type="dxa" w:w="3096"/>
            <w:tcMar>
              <w:top w:w="95" w:type="dxa"/>
              <w:start w:w="95" w:type="dxa"/>
              <w:bottom w:w="95" w:type="dxa"/>
              <w:end w:w="95" w:type="dxa"/>
            </w:tcMar>
            <w:vAlign w:val="center"/>
          </w:tcPr>
          <w:p>
            <w:pPr>
              <w:spacing w:after="0" w:line="240" w:lineRule="auto"/>
            </w:pPr>
            <w:r>
              <w:rPr>
                <w:rFonts w:ascii="Aptos" w:hAnsi="Aptos"/>
                <w:color w:val="000000"/>
                <w:sz w:val="18"/>
              </w:rPr>
              <w:t>Country</w:t>
            </w:r>
          </w:p>
        </w:tc>
        <w:tc>
          <w:tcPr>
            <w:tcW w:type="dxa" w:w="6552"/>
            <w:tcMar>
              <w:top w:w="95" w:type="dxa"/>
              <w:start w:w="95" w:type="dxa"/>
              <w:bottom w:w="95" w:type="dxa"/>
              <w:end w:w="95" w:type="dxa"/>
            </w:tcMar>
            <w:vAlign w:val="center"/>
          </w:tcPr>
          <w:p>
            <w:pPr>
              <w:spacing w:after="0" w:line="240" w:lineRule="auto"/>
            </w:pPr>
            <w:r>
              <w:rPr>
                <w:rFonts w:ascii="Aptos" w:hAnsi="Aptos"/>
                <w:color w:val="000000"/>
                <w:sz w:val="18"/>
              </w:rPr>
              <w:t>____________________________________________</w:t>
            </w:r>
          </w:p>
        </w:tc>
      </w:tr>
      <w:tr>
        <w:tc>
          <w:tcPr>
            <w:tcW w:type="dxa" w:w="3096"/>
            <w:tcMar>
              <w:top w:w="95" w:type="dxa"/>
              <w:start w:w="95" w:type="dxa"/>
              <w:bottom w:w="95" w:type="dxa"/>
              <w:end w:w="95" w:type="dxa"/>
            </w:tcMar>
            <w:vAlign w:val="center"/>
            <w:shd w:fill="F3F6F9"/>
          </w:tcPr>
          <w:p>
            <w:pPr>
              <w:spacing w:after="0" w:line="240" w:lineRule="auto"/>
            </w:pPr>
            <w:r>
              <w:rPr>
                <w:rFonts w:ascii="Aptos" w:hAnsi="Aptos"/>
                <w:color w:val="000000"/>
                <w:sz w:val="18"/>
              </w:rPr>
              <w:t>Lead institution</w:t>
            </w:r>
          </w:p>
        </w:tc>
        <w:tc>
          <w:tcPr>
            <w:tcW w:type="dxa" w:w="6552"/>
            <w:tcMar>
              <w:top w:w="95" w:type="dxa"/>
              <w:start w:w="95" w:type="dxa"/>
              <w:bottom w:w="95" w:type="dxa"/>
              <w:end w:w="95" w:type="dxa"/>
            </w:tcMar>
            <w:vAlign w:val="center"/>
            <w:shd w:fill="F3F6F9"/>
          </w:tcPr>
          <w:p>
            <w:pPr>
              <w:spacing w:after="0" w:line="240" w:lineRule="auto"/>
            </w:pPr>
            <w:r>
              <w:rPr>
                <w:rFonts w:ascii="Aptos" w:hAnsi="Aptos"/>
                <w:color w:val="000000"/>
                <w:sz w:val="18"/>
              </w:rPr>
              <w:t>____________________________________________</w:t>
            </w:r>
          </w:p>
        </w:tc>
      </w:tr>
      <w:tr>
        <w:tc>
          <w:tcPr>
            <w:tcW w:type="dxa" w:w="3096"/>
            <w:tcMar>
              <w:top w:w="95" w:type="dxa"/>
              <w:start w:w="95" w:type="dxa"/>
              <w:bottom w:w="95" w:type="dxa"/>
              <w:end w:w="95" w:type="dxa"/>
            </w:tcMar>
            <w:vAlign w:val="center"/>
          </w:tcPr>
          <w:p>
            <w:pPr>
              <w:spacing w:after="0" w:line="240" w:lineRule="auto"/>
            </w:pPr>
            <w:r>
              <w:rPr>
                <w:rFonts w:ascii="Aptos" w:hAnsi="Aptos"/>
                <w:color w:val="000000"/>
                <w:sz w:val="18"/>
              </w:rPr>
              <w:t>National statistical system coordinator</w:t>
            </w:r>
          </w:p>
        </w:tc>
        <w:tc>
          <w:tcPr>
            <w:tcW w:type="dxa" w:w="6552"/>
            <w:tcMar>
              <w:top w:w="95" w:type="dxa"/>
              <w:start w:w="95" w:type="dxa"/>
              <w:bottom w:w="95" w:type="dxa"/>
              <w:end w:w="95" w:type="dxa"/>
            </w:tcMar>
            <w:vAlign w:val="center"/>
          </w:tcPr>
          <w:p>
            <w:pPr>
              <w:spacing w:after="0" w:line="240" w:lineRule="auto"/>
            </w:pPr>
            <w:r>
              <w:rPr>
                <w:rFonts w:ascii="Aptos" w:hAnsi="Aptos"/>
                <w:color w:val="000000"/>
                <w:sz w:val="18"/>
              </w:rPr>
              <w:t>____________________________________________</w:t>
            </w:r>
          </w:p>
        </w:tc>
      </w:tr>
      <w:tr>
        <w:tc>
          <w:tcPr>
            <w:tcW w:type="dxa" w:w="3096"/>
            <w:tcMar>
              <w:top w:w="95" w:type="dxa"/>
              <w:start w:w="95" w:type="dxa"/>
              <w:bottom w:w="95" w:type="dxa"/>
              <w:end w:w="95" w:type="dxa"/>
            </w:tcMar>
            <w:vAlign w:val="center"/>
            <w:shd w:fill="F3F6F9"/>
          </w:tcPr>
          <w:p>
            <w:pPr>
              <w:spacing w:after="0" w:line="240" w:lineRule="auto"/>
            </w:pPr>
            <w:r>
              <w:rPr>
                <w:rFonts w:ascii="Aptos" w:hAnsi="Aptos"/>
                <w:color w:val="000000"/>
                <w:sz w:val="18"/>
              </w:rPr>
              <w:t>Assessment period</w:t>
            </w:r>
          </w:p>
        </w:tc>
        <w:tc>
          <w:tcPr>
            <w:tcW w:type="dxa" w:w="6552"/>
            <w:tcMar>
              <w:top w:w="95" w:type="dxa"/>
              <w:start w:w="95" w:type="dxa"/>
              <w:bottom w:w="95" w:type="dxa"/>
              <w:end w:w="95" w:type="dxa"/>
            </w:tcMar>
            <w:vAlign w:val="center"/>
            <w:shd w:fill="F3F6F9"/>
          </w:tcPr>
          <w:p>
            <w:pPr>
              <w:spacing w:after="0" w:line="240" w:lineRule="auto"/>
            </w:pPr>
            <w:r>
              <w:rPr>
                <w:rFonts w:ascii="Aptos" w:hAnsi="Aptos"/>
                <w:color w:val="000000"/>
                <w:sz w:val="18"/>
              </w:rPr>
              <w:t>____________________________________________</w:t>
            </w:r>
          </w:p>
        </w:tc>
      </w:tr>
      <w:tr>
        <w:tc>
          <w:tcPr>
            <w:tcW w:type="dxa" w:w="3096"/>
            <w:tcMar>
              <w:top w:w="95" w:type="dxa"/>
              <w:start w:w="95" w:type="dxa"/>
              <w:bottom w:w="95" w:type="dxa"/>
              <w:end w:w="95" w:type="dxa"/>
            </w:tcMar>
            <w:vAlign w:val="center"/>
          </w:tcPr>
          <w:p>
            <w:pPr>
              <w:spacing w:after="0" w:line="240" w:lineRule="auto"/>
            </w:pPr>
            <w:r>
              <w:rPr>
                <w:rFonts w:ascii="Aptos" w:hAnsi="Aptos"/>
                <w:color w:val="000000"/>
                <w:sz w:val="18"/>
              </w:rPr>
              <w:t>Action-plan period</w:t>
            </w:r>
          </w:p>
        </w:tc>
        <w:tc>
          <w:tcPr>
            <w:tcW w:type="dxa" w:w="6552"/>
            <w:tcMar>
              <w:top w:w="95" w:type="dxa"/>
              <w:start w:w="95" w:type="dxa"/>
              <w:bottom w:w="95" w:type="dxa"/>
              <w:end w:w="95" w:type="dxa"/>
            </w:tcMar>
            <w:vAlign w:val="center"/>
          </w:tcPr>
          <w:p>
            <w:pPr>
              <w:spacing w:after="0" w:line="240" w:lineRule="auto"/>
            </w:pPr>
            <w:r>
              <w:rPr>
                <w:rFonts w:ascii="Aptos" w:hAnsi="Aptos"/>
                <w:color w:val="000000"/>
                <w:sz w:val="18"/>
              </w:rPr>
              <w:t>____________________________________________</w:t>
            </w:r>
          </w:p>
        </w:tc>
      </w:tr>
      <w:tr>
        <w:tc>
          <w:tcPr>
            <w:tcW w:type="dxa" w:w="3096"/>
            <w:tcMar>
              <w:top w:w="95" w:type="dxa"/>
              <w:start w:w="95" w:type="dxa"/>
              <w:bottom w:w="95" w:type="dxa"/>
              <w:end w:w="95" w:type="dxa"/>
            </w:tcMar>
            <w:vAlign w:val="center"/>
            <w:shd w:fill="F3F6F9"/>
          </w:tcPr>
          <w:p>
            <w:pPr>
              <w:spacing w:after="0" w:line="240" w:lineRule="auto"/>
            </w:pPr>
            <w:r>
              <w:rPr>
                <w:rFonts w:ascii="Aptos" w:hAnsi="Aptos"/>
                <w:color w:val="000000"/>
                <w:sz w:val="18"/>
              </w:rPr>
              <w:t>Approved by and date</w:t>
            </w:r>
          </w:p>
        </w:tc>
        <w:tc>
          <w:tcPr>
            <w:tcW w:type="dxa" w:w="6552"/>
            <w:tcMar>
              <w:top w:w="95" w:type="dxa"/>
              <w:start w:w="95" w:type="dxa"/>
              <w:bottom w:w="95" w:type="dxa"/>
              <w:end w:w="95" w:type="dxa"/>
            </w:tcMar>
            <w:vAlign w:val="center"/>
            <w:shd w:fill="F3F6F9"/>
          </w:tcPr>
          <w:p>
            <w:pPr>
              <w:spacing w:after="0" w:line="240" w:lineRule="auto"/>
            </w:pPr>
            <w:r>
              <w:rPr>
                <w:rFonts w:ascii="Aptos" w:hAnsi="Aptos"/>
                <w:color w:val="000000"/>
                <w:sz w:val="18"/>
              </w:rPr>
              <w:t>____________________________________________</w:t>
            </w:r>
          </w:p>
        </w:tc>
      </w:tr>
      <w:tr>
        <w:tc>
          <w:tcPr>
            <w:tcW w:type="dxa" w:w="3096"/>
            <w:tcMar>
              <w:top w:w="95" w:type="dxa"/>
              <w:start w:w="95" w:type="dxa"/>
              <w:bottom w:w="95" w:type="dxa"/>
              <w:end w:w="95" w:type="dxa"/>
            </w:tcMar>
            <w:vAlign w:val="center"/>
          </w:tcPr>
          <w:p>
            <w:pPr>
              <w:spacing w:after="0" w:line="240" w:lineRule="auto"/>
            </w:pPr>
            <w:r>
              <w:rPr>
                <w:rFonts w:ascii="Aptos" w:hAnsi="Aptos"/>
                <w:color w:val="000000"/>
                <w:sz w:val="18"/>
              </w:rPr>
              <w:t>Document version</w:t>
            </w:r>
          </w:p>
        </w:tc>
        <w:tc>
          <w:tcPr>
            <w:tcW w:type="dxa" w:w="6552"/>
            <w:tcMar>
              <w:top w:w="95" w:type="dxa"/>
              <w:start w:w="95" w:type="dxa"/>
              <w:bottom w:w="95" w:type="dxa"/>
              <w:end w:w="95" w:type="dxa"/>
            </w:tcMar>
            <w:vAlign w:val="center"/>
          </w:tcPr>
          <w:p>
            <w:pPr>
              <w:spacing w:after="0" w:line="240" w:lineRule="auto"/>
            </w:pPr>
            <w:r>
              <w:rPr>
                <w:rFonts w:ascii="Aptos" w:hAnsi="Aptos"/>
                <w:color w:val="000000"/>
                <w:sz w:val="18"/>
              </w:rPr>
              <w:t>____________________________________________</w:t>
            </w:r>
          </w:p>
        </w:tc>
      </w:tr>
    </w:tbl>
    <w:p>
      <w:pPr>
        <w:spacing w:after="20"/>
      </w:pPr>
    </w:p>
    <w:p>
      <w:r>
        <w:t>Status: Complete this document after the Phase 1 diagnostic instruments have been reviewed and validated with the institutions that supplied the evidence.</w:t>
      </w:r>
    </w:p>
    <w:p>
      <w:r>
        <w:br w:type="page"/>
      </w:r>
    </w:p>
    <w:p>
      <w:pPr>
        <w:pStyle w:val="Heading1"/>
      </w:pPr>
      <w:r>
        <w:t>Contents</w:t>
      </w:r>
    </w:p>
    <w:p>
      <w:r>
        <w:t>1 How to complete this document</w:t>
      </w:r>
    </w:p>
    <w:p>
      <w:r>
        <w:t>2 Executive decision summary</w:t>
      </w:r>
    </w:p>
    <w:p>
      <w:r>
        <w:t>3 National information ecosystem profile</w:t>
      </w:r>
    </w:p>
    <w:p>
      <w:r>
        <w:t>4 Evidence base and diagnostic method</w:t>
      </w:r>
    </w:p>
    <w:p>
      <w:r>
        <w:t>5 National diagnostic findings</w:t>
      </w:r>
    </w:p>
    <w:p>
      <w:r>
        <w:t>6 Institutional and system readiness</w:t>
      </w:r>
    </w:p>
    <w:p>
      <w:r>
        <w:t>7 Data sources quality and production constraints</w:t>
      </w:r>
    </w:p>
    <w:p>
      <w:r>
        <w:t>8 AI opportunity and pilot portfolio</w:t>
      </w:r>
    </w:p>
    <w:p>
      <w:r>
        <w:t>9 Strategic direction and operating model</w:t>
      </w:r>
    </w:p>
    <w:p>
      <w:r>
        <w:t>10 National AI action plan</w:t>
      </w:r>
    </w:p>
    <w:p>
      <w:r>
        <w:t>11 Capacity development and change management</w:t>
      </w:r>
    </w:p>
    <w:p>
      <w:r>
        <w:t>12 Financing procurement and partnerships</w:t>
      </w:r>
    </w:p>
    <w:p>
      <w:r>
        <w:t>13 Monitoring evaluation and learning</w:t>
      </w:r>
    </w:p>
    <w:p>
      <w:r>
        <w:t>14 Risks safeguards and continuity</w:t>
      </w:r>
    </w:p>
    <w:p>
      <w:r>
        <w:t>15 Consultation validation and approval</w:t>
      </w:r>
    </w:p>
    <w:p>
      <w:r>
        <w:t>Annex A Evidence traceability matrix</w:t>
      </w:r>
    </w:p>
    <w:p>
      <w:r>
        <w:t>Annex B Detailed action plan</w:t>
      </w:r>
    </w:p>
    <w:p>
      <w:r>
        <w:t>Annex C Costing and financing worksheet</w:t>
      </w:r>
    </w:p>
    <w:p>
      <w:r>
        <w:t>Annex D Results framework</w:t>
      </w:r>
    </w:p>
    <w:p>
      <w:r>
        <w:t>Annex E Risk register</w:t>
      </w:r>
    </w:p>
    <w:p>
      <w:r>
        <w:t>Annex F Annual review and decision record</w:t>
      </w:r>
    </w:p>
    <w:p>
      <w:pPr>
        <w:pStyle w:val="Heading1"/>
      </w:pPr>
      <w:r>
        <w:t>Opening statement</w:t>
      </w:r>
    </w:p>
    <w:p>
      <w:r>
        <w:t>[Write a concise country-specific statement explaining the public-statistics problem, the diagnostic conclusion and the decisions requested from senior authorities. Distinguish confirmed evidence from judgement and unresolved uncertainty.]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4608"/>
            <w:shd w:fill="17365D"/>
            <w:tcMar>
              <w:top w:w="95" w:type="dxa"/>
              <w:start w:w="95" w:type="dxa"/>
              <w:bottom w:w="95" w:type="dxa"/>
              <w:end w:w="95" w:type="dxa"/>
            </w:tcMar>
            <w:vAlign w:val="center"/>
          </w:tcPr>
          <w:p>
            <w:pPr>
              <w:spacing w:after="0"/>
              <w:jc w:val="center"/>
            </w:pPr>
            <w:r>
              <w:rPr>
                <w:rFonts w:ascii="Aptos" w:hAnsi="Aptos"/>
                <w:b/>
                <w:color w:val="FFFFFF"/>
                <w:sz w:val="17"/>
              </w:rPr>
              <w:t>Decision requested</w:t>
            </w:r>
          </w:p>
        </w:tc>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7"/>
              </w:rPr>
              <w:t>Proposed authority</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7"/>
              </w:rPr>
              <w:t>Due date</w:t>
            </w:r>
          </w:p>
        </w:tc>
        <w:tc>
          <w:tcPr>
            <w:tcW w:type="dxa" w:w="1296"/>
            <w:shd w:fill="17365D"/>
            <w:tcMar>
              <w:top w:w="95" w:type="dxa"/>
              <w:start w:w="95" w:type="dxa"/>
              <w:bottom w:w="95" w:type="dxa"/>
              <w:end w:w="95" w:type="dxa"/>
            </w:tcMar>
            <w:vAlign w:val="center"/>
          </w:tcPr>
          <w:p>
            <w:pPr>
              <w:spacing w:after="0"/>
              <w:jc w:val="center"/>
            </w:pPr>
            <w:r>
              <w:rPr>
                <w:rFonts w:ascii="Aptos" w:hAnsi="Aptos"/>
                <w:b/>
                <w:color w:val="FFFFFF"/>
                <w:sz w:val="17"/>
              </w:rPr>
              <w:t>Status</w:t>
            </w:r>
          </w:p>
        </w:tc>
      </w:tr>
      <w:tr>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Adopt the national direction for responsible AI in official statistics</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7"/>
              </w:rPr>
            </w:r>
          </w:p>
        </w:tc>
      </w:tr>
      <w:tr>
        <w:tc>
          <w:tcPr>
            <w:tcW w:type="dxa" w:w="4608"/>
            <w:tcMar>
              <w:top w:w="95" w:type="dxa"/>
              <w:start w:w="95" w:type="dxa"/>
              <w:bottom w:w="95" w:type="dxa"/>
              <w:end w:w="95" w:type="dxa"/>
            </w:tcMar>
            <w:vAlign w:val="center"/>
            <w:shd w:fill="F3F6F9"/>
          </w:tcPr>
          <w:p>
            <w:pPr>
              <w:spacing w:after="0" w:line="240" w:lineRule="auto"/>
            </w:pPr>
            <w:r>
              <w:rPr>
                <w:rFonts w:ascii="Aptos" w:hAnsi="Aptos"/>
                <w:color w:val="000000"/>
                <w:sz w:val="17"/>
              </w:rPr>
              <w:t>Approve the first controlled pilot portfolio</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7"/>
              </w:rPr>
            </w:r>
          </w:p>
        </w:tc>
      </w:tr>
      <w:tr>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Confirm the governance and statistical assurance arrangements</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7"/>
              </w:rPr>
            </w:r>
          </w:p>
        </w:tc>
      </w:tr>
      <w:tr>
        <w:tc>
          <w:tcPr>
            <w:tcW w:type="dxa" w:w="4608"/>
            <w:tcMar>
              <w:top w:w="95" w:type="dxa"/>
              <w:start w:w="95" w:type="dxa"/>
              <w:bottom w:w="95" w:type="dxa"/>
              <w:end w:w="95" w:type="dxa"/>
            </w:tcMar>
            <w:vAlign w:val="center"/>
            <w:shd w:fill="F3F6F9"/>
          </w:tcPr>
          <w:p>
            <w:pPr>
              <w:spacing w:after="0" w:line="240" w:lineRule="auto"/>
            </w:pPr>
            <w:r>
              <w:rPr>
                <w:rFonts w:ascii="Aptos" w:hAnsi="Aptos"/>
                <w:color w:val="000000"/>
                <w:sz w:val="17"/>
              </w:rPr>
              <w:t>Authorize priority capacity-development measures</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7"/>
              </w:rPr>
            </w:r>
          </w:p>
        </w:tc>
      </w:tr>
      <w:tr>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Confirm financing and partnership actions</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7"/>
              </w:rPr>
            </w:r>
          </w:p>
        </w:tc>
      </w:tr>
    </w:tbl>
    <w:p>
      <w:pPr>
        <w:spacing w:after="20"/>
      </w:pPr>
    </w:p>
    <w:p>
      <w:pPr>
        <w:spacing w:after="40"/>
      </w:pPr>
    </w:p>
    <w:p>
      <w:pPr>
        <w:pStyle w:val="Heading1"/>
      </w:pPr>
      <w:r>
        <w:t>1 How to complete this document</w:t>
      </w:r>
    </w:p>
    <w:p>
      <w:pPr>
        <w:pStyle w:val="Heading2"/>
      </w:pPr>
      <w:r>
        <w:t>1.1 Use evidence not impressions</w:t>
      </w:r>
    </w:p>
    <w:p>
      <w:r>
        <w:t>Draw every material finding from an identified source: questionnaire response, ecosystem-map record, readiness score, document, interview, workshop, data-quality assessment, use-case screen or pilot evidence. Record disagreement and gaps. Do not interpret missing evidence as a low score or as confirmation that a control exists.</w:t>
      </w:r>
    </w:p>
    <w:p>
      <w:pPr>
        <w:pStyle w:val="Heading2"/>
      </w:pPr>
      <w:r>
        <w:t>1.2 Complete the synthesis in five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4"/>
        <w:gridCol w:w="3374"/>
        <w:gridCol w:w="3374"/>
      </w:tblGrid>
      <w:tr>
        <w:trPr>
          <w:tblHeader w:val="true"/>
        </w:trPr>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7"/>
              </w:rPr>
              <w:t>Step</w:t>
            </w:r>
          </w:p>
        </w:tc>
        <w:tc>
          <w:tcPr>
            <w:tcW w:type="dxa" w:w="4896"/>
            <w:shd w:fill="17365D"/>
            <w:tcMar>
              <w:top w:w="95" w:type="dxa"/>
              <w:start w:w="95" w:type="dxa"/>
              <w:bottom w:w="95" w:type="dxa"/>
              <w:end w:w="95" w:type="dxa"/>
            </w:tcMar>
            <w:vAlign w:val="center"/>
          </w:tcPr>
          <w:p>
            <w:pPr>
              <w:spacing w:after="0"/>
              <w:jc w:val="center"/>
            </w:pPr>
            <w:r>
              <w:rPr>
                <w:rFonts w:ascii="Aptos" w:hAnsi="Aptos"/>
                <w:b/>
                <w:color w:val="FFFFFF"/>
                <w:sz w:val="17"/>
              </w:rPr>
              <w:t>Work</w:t>
            </w:r>
          </w:p>
        </w:tc>
        <w:tc>
          <w:tcPr>
            <w:tcW w:type="dxa" w:w="3456"/>
            <w:shd w:fill="17365D"/>
            <w:tcMar>
              <w:top w:w="95" w:type="dxa"/>
              <w:start w:w="95" w:type="dxa"/>
              <w:bottom w:w="95" w:type="dxa"/>
              <w:end w:w="95" w:type="dxa"/>
            </w:tcMar>
            <w:vAlign w:val="center"/>
          </w:tcPr>
          <w:p>
            <w:pPr>
              <w:spacing w:after="0"/>
              <w:jc w:val="center"/>
            </w:pPr>
            <w:r>
              <w:rPr>
                <w:rFonts w:ascii="Aptos" w:hAnsi="Aptos"/>
                <w:b/>
                <w:color w:val="FFFFFF"/>
                <w:sz w:val="17"/>
              </w:rPr>
              <w:t>Output</w:t>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7"/>
              </w:rPr>
              <w:t>1 Consolidate</w:t>
            </w:r>
          </w:p>
        </w:tc>
        <w:tc>
          <w:tcPr>
            <w:tcW w:type="dxa" w:w="4896"/>
            <w:tcMar>
              <w:top w:w="95" w:type="dxa"/>
              <w:start w:w="95" w:type="dxa"/>
              <w:bottom w:w="95" w:type="dxa"/>
              <w:end w:w="95" w:type="dxa"/>
            </w:tcMar>
            <w:vAlign w:val="center"/>
          </w:tcPr>
          <w:p>
            <w:pPr>
              <w:spacing w:after="0" w:line="240" w:lineRule="auto"/>
            </w:pPr>
            <w:r>
              <w:rPr>
                <w:rFonts w:ascii="Aptos" w:hAnsi="Aptos"/>
                <w:color w:val="000000"/>
                <w:sz w:val="17"/>
              </w:rPr>
              <w:t>Reconcile institutions, data assets, quality issues, scores, use cases and evidence references.</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7"/>
              </w:rPr>
              <w:t>Validated evidence register.</w:t>
            </w:r>
          </w:p>
        </w:tc>
      </w:tr>
      <w:tr>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7"/>
              </w:rPr>
              <w:t>2 Interpret</w:t>
            </w:r>
          </w:p>
        </w:tc>
        <w:tc>
          <w:tcPr>
            <w:tcW w:type="dxa" w:w="4896"/>
            <w:tcMar>
              <w:top w:w="95" w:type="dxa"/>
              <w:start w:w="95" w:type="dxa"/>
              <w:bottom w:w="95" w:type="dxa"/>
              <w:end w:w="95" w:type="dxa"/>
            </w:tcMar>
            <w:vAlign w:val="center"/>
            <w:shd w:fill="F3F6F9"/>
          </w:tcPr>
          <w:p>
            <w:pPr>
              <w:spacing w:after="0" w:line="240" w:lineRule="auto"/>
            </w:pPr>
            <w:r>
              <w:rPr>
                <w:rFonts w:ascii="Aptos" w:hAnsi="Aptos"/>
                <w:color w:val="000000"/>
                <w:sz w:val="17"/>
              </w:rPr>
              <w:t>Identify patterns, dependencies, strengths, bottlenecks and variation across institutions and sectors.</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7"/>
              </w:rPr>
              <w:t>Diagnostic findings and readiness profiles.</w:t>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7"/>
              </w:rPr>
              <w:t>3 Decide</w:t>
            </w:r>
          </w:p>
        </w:tc>
        <w:tc>
          <w:tcPr>
            <w:tcW w:type="dxa" w:w="4896"/>
            <w:tcMar>
              <w:top w:w="95" w:type="dxa"/>
              <w:start w:w="95" w:type="dxa"/>
              <w:bottom w:w="95" w:type="dxa"/>
              <w:end w:w="95" w:type="dxa"/>
            </w:tcMar>
            <w:vAlign w:val="center"/>
          </w:tcPr>
          <w:p>
            <w:pPr>
              <w:spacing w:after="0" w:line="240" w:lineRule="auto"/>
            </w:pPr>
            <w:r>
              <w:rPr>
                <w:rFonts w:ascii="Aptos" w:hAnsi="Aptos"/>
                <w:color w:val="000000"/>
                <w:sz w:val="17"/>
              </w:rPr>
              <w:t>Set principles, governance, priority outcomes and a proportionate operating model.</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7"/>
              </w:rPr>
              <w:t>Strategic direction.</w:t>
            </w:r>
          </w:p>
        </w:tc>
      </w:tr>
      <w:tr>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7"/>
              </w:rPr>
              <w:t>4 Programme</w:t>
            </w:r>
          </w:p>
        </w:tc>
        <w:tc>
          <w:tcPr>
            <w:tcW w:type="dxa" w:w="4896"/>
            <w:tcMar>
              <w:top w:w="95" w:type="dxa"/>
              <w:start w:w="95" w:type="dxa"/>
              <w:bottom w:w="95" w:type="dxa"/>
              <w:end w:w="95" w:type="dxa"/>
            </w:tcMar>
            <w:vAlign w:val="center"/>
            <w:shd w:fill="F3F6F9"/>
          </w:tcPr>
          <w:p>
            <w:pPr>
              <w:spacing w:after="0" w:line="240" w:lineRule="auto"/>
            </w:pPr>
            <w:r>
              <w:rPr>
                <w:rFonts w:ascii="Aptos" w:hAnsi="Aptos"/>
                <w:color w:val="000000"/>
                <w:sz w:val="17"/>
              </w:rPr>
              <w:t>Sequence actions, pilots, capacity building, financing and safeguards.</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7"/>
              </w:rPr>
              <w:t>Costed implementation plan.</w:t>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7"/>
              </w:rPr>
              <w:t>5 Approve and learn</w:t>
            </w:r>
          </w:p>
        </w:tc>
        <w:tc>
          <w:tcPr>
            <w:tcW w:type="dxa" w:w="4896"/>
            <w:tcMar>
              <w:top w:w="95" w:type="dxa"/>
              <w:start w:w="95" w:type="dxa"/>
              <w:bottom w:w="95" w:type="dxa"/>
              <w:end w:w="95" w:type="dxa"/>
            </w:tcMar>
            <w:vAlign w:val="center"/>
          </w:tcPr>
          <w:p>
            <w:pPr>
              <w:spacing w:after="0" w:line="240" w:lineRule="auto"/>
            </w:pPr>
            <w:r>
              <w:rPr>
                <w:rFonts w:ascii="Aptos" w:hAnsi="Aptos"/>
                <w:color w:val="000000"/>
                <w:sz w:val="17"/>
              </w:rPr>
              <w:t>Validate with stakeholders, approve responsibilities, monitor and revise.</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7"/>
              </w:rPr>
              <w:t>Owned action plan and annual review cycle.</w:t>
            </w:r>
          </w:p>
        </w:tc>
      </w:tr>
    </w:tbl>
    <w:p>
      <w:pPr>
        <w:spacing w:after="20"/>
      </w:pPr>
    </w:p>
    <w:p>
      <w:pPr>
        <w:pStyle w:val="Heading2"/>
      </w:pPr>
      <w:r>
        <w:t>1.3 Preserve variation</w:t>
      </w:r>
    </w:p>
    <w:p>
      <w:r>
        <w:t>Report differences between the NSO, sector ministries, subnational bodies and research institutions. A national average can hide a strong central institution, weak sector systems or data sources that are technically available but not fit for statistical use. Use profiles, ranges and specific findings alongside any summary score.</w:t>
      </w:r>
    </w:p>
    <w:p>
      <w:pPr>
        <w:pStyle w:val="Heading2"/>
      </w:pPr>
      <w:r>
        <w:t>1.4 Use proportionality</w:t>
      </w:r>
    </w:p>
    <w:p>
      <w:r>
        <w:t>The same public-accountability objectives apply to every statistical system, but the operating model may differ. Resource-constrained countries should prioritize a small number of reusable capabilities, shared services and well-scoped pilots rather than imitate the organizational structure of a large statistical office.</w:t>
      </w:r>
    </w:p>
    <w:p>
      <w:pPr>
        <w:pStyle w:val="Heading2"/>
      </w:pPr>
      <w:r>
        <w:t>1.5 Evidence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4"/>
        <w:gridCol w:w="3374"/>
        <w:gridCol w:w="3374"/>
      </w:tblGrid>
      <w:tr>
        <w:trPr>
          <w:tblHeader w:val="true"/>
        </w:trPr>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7"/>
              </w:rPr>
              <w:t>Confidence</w:t>
            </w:r>
          </w:p>
        </w:tc>
        <w:tc>
          <w:tcPr>
            <w:tcW w:type="dxa" w:w="4608"/>
            <w:shd w:fill="17365D"/>
            <w:tcMar>
              <w:top w:w="95" w:type="dxa"/>
              <w:start w:w="95" w:type="dxa"/>
              <w:bottom w:w="95" w:type="dxa"/>
              <w:end w:w="95" w:type="dxa"/>
            </w:tcMar>
            <w:vAlign w:val="center"/>
          </w:tcPr>
          <w:p>
            <w:pPr>
              <w:spacing w:after="0"/>
              <w:jc w:val="center"/>
            </w:pPr>
            <w:r>
              <w:rPr>
                <w:rFonts w:ascii="Aptos" w:hAnsi="Aptos"/>
                <w:b/>
                <w:color w:val="FFFFFF"/>
                <w:sz w:val="17"/>
              </w:rPr>
              <w:t>Meaning</w:t>
            </w:r>
          </w:p>
        </w:tc>
        <w:tc>
          <w:tcPr>
            <w:tcW w:type="dxa" w:w="3744"/>
            <w:shd w:fill="17365D"/>
            <w:tcMar>
              <w:top w:w="95" w:type="dxa"/>
              <w:start w:w="95" w:type="dxa"/>
              <w:bottom w:w="95" w:type="dxa"/>
              <w:end w:w="95" w:type="dxa"/>
            </w:tcMar>
            <w:vAlign w:val="center"/>
          </w:tcPr>
          <w:p>
            <w:pPr>
              <w:spacing w:after="0"/>
              <w:jc w:val="center"/>
            </w:pPr>
            <w:r>
              <w:rPr>
                <w:rFonts w:ascii="Aptos" w:hAnsi="Aptos"/>
                <w:b/>
                <w:color w:val="FFFFFF"/>
                <w:sz w:val="17"/>
              </w:rPr>
              <w:t>Treatment</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High</w:t>
            </w:r>
          </w:p>
        </w:tc>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Multiple current sources agree and the evidence is directly verified.</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7"/>
              </w:rPr>
              <w:t>Use as a firm planning assumption.</w:t>
            </w:r>
          </w:p>
        </w:tc>
      </w:tr>
      <w:tr>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7"/>
              </w:rPr>
              <w:t>Moderate</w:t>
            </w:r>
          </w:p>
        </w:tc>
        <w:tc>
          <w:tcPr>
            <w:tcW w:type="dxa" w:w="4608"/>
            <w:tcMar>
              <w:top w:w="95" w:type="dxa"/>
              <w:start w:w="95" w:type="dxa"/>
              <w:bottom w:w="95" w:type="dxa"/>
              <w:end w:w="95" w:type="dxa"/>
            </w:tcMar>
            <w:vAlign w:val="center"/>
            <w:shd w:fill="F3F6F9"/>
          </w:tcPr>
          <w:p>
            <w:pPr>
              <w:spacing w:after="0" w:line="240" w:lineRule="auto"/>
            </w:pPr>
            <w:r>
              <w:rPr>
                <w:rFonts w:ascii="Aptos" w:hAnsi="Aptos"/>
                <w:color w:val="000000"/>
                <w:sz w:val="17"/>
              </w:rPr>
              <w:t>Evidence is credible but partial, dated or dependent on a limited sample.</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7"/>
              </w:rPr>
              <w:t>Use with a validation or monitoring action.</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Low</w:t>
            </w:r>
          </w:p>
        </w:tc>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Evidence is unverified, contested or based mainly on opinion.</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7"/>
              </w:rPr>
              <w:t>Do not make a major investment decision without further work.</w:t>
            </w:r>
          </w:p>
        </w:tc>
      </w:tr>
      <w:tr>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7"/>
              </w:rPr>
              <w:t>Unknown</w:t>
            </w:r>
          </w:p>
        </w:tc>
        <w:tc>
          <w:tcPr>
            <w:tcW w:type="dxa" w:w="4608"/>
            <w:tcMar>
              <w:top w:w="95" w:type="dxa"/>
              <w:start w:w="95" w:type="dxa"/>
              <w:bottom w:w="95" w:type="dxa"/>
              <w:end w:w="95" w:type="dxa"/>
            </w:tcMar>
            <w:vAlign w:val="center"/>
            <w:shd w:fill="F3F6F9"/>
          </w:tcPr>
          <w:p>
            <w:pPr>
              <w:spacing w:after="0" w:line="240" w:lineRule="auto"/>
            </w:pPr>
            <w:r>
              <w:rPr>
                <w:rFonts w:ascii="Aptos" w:hAnsi="Aptos"/>
                <w:color w:val="000000"/>
                <w:sz w:val="17"/>
              </w:rPr>
              <w:t>No adequate evidence was obtained.</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7"/>
              </w:rPr>
              <w:t>Record as an information gap, not a negative result.</w:t>
            </w:r>
          </w:p>
        </w:tc>
      </w:tr>
    </w:tbl>
    <w:p>
      <w:pPr>
        <w:spacing w:after="20"/>
      </w:pPr>
    </w:p>
    <w:p>
      <w:pPr>
        <w:spacing w:after="40"/>
      </w:pPr>
    </w:p>
    <w:p>
      <w:pPr>
        <w:pStyle w:val="Heading1"/>
      </w:pPr>
      <w:r>
        <w:t>2 Executive decision summary</w:t>
      </w:r>
    </w:p>
    <w:p>
      <w:pPr>
        <w:pStyle w:val="Heading2"/>
      </w:pPr>
      <w:r>
        <w:t>2.1 Country diagnosis</w:t>
      </w:r>
    </w:p>
    <w:p>
      <w:r>
        <w:t>[In one page, state the condition of the national information ecosystem, the principal statistical needs, the main readiness constraints, the strongest existing assets and the practical implication for AI adoption.]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Diagnostic conclusion</w:t>
            </w:r>
          </w:p>
        </w:tc>
        <w:tc>
          <w:tcPr>
            <w:tcW w:type="dxa" w:w="3312"/>
            <w:shd w:fill="17365D"/>
            <w:tcMar>
              <w:top w:w="95" w:type="dxa"/>
              <w:start w:w="95" w:type="dxa"/>
              <w:bottom w:w="95" w:type="dxa"/>
              <w:end w:w="95" w:type="dxa"/>
            </w:tcMar>
            <w:vAlign w:val="center"/>
          </w:tcPr>
          <w:p>
            <w:pPr>
              <w:spacing w:after="0"/>
              <w:jc w:val="center"/>
            </w:pPr>
            <w:r>
              <w:rPr>
                <w:rFonts w:ascii="Aptos" w:hAnsi="Aptos"/>
                <w:b/>
                <w:color w:val="FFFFFF"/>
                <w:sz w:val="16"/>
              </w:rPr>
              <w:t>Evidence</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6"/>
              </w:rPr>
              <w:t>Confidence</w:t>
            </w:r>
          </w:p>
        </w:tc>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6"/>
              </w:rPr>
              <w:t>Decision implication</w:t>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National coordination and mandate</w:t>
            </w:r>
          </w:p>
        </w:tc>
        <w:tc>
          <w:tcPr>
            <w:tcW w:type="dxa" w:w="331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Statistical quality and methods</w:t>
            </w:r>
          </w:p>
        </w:tc>
        <w:tc>
          <w:tcPr>
            <w:tcW w:type="dxa" w:w="331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Data access and interoperability</w:t>
            </w:r>
          </w:p>
        </w:tc>
        <w:tc>
          <w:tcPr>
            <w:tcW w:type="dxa" w:w="331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Technology and security</w:t>
            </w:r>
          </w:p>
        </w:tc>
        <w:tc>
          <w:tcPr>
            <w:tcW w:type="dxa" w:w="331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Human capability and leadership</w:t>
            </w:r>
          </w:p>
        </w:tc>
        <w:tc>
          <w:tcPr>
            <w:tcW w:type="dxa" w:w="331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Legal ethical and public-trust safeguards</w:t>
            </w:r>
          </w:p>
        </w:tc>
        <w:tc>
          <w:tcPr>
            <w:tcW w:type="dxa" w:w="331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Financial and operational sustainability</w:t>
            </w:r>
          </w:p>
        </w:tc>
        <w:tc>
          <w:tcPr>
            <w:tcW w:type="dxa" w:w="331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pStyle w:val="Heading2"/>
      </w:pPr>
      <w:r>
        <w:t>2.2 Recommended national direction</w:t>
      </w:r>
    </w:p>
    <w:p>
      <w:r>
        <w:t>[State the preferred national direction in operational terms. Identify what should be centralized or shared, what remains sector-owned, which use cases are suitable for pilots, which risks require prior action and what should not be attempted yet.]</w:t>
      </w:r>
    </w:p>
    <w:p>
      <w:pPr>
        <w:pStyle w:val="Heading2"/>
      </w:pPr>
      <w:r>
        <w:t>2.3 First twelve month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3600"/>
            <w:shd w:fill="17365D"/>
            <w:tcMar>
              <w:top w:w="95" w:type="dxa"/>
              <w:start w:w="95" w:type="dxa"/>
              <w:bottom w:w="95" w:type="dxa"/>
              <w:end w:w="95" w:type="dxa"/>
            </w:tcMar>
            <w:vAlign w:val="center"/>
          </w:tcPr>
          <w:p>
            <w:pPr>
              <w:spacing w:after="0"/>
              <w:jc w:val="center"/>
            </w:pPr>
            <w:r>
              <w:rPr>
                <w:rFonts w:ascii="Aptos" w:hAnsi="Aptos"/>
                <w:b/>
                <w:color w:val="FFFFFF"/>
                <w:sz w:val="17"/>
              </w:rPr>
              <w:t>Priority decision</w:t>
            </w:r>
          </w:p>
        </w:tc>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7"/>
              </w:rPr>
              <w:t>Accountable authority</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7"/>
              </w:rPr>
              <w:t>Resource implication</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7"/>
              </w:rPr>
              <w:t>Required before</w:t>
            </w:r>
          </w:p>
        </w:tc>
      </w:tr>
      <w:tr>
        <w:tc>
          <w:tcPr>
            <w:tcW w:type="dxa" w:w="360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7"/>
              </w:rPr>
            </w:r>
          </w:p>
        </w:tc>
      </w:tr>
      <w:tr>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7"/>
              </w:rPr>
            </w:r>
          </w:p>
        </w:tc>
      </w:tr>
      <w:tr>
        <w:tc>
          <w:tcPr>
            <w:tcW w:type="dxa" w:w="360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7"/>
              </w:rPr>
            </w:r>
          </w:p>
        </w:tc>
      </w:tr>
      <w:tr>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7"/>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7"/>
              </w:rPr>
            </w:r>
          </w:p>
        </w:tc>
      </w:tr>
      <w:tr>
        <w:tc>
          <w:tcPr>
            <w:tcW w:type="dxa" w:w="360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7"/>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7"/>
              </w:rPr>
            </w:r>
          </w:p>
        </w:tc>
      </w:tr>
    </w:tbl>
    <w:p>
      <w:pPr>
        <w:spacing w:after="20"/>
      </w:pPr>
    </w:p>
    <w:p>
      <w:pPr>
        <w:pStyle w:val="Heading2"/>
      </w:pPr>
      <w:r>
        <w:t>2.4 Three year result</w:t>
      </w:r>
    </w:p>
    <w:p>
      <w:r>
        <w:t>[Describe the measurable condition expected at the end of the action-plan period. Include statistical quality, production use, trained personnel, governance, infrastructure, financing and public transparency. Avoid a generic vision statement.]</w:t>
      </w:r>
    </w:p>
    <w:p>
      <w:pPr>
        <w:spacing w:after="40"/>
      </w:pPr>
    </w:p>
    <w:p>
      <w:pPr>
        <w:pStyle w:val="Heading1"/>
      </w:pPr>
      <w:r>
        <w:t>3 National information ecosystem profile</w:t>
      </w:r>
    </w:p>
    <w:p>
      <w:pPr>
        <w:pStyle w:val="Heading2"/>
      </w:pPr>
      <w:r>
        <w:t>3.1 System architecture</w:t>
      </w:r>
    </w:p>
    <w:p>
      <w:r>
        <w:t>[Describe the legal and operational structure of the national statistical system: centralized or decentralized arrangements, the coordinating role of the NSO, sector producers, subnational offices, regulators, research institutions, private data holders and international partners.]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4"/>
              </w:rPr>
              <w:t>Actor or institution</w:t>
            </w:r>
          </w:p>
        </w:tc>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4"/>
              </w:rPr>
              <w:t>Mandate and statistical outputs</w:t>
            </w:r>
          </w:p>
        </w:tc>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4"/>
              </w:rPr>
              <w:t>Data supplied or received</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4"/>
              </w:rPr>
              <w:t>Coordination dependency</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4"/>
              </w:rPr>
              <w:t>AI or digital capability</w:t>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National statistical office</w:t>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Agriculture and food institutions</w:t>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Finance and economic institutions</w:t>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Health education and social sectors</w:t>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Environment habitat and infrastructure</w:t>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Research and technological institutions</w:t>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Subnational authorities</w:t>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Private or civil-society data holders</w:t>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bl>
    <w:p>
      <w:pPr>
        <w:spacing w:after="20"/>
      </w:pPr>
    </w:p>
    <w:p>
      <w:pPr>
        <w:pStyle w:val="Heading2"/>
      </w:pPr>
      <w:r>
        <w:t>3.2 Information flows and critical dependencies</w:t>
      </w:r>
    </w:p>
    <w:p>
      <w:r>
        <w:t>[Summarize the most important flows identified in Phase 1D. Identify sources with no stable agreement, manual transfers, duplicate collections, undocumented transformations, single points of failure and datasets that influence several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7"/>
        <w:gridCol w:w="1687"/>
        <w:gridCol w:w="1687"/>
        <w:gridCol w:w="1687"/>
        <w:gridCol w:w="1687"/>
        <w:gridCol w:w="1687"/>
      </w:tblGrid>
      <w:tr>
        <w:trPr>
          <w:tblHeader w:val="true"/>
        </w:trPr>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Information flow</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5"/>
              </w:rPr>
              <w:t>Provider</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Receiver and use</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5"/>
              </w:rPr>
              <w:t>Frequency</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Quality or access issue</w:t>
            </w:r>
          </w:p>
        </w:tc>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5"/>
              </w:rPr>
              <w:t>Required action</w:t>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pStyle w:val="Heading2"/>
      </w:pPr>
      <w:r>
        <w:t>3.3 Priority national information needs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6"/>
              </w:rPr>
              <w:t>Policy or public need</w:t>
            </w:r>
          </w:p>
        </w:tc>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Required statistical information</w:t>
            </w:r>
          </w:p>
        </w:tc>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6"/>
              </w:rPr>
              <w:t>Current gap</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6"/>
              </w:rPr>
              <w:t>Affected population or sector</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6"/>
              </w:rPr>
              <w:t>Urgency</w:t>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spacing w:after="40"/>
      </w:pPr>
    </w:p>
    <w:p>
      <w:pPr>
        <w:pStyle w:val="Heading1"/>
      </w:pPr>
      <w:r>
        <w:t>4 Evidence base and diagnostic method</w:t>
      </w:r>
    </w:p>
    <w:p>
      <w:pPr>
        <w:pStyle w:val="Heading2"/>
      </w:pPr>
      <w:r>
        <w:t>4.1 Instruments and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6"/>
              </w:rPr>
              <w:t>Phase instrument</w:t>
            </w:r>
          </w:p>
        </w:tc>
        <w:tc>
          <w:tcPr>
            <w:tcW w:type="dxa" w:w="3168"/>
            <w:shd w:fill="17365D"/>
            <w:tcMar>
              <w:top w:w="95" w:type="dxa"/>
              <w:start w:w="95" w:type="dxa"/>
              <w:bottom w:w="95" w:type="dxa"/>
              <w:end w:w="95" w:type="dxa"/>
            </w:tcMar>
            <w:vAlign w:val="center"/>
          </w:tcPr>
          <w:p>
            <w:pPr>
              <w:spacing w:after="0"/>
              <w:jc w:val="center"/>
            </w:pPr>
            <w:r>
              <w:rPr>
                <w:rFonts w:ascii="Aptos" w:hAnsi="Aptos"/>
                <w:b/>
                <w:color w:val="FFFFFF"/>
                <w:sz w:val="16"/>
              </w:rPr>
              <w:t>Evidence contributed</w:t>
            </w:r>
          </w:p>
        </w:tc>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6"/>
              </w:rPr>
              <w:t>Institutions or records covered</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6"/>
              </w:rPr>
              <w:t>Limitations</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1A Diagnostic framework</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Scope, concepts and assessment dimensions.</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1B Readiness questionnaire</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Institution and national-system evidence.</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1C Readiness scoring workbook</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Dimension profiles and readiness gates.</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1D Ecosystem mapping toolkit</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Actors, data assets, flows, quality and dependencies.</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1E Use-case toolkit</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Value, feasibility, risk and gate results.</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1F Pilot protocol</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Pilot evidence or requirements for selected cases.</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pStyle w:val="Heading2"/>
      </w:pPr>
      <w:r>
        <w:t>4.2 Participation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Stakeholder group</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6"/>
              </w:rPr>
              <w:t>Invited</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6"/>
              </w:rPr>
              <w:t>Participated</w:t>
            </w:r>
          </w:p>
        </w:tc>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Evidence supplied</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6"/>
              </w:rPr>
              <w:t>Representation gap</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NSO leadership and technical units</w:t>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Sector statistical producers</w:t>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Data stewards and administrative-source owners</w:t>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Research and academic institutions</w:t>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Technology security legal and procurement units</w:t>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Users and affected groups</w:t>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Development partners</w:t>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pStyle w:val="Heading2"/>
      </w:pPr>
      <w:r>
        <w:t>4.3 Limitations</w:t>
      </w:r>
    </w:p>
    <w:p>
      <w:r>
        <w:t>[State the limits of coverage, dates, sample, self-reporting, documentation, scoring comparability and stakeholder participation. Explain how each limitation affects interpretation and what evidence should be collected next.]</w:t>
      </w:r>
    </w:p>
    <w:p>
      <w:pPr>
        <w:pStyle w:val="Heading2"/>
      </w:pPr>
      <w:r>
        <w:t>4.4 Validation process</w:t>
      </w:r>
    </w:p>
    <w:p>
      <w:r>
        <w:t>[Record technical review, institutional confirmation, stakeholder workshop, disputed findings and final approval. Attach the evidence traceability matrix in Annex A.]</w:t>
      </w:r>
    </w:p>
    <w:p>
      <w:pPr>
        <w:spacing w:after="40"/>
      </w:pPr>
    </w:p>
    <w:p>
      <w:pPr>
        <w:pStyle w:val="Heading1"/>
      </w:pPr>
      <w:r>
        <w:t>5 National diagnostic findings</w:t>
      </w:r>
    </w:p>
    <w:p>
      <w:pPr>
        <w:pStyle w:val="Heading2"/>
      </w:pPr>
      <w:r>
        <w:t>5.1 Findings by ecosystem dimension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4"/>
              </w:rPr>
              <w:t>Dimension</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4"/>
              </w:rPr>
              <w:t>Confirmed strengths</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4"/>
              </w:rPr>
              <w:t>Material constraints</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4"/>
              </w:rPr>
              <w:t>Variation across institutions</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4"/>
              </w:rPr>
              <w:t>Priority response</w:t>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Mandate leadership and coordination</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Statistical methods and quality</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Data governance access and interoperability</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Technology infrastructure and cybersecurity</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People skills and organizational culture</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Legal ethics confidentiality and public trust</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t>Financing procurement and sustainability</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t>Partnerships research and innovation</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bl>
    <w:p>
      <w:pPr>
        <w:spacing w:after="20"/>
      </w:pPr>
    </w:p>
    <w:p>
      <w:pPr>
        <w:pStyle w:val="Heading2"/>
      </w:pPr>
      <w:r>
        <w:t>5.2 System bottlenecks</w:t>
      </w:r>
    </w:p>
    <w:p>
      <w:r>
        <w:t>[Identify the few constraints that affect several institutions, data flows or proposed use cases. Distinguish root causes from symptoms. For example, recurring data cleaning may be caused by weak source agreements and metadata rather than insufficient AI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Bottleneck</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Underlying cause</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Outputs or institutions affected</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Evidence</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Recommended system response</w:t>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r>
    </w:tbl>
    <w:p>
      <w:pPr>
        <w:spacing w:after="20"/>
      </w:pPr>
    </w:p>
    <w:p>
      <w:pPr>
        <w:pStyle w:val="Heading2"/>
      </w:pPr>
      <w:r>
        <w:t>5.3 Assets that can be reused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6"/>
              </w:rPr>
              <w:t>Existing asset</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6"/>
              </w:rPr>
              <w:t>Owner</w:t>
            </w:r>
          </w:p>
        </w:tc>
        <w:tc>
          <w:tcPr>
            <w:tcW w:type="dxa" w:w="3024"/>
            <w:shd w:fill="17365D"/>
            <w:tcMar>
              <w:top w:w="95" w:type="dxa"/>
              <w:start w:w="95" w:type="dxa"/>
              <w:bottom w:w="95" w:type="dxa"/>
              <w:end w:w="95" w:type="dxa"/>
            </w:tcMar>
            <w:vAlign w:val="center"/>
          </w:tcPr>
          <w:p>
            <w:pPr>
              <w:spacing w:after="0"/>
              <w:jc w:val="center"/>
            </w:pPr>
            <w:r>
              <w:rPr>
                <w:rFonts w:ascii="Aptos" w:hAnsi="Aptos"/>
                <w:b/>
                <w:color w:val="FFFFFF"/>
                <w:sz w:val="16"/>
              </w:rPr>
              <w:t>Potential reuse</w:t>
            </w:r>
          </w:p>
        </w:tc>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Conditions or investment needed</w:t>
            </w:r>
          </w:p>
        </w:tc>
      </w:tr>
      <w:tr>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t>Secure data environment</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t>Quality framework or methodology committee</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t>Training institution or expert network</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t>Administrative-data agreement</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448"/>
            <w:tcMar>
              <w:top w:w="95" w:type="dxa"/>
              <w:start w:w="95" w:type="dxa"/>
              <w:bottom w:w="95" w:type="dxa"/>
              <w:end w:w="95" w:type="dxa"/>
            </w:tcMar>
            <w:vAlign w:val="center"/>
          </w:tcPr>
          <w:p>
            <w:pPr>
              <w:spacing w:after="0" w:line="240" w:lineRule="auto"/>
            </w:pPr>
            <w:r>
              <w:rPr>
                <w:rFonts w:ascii="Aptos" w:hAnsi="Aptos"/>
                <w:color w:val="000000"/>
                <w:sz w:val="16"/>
              </w:rPr>
              <w:t>Geospatial or research infrastructure</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6"/>
              </w:rPr>
              <w:t>Open-source code or reference datasets</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spacing w:after="40"/>
      </w:pPr>
    </w:p>
    <w:p>
      <w:pPr>
        <w:pStyle w:val="Heading1"/>
      </w:pPr>
      <w:r>
        <w:t>6 Institutional and system readiness</w:t>
      </w:r>
    </w:p>
    <w:p>
      <w:pPr>
        <w:pStyle w:val="Heading2"/>
      </w:pPr>
      <w:r>
        <w:t>6.1 Readiness profile</w:t>
      </w:r>
    </w:p>
    <w:p>
      <w:r>
        <w:t>[Insert or summarize the Phase 1C dimension results. Report ranges and institution-specific exceptions. Do not present a national average without the distribution and gate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5"/>
              </w:rPr>
              <w:t>Readiness dimension</w:t>
            </w:r>
          </w:p>
        </w:tc>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5"/>
              </w:rPr>
              <w:t>National system finding</w:t>
            </w:r>
          </w:p>
        </w:tc>
        <w:tc>
          <w:tcPr>
            <w:tcW w:type="dxa" w:w="2448"/>
            <w:shd w:fill="17365D"/>
            <w:tcMar>
              <w:top w:w="95" w:type="dxa"/>
              <w:start w:w="95" w:type="dxa"/>
              <w:bottom w:w="95" w:type="dxa"/>
              <w:end w:w="95" w:type="dxa"/>
            </w:tcMar>
            <w:vAlign w:val="center"/>
          </w:tcPr>
          <w:p>
            <w:pPr>
              <w:spacing w:after="0"/>
              <w:jc w:val="center"/>
            </w:pPr>
            <w:r>
              <w:rPr>
                <w:rFonts w:ascii="Aptos" w:hAnsi="Aptos"/>
                <w:b/>
                <w:color w:val="FFFFFF"/>
                <w:sz w:val="15"/>
              </w:rPr>
              <w:t>Range or institutional variation</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Gate implication</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5"/>
              </w:rPr>
              <w:t>Evidence confidence</w:t>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Governance and mandate</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t>Data readiness and quality</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Methods and validation</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t>Technology and security</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Skills and organization</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t>Legal ethical and confidentiality safeguards</w:t>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Resources and sustainability</w:t>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44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r>
    </w:tbl>
    <w:p>
      <w:pPr>
        <w:spacing w:after="20"/>
      </w:pPr>
    </w:p>
    <w:p>
      <w:pPr>
        <w:pStyle w:val="Heading2"/>
      </w:pPr>
      <w:r>
        <w:t>6.2 Readiness archetypes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Institution group</w:t>
            </w:r>
          </w:p>
        </w:tc>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Current profile</w:t>
            </w:r>
          </w:p>
        </w:tc>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Suitable near-term role</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6"/>
              </w:rPr>
              <w:t>Support required</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Ready to lead controlled pilots</w:t>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Ready to participate with support</w:t>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Needs foundational action before piloting</w:t>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Critical source owner or enabling institution</w:t>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pStyle w:val="Heading2"/>
      </w:pPr>
      <w:r>
        <w:t>6.3 Mandatory national gaps</w:t>
      </w:r>
    </w:p>
    <w:p>
      <w:r>
        <w:t>[List any failed gates that must be addressed before high-consequence pilots. Give each gap an accountable authority, action and due 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7"/>
        <w:gridCol w:w="1687"/>
        <w:gridCol w:w="1687"/>
        <w:gridCol w:w="1687"/>
        <w:gridCol w:w="1687"/>
        <w:gridCol w:w="1687"/>
      </w:tblGrid>
      <w:tr>
        <w:trPr>
          <w:tblHeader w:val="true"/>
        </w:trPr>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Failed or conditional gate</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5"/>
              </w:rPr>
              <w:t>Affected scope</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Interim safeguard</w:t>
            </w:r>
          </w:p>
        </w:tc>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5"/>
              </w:rPr>
              <w:t>Corrective action</w:t>
            </w:r>
          </w:p>
        </w:tc>
        <w:tc>
          <w:tcPr>
            <w:tcW w:type="dxa" w:w="1296"/>
            <w:shd w:fill="17365D"/>
            <w:tcMar>
              <w:top w:w="95" w:type="dxa"/>
              <w:start w:w="95" w:type="dxa"/>
              <w:bottom w:w="95" w:type="dxa"/>
              <w:end w:w="95" w:type="dxa"/>
            </w:tcMar>
            <w:vAlign w:val="center"/>
          </w:tcPr>
          <w:p>
            <w:pPr>
              <w:spacing w:after="0"/>
              <w:jc w:val="center"/>
            </w:pPr>
            <w:r>
              <w:rPr>
                <w:rFonts w:ascii="Aptos" w:hAnsi="Aptos"/>
                <w:b/>
                <w:color w:val="FFFFFF"/>
                <w:sz w:val="15"/>
              </w:rPr>
              <w:t>Owner</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5"/>
              </w:rPr>
              <w:t>Due date</w:t>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spacing w:after="40"/>
      </w:pPr>
    </w:p>
    <w:p>
      <w:pPr>
        <w:pStyle w:val="Heading1"/>
      </w:pPr>
      <w:r>
        <w:t>7 Data sources quality and production constraints</w:t>
      </w:r>
    </w:p>
    <w:p>
      <w:pPr>
        <w:pStyle w:val="Heading2"/>
      </w:pPr>
      <w:r>
        <w:t>7.1 Source portfolio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5"/>
              </w:rPr>
              <w:t>Source class</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Priority assets</w:t>
            </w:r>
          </w:p>
        </w:tc>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5"/>
              </w:rPr>
              <w:t>Main quality or access issue</w:t>
            </w:r>
          </w:p>
        </w:tc>
        <w:tc>
          <w:tcPr>
            <w:tcW w:type="dxa" w:w="1656"/>
            <w:shd w:fill="17365D"/>
            <w:tcMar>
              <w:top w:w="95" w:type="dxa"/>
              <w:start w:w="95" w:type="dxa"/>
              <w:bottom w:w="95" w:type="dxa"/>
              <w:end w:w="95" w:type="dxa"/>
            </w:tcMar>
            <w:vAlign w:val="center"/>
          </w:tcPr>
          <w:p>
            <w:pPr>
              <w:spacing w:after="0"/>
              <w:jc w:val="center"/>
            </w:pPr>
            <w:r>
              <w:rPr>
                <w:rFonts w:ascii="Aptos" w:hAnsi="Aptos"/>
                <w:b/>
                <w:color w:val="FFFFFF"/>
                <w:sz w:val="15"/>
              </w:rPr>
              <w:t>AI relevance</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Required foundation</w:t>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Surveys and censuses</w:t>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t>Administrative records</w:t>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Geospatial earth observation and sensors</w:t>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t>Research and technological information</w:t>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t>Private-sector or civil-society data</w:t>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t>Integrated or linked sources</w:t>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pStyle w:val="Heading2"/>
      </w:pPr>
      <w:r>
        <w:t>7.2 Fitness for use</w:t>
      </w:r>
    </w:p>
    <w:p>
      <w:r>
        <w:t>[For each priority use case, state whether the data are fit for the specific statistical purpose. Address relevance, coverage, accuracy, timeliness, coherence, comparability, metadata, access stability and confidentiality. Data availability alone is not sufficient.]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Data asset</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5"/>
              </w:rPr>
              <w:t>Intended statistical use</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Fitness conclusion</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Material limitation</w:t>
            </w:r>
          </w:p>
        </w:tc>
        <w:tc>
          <w:tcPr>
            <w:tcW w:type="dxa" w:w="1872"/>
            <w:shd w:fill="17365D"/>
            <w:tcMar>
              <w:top w:w="95" w:type="dxa"/>
              <w:start w:w="95" w:type="dxa"/>
              <w:bottom w:w="95" w:type="dxa"/>
              <w:end w:w="95" w:type="dxa"/>
            </w:tcMar>
            <w:vAlign w:val="center"/>
          </w:tcPr>
          <w:p>
            <w:pPr>
              <w:spacing w:after="0"/>
              <w:jc w:val="center"/>
            </w:pPr>
            <w:r>
              <w:rPr>
                <w:rFonts w:ascii="Aptos" w:hAnsi="Aptos"/>
                <w:b/>
                <w:color w:val="FFFFFF"/>
                <w:sz w:val="15"/>
              </w:rPr>
              <w:t>Remedial action or alternative</w:t>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72"/>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72"/>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72"/>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72"/>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72"/>
            <w:tcMar>
              <w:top w:w="95" w:type="dxa"/>
              <w:start w:w="95" w:type="dxa"/>
              <w:bottom w:w="95" w:type="dxa"/>
              <w:end w:w="95" w:type="dxa"/>
            </w:tcMar>
            <w:vAlign w:val="center"/>
          </w:tcPr>
          <w:p>
            <w:pPr>
              <w:spacing w:after="0" w:line="240" w:lineRule="auto"/>
            </w:pPr>
            <w:r>
              <w:rPr>
                <w:rFonts w:ascii="Aptos" w:hAnsi="Aptos"/>
                <w:color w:val="000000"/>
                <w:sz w:val="15"/>
              </w:rPr>
            </w:r>
          </w:p>
        </w:tc>
      </w:tr>
    </w:tbl>
    <w:p>
      <w:pPr>
        <w:spacing w:after="20"/>
      </w:pPr>
    </w:p>
    <w:p>
      <w:pPr>
        <w:pStyle w:val="Heading2"/>
      </w:pPr>
      <w:r>
        <w:t>7.3 Production-process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Production stage</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5"/>
              </w:rPr>
              <w:t>Current constraint</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5"/>
              </w:rPr>
              <w:t>Quality or timeliness effect</w:t>
            </w:r>
          </w:p>
        </w:tc>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5"/>
              </w:rPr>
              <w:t>AI role if appropriate</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Non-AI prerequisite</w:t>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t>Needs and design</w:t>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t>Data acquisition</w:t>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t>Processing</w:t>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t>Analysis and estimation</w:t>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t>Dissemination</w:t>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t>Evaluation and revision</w:t>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spacing w:after="40"/>
      </w:pPr>
    </w:p>
    <w:p>
      <w:pPr>
        <w:pStyle w:val="Heading1"/>
      </w:pPr>
      <w:r>
        <w:t>8 AI opportunity and pilot portfolio</w:t>
      </w:r>
    </w:p>
    <w:p>
      <w:pPr>
        <w:pStyle w:val="Heading2"/>
      </w:pPr>
      <w:r>
        <w:t>8.1 Portfolio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1446"/>
        <w:gridCol w:w="1446"/>
        <w:gridCol w:w="1446"/>
        <w:gridCol w:w="1446"/>
        <w:gridCol w:w="1446"/>
        <w:gridCol w:w="1446"/>
      </w:tblGrid>
      <w:tr>
        <w:trPr>
          <w:tblHeader w:val="true"/>
        </w:trPr>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4"/>
              </w:rPr>
              <w:t>Use-case ID and title</w:t>
            </w:r>
          </w:p>
        </w:tc>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4"/>
              </w:rPr>
              <w:t>Statistical domain and stage</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4"/>
              </w:rPr>
              <w:t>Value</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Feasibility</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Risk class</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4"/>
              </w:rPr>
              <w:t>Gate result</w:t>
            </w:r>
          </w:p>
        </w:tc>
        <w:tc>
          <w:tcPr>
            <w:tcW w:type="dxa" w:w="1656"/>
            <w:shd w:fill="17365D"/>
            <w:tcMar>
              <w:top w:w="95" w:type="dxa"/>
              <w:start w:w="95" w:type="dxa"/>
              <w:bottom w:w="95" w:type="dxa"/>
              <w:end w:w="95" w:type="dxa"/>
            </w:tcMar>
            <w:vAlign w:val="center"/>
          </w:tcPr>
          <w:p>
            <w:pPr>
              <w:spacing w:after="0"/>
              <w:jc w:val="center"/>
            </w:pPr>
            <w:r>
              <w:rPr>
                <w:rFonts w:ascii="Aptos" w:hAnsi="Aptos"/>
                <w:b/>
                <w:color w:val="FFFFFF"/>
                <w:sz w:val="14"/>
              </w:rPr>
              <w:t>Recommended treatment</w:t>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bl>
    <w:p>
      <w:pPr>
        <w:spacing w:after="20"/>
      </w:pPr>
    </w:p>
    <w:p>
      <w:pPr>
        <w:pStyle w:val="Heading2"/>
      </w:pPr>
      <w:r>
        <w:t>8.2 Recommended pilot waves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Wave</w:t>
            </w:r>
          </w:p>
        </w:tc>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5"/>
              </w:rPr>
              <w:t>Selection logic</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5"/>
              </w:rPr>
              <w:t>Candidate use cases</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5"/>
              </w:rPr>
              <w:t>Required foundation</w:t>
            </w:r>
          </w:p>
        </w:tc>
        <w:tc>
          <w:tcPr>
            <w:tcW w:type="dxa" w:w="1224"/>
            <w:shd w:fill="17365D"/>
            <w:tcMar>
              <w:top w:w="95" w:type="dxa"/>
              <w:start w:w="95" w:type="dxa"/>
              <w:bottom w:w="95" w:type="dxa"/>
              <w:end w:w="95" w:type="dxa"/>
            </w:tcMar>
            <w:vAlign w:val="center"/>
          </w:tcPr>
          <w:p>
            <w:pPr>
              <w:spacing w:after="0"/>
              <w:jc w:val="center"/>
            </w:pPr>
            <w:r>
              <w:rPr>
                <w:rFonts w:ascii="Aptos" w:hAnsi="Aptos"/>
                <w:b/>
                <w:color w:val="FFFFFF"/>
                <w:sz w:val="15"/>
              </w:rPr>
              <w:t>Decision date</w:t>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t>Wave 1 controlled learning</w:t>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5"/>
              </w:rPr>
              <w:t>High public or statistical value, manageable consequence, adequate data and a committed owner.</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t>Wave 2 targeted expansion</w:t>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5"/>
              </w:rPr>
              <w:t>Depends on Wave 1 evidence or a planned data, skills or infrastructure improvement.</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t>Wave 3 conditional or strategic</w:t>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5"/>
              </w:rPr>
              <w:t>Higher consequence, substantial foundation or cross-system coordination required.</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t>Do not proceed</w:t>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5"/>
              </w:rPr>
              <w:t>Failed gate, prohibited condition, insufficient value or unacceptable sustainability.</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pStyle w:val="Heading2"/>
      </w:pPr>
      <w:r>
        <w:t>8.3 Pilot authorization</w:t>
      </w:r>
    </w:p>
    <w:p>
      <w:r>
        <w:t>Every selected pilot must use the Phase 1F protocol. Portfolio rank authorizes pilot design only. It does not authorize access to confidential data, production deployment or official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7"/>
        <w:gridCol w:w="1687"/>
        <w:gridCol w:w="1687"/>
        <w:gridCol w:w="1687"/>
        <w:gridCol w:w="1687"/>
        <w:gridCol w:w="1687"/>
      </w:tblGrid>
      <w:tr>
        <w:trPr>
          <w:tblHeader w:val="true"/>
        </w:trPr>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Pilot</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5"/>
              </w:rPr>
              <w:t>Accountable statistical owner</w:t>
            </w:r>
          </w:p>
        </w:tc>
        <w:tc>
          <w:tcPr>
            <w:tcW w:type="dxa" w:w="1656"/>
            <w:shd w:fill="17365D"/>
            <w:tcMar>
              <w:top w:w="95" w:type="dxa"/>
              <w:start w:w="95" w:type="dxa"/>
              <w:bottom w:w="95" w:type="dxa"/>
              <w:end w:w="95" w:type="dxa"/>
            </w:tcMar>
            <w:vAlign w:val="center"/>
          </w:tcPr>
          <w:p>
            <w:pPr>
              <w:spacing w:after="0"/>
              <w:jc w:val="center"/>
            </w:pPr>
            <w:r>
              <w:rPr>
                <w:rFonts w:ascii="Aptos" w:hAnsi="Aptos"/>
                <w:b/>
                <w:color w:val="FFFFFF"/>
                <w:sz w:val="15"/>
              </w:rPr>
              <w:t>Phase 1F entry gate</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5"/>
              </w:rPr>
              <w:t>Budget ceiling</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5"/>
              </w:rPr>
              <w:t>Independent reviewer</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5"/>
              </w:rPr>
              <w:t>Decision body</w:t>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spacing w:after="40"/>
      </w:pPr>
    </w:p>
    <w:p>
      <w:pPr>
        <w:pStyle w:val="Heading1"/>
      </w:pPr>
      <w:r>
        <w:t>9 Strategic direction and operating model</w:t>
      </w:r>
    </w:p>
    <w:p>
      <w:pPr>
        <w:pStyle w:val="Heading2"/>
      </w:pPr>
      <w:r>
        <w:t>9.1 National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Objective</w:t>
            </w:r>
          </w:p>
        </w:tc>
        <w:tc>
          <w:tcPr>
            <w:tcW w:type="dxa" w:w="3888"/>
            <w:shd w:fill="17365D"/>
            <w:tcMar>
              <w:top w:w="95" w:type="dxa"/>
              <w:start w:w="95" w:type="dxa"/>
              <w:bottom w:w="95" w:type="dxa"/>
              <w:end w:w="95" w:type="dxa"/>
            </w:tcMar>
            <w:vAlign w:val="center"/>
          </w:tcPr>
          <w:p>
            <w:pPr>
              <w:spacing w:after="0"/>
              <w:jc w:val="center"/>
            </w:pPr>
            <w:r>
              <w:rPr>
                <w:rFonts w:ascii="Aptos" w:hAnsi="Aptos"/>
                <w:b/>
                <w:color w:val="FFFFFF"/>
                <w:sz w:val="16"/>
              </w:rPr>
              <w:t>Expected statistical or institutional result</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6"/>
              </w:rPr>
              <w:t>Indicator</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6"/>
              </w:rPr>
              <w:t>Target year</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Improve quality and timeliness of priority statistics</w:t>
            </w:r>
          </w:p>
        </w:tc>
        <w:tc>
          <w:tcPr>
            <w:tcW w:type="dxa" w:w="388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Strengthen national data governance and interoperability</w:t>
            </w:r>
          </w:p>
        </w:tc>
        <w:tc>
          <w:tcPr>
            <w:tcW w:type="dxa" w:w="388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Build sustainable statistical and AI capability</w:t>
            </w:r>
          </w:p>
        </w:tc>
        <w:tc>
          <w:tcPr>
            <w:tcW w:type="dxa" w:w="388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Protect confidentiality integrity and public trust</w:t>
            </w:r>
          </w:p>
        </w:tc>
        <w:tc>
          <w:tcPr>
            <w:tcW w:type="dxa" w:w="388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Create reusable shared services and methods</w:t>
            </w:r>
          </w:p>
        </w:tc>
        <w:tc>
          <w:tcPr>
            <w:tcW w:type="dxa" w:w="388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pStyle w:val="Heading2"/>
      </w:pPr>
      <w:r>
        <w:t>9.2 Operating model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5"/>
              </w:rPr>
              <w:t>Function</w:t>
            </w:r>
          </w:p>
        </w:tc>
        <w:tc>
          <w:tcPr>
            <w:tcW w:type="dxa" w:w="3816"/>
            <w:shd w:fill="17365D"/>
            <w:tcMar>
              <w:top w:w="95" w:type="dxa"/>
              <w:start w:w="95" w:type="dxa"/>
              <w:bottom w:w="95" w:type="dxa"/>
              <w:end w:w="95" w:type="dxa"/>
            </w:tcMar>
            <w:vAlign w:val="center"/>
          </w:tcPr>
          <w:p>
            <w:pPr>
              <w:spacing w:after="0"/>
              <w:jc w:val="center"/>
            </w:pPr>
            <w:r>
              <w:rPr>
                <w:rFonts w:ascii="Aptos" w:hAnsi="Aptos"/>
                <w:b/>
                <w:color w:val="FFFFFF"/>
                <w:sz w:val="15"/>
              </w:rPr>
              <w:t>Recommended national arrangement</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5"/>
              </w:rPr>
              <w:t>Lead</w:t>
            </w:r>
          </w:p>
        </w:tc>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5"/>
              </w:rPr>
              <w:t>Sector or institutional role</w:t>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Policy standards and minimum safeguards</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Use-case portfolio and pilot approval</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Methodological validation and quality assurance</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Secure infrastructure and approved tools</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Data agreements metadata and interoperability</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Training communities of practice and support</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Procurement supplier and licence management</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Monitoring incidents and public transparency</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5"/>
              </w:rPr>
            </w:r>
          </w:p>
        </w:tc>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r>
          </w:p>
        </w:tc>
      </w:tr>
    </w:tbl>
    <w:p>
      <w:pPr>
        <w:spacing w:after="20"/>
      </w:pPr>
    </w:p>
    <w:p>
      <w:pPr>
        <w:pStyle w:val="Heading2"/>
      </w:pPr>
      <w:r>
        <w:t>9.3 Principles for national implementation</w:t>
      </w:r>
    </w:p>
    <w:p>
      <w:pPr>
        <w:pStyle w:val="ListBullet"/>
        <w:spacing w:after="60"/>
      </w:pPr>
      <w:r>
        <w:t>Official statistical purpose and fitness for use come before technology choice.</w:t>
      </w:r>
    </w:p>
    <w:p>
      <w:pPr>
        <w:pStyle w:val="ListBullet"/>
        <w:spacing w:after="60"/>
      </w:pPr>
      <w:r>
        <w:t>The responsible statistical authority retains control of methods, estimates, revisions and release.</w:t>
      </w:r>
    </w:p>
    <w:p>
      <w:pPr>
        <w:pStyle w:val="ListBullet"/>
        <w:spacing w:after="60"/>
      </w:pPr>
      <w:r>
        <w:t>Mandatory gates cannot be offset by a high aggregate score.</w:t>
      </w:r>
    </w:p>
    <w:p>
      <w:pPr>
        <w:pStyle w:val="ListBullet"/>
        <w:spacing w:after="60"/>
      </w:pPr>
      <w:r>
        <w:t>Shared services should reduce duplication without weakening sector ownership or accountability.</w:t>
      </w:r>
    </w:p>
    <w:p>
      <w:pPr>
        <w:pStyle w:val="ListBullet"/>
        <w:spacing w:after="60"/>
      </w:pPr>
      <w:r>
        <w:t>Open, reproducible and portable approaches are preferred where they meet security and performance needs.</w:t>
      </w:r>
    </w:p>
    <w:p>
      <w:pPr>
        <w:pStyle w:val="ListBullet"/>
        <w:spacing w:after="60"/>
      </w:pPr>
      <w:r>
        <w:t>Implementation should generate local capability and evidence, not permanent consultant dependence.</w:t>
      </w:r>
    </w:p>
    <w:p>
      <w:pPr>
        <w:spacing w:after="40"/>
      </w:pPr>
    </w:p>
    <w:p>
      <w:pPr>
        <w:pStyle w:val="Heading1"/>
      </w:pPr>
      <w:r>
        <w:t>10 National AI action plan</w:t>
      </w:r>
    </w:p>
    <w:p>
      <w:pPr>
        <w:pStyle w:val="Heading2"/>
      </w:pPr>
      <w:r>
        <w:t>10.1 Planning horizons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4"/>
        <w:gridCol w:w="3374"/>
        <w:gridCol w:w="3374"/>
      </w:tblGrid>
      <w:tr>
        <w:trPr>
          <w:tblHeader w:val="true"/>
        </w:trPr>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7"/>
              </w:rPr>
              <w:t>Horizon</w:t>
            </w:r>
          </w:p>
        </w:tc>
        <w:tc>
          <w:tcPr>
            <w:tcW w:type="dxa" w:w="3744"/>
            <w:shd w:fill="17365D"/>
            <w:tcMar>
              <w:top w:w="95" w:type="dxa"/>
              <w:start w:w="95" w:type="dxa"/>
              <w:bottom w:w="95" w:type="dxa"/>
              <w:end w:w="95" w:type="dxa"/>
            </w:tcMar>
            <w:vAlign w:val="center"/>
          </w:tcPr>
          <w:p>
            <w:pPr>
              <w:spacing w:after="0"/>
              <w:jc w:val="center"/>
            </w:pPr>
            <w:r>
              <w:rPr>
                <w:rFonts w:ascii="Aptos" w:hAnsi="Aptos"/>
                <w:b/>
                <w:color w:val="FFFFFF"/>
                <w:sz w:val="17"/>
              </w:rPr>
              <w:t>Purpose</w:t>
            </w:r>
          </w:p>
        </w:tc>
        <w:tc>
          <w:tcPr>
            <w:tcW w:type="dxa" w:w="4608"/>
            <w:shd w:fill="17365D"/>
            <w:tcMar>
              <w:top w:w="95" w:type="dxa"/>
              <w:start w:w="95" w:type="dxa"/>
              <w:bottom w:w="95" w:type="dxa"/>
              <w:end w:w="95" w:type="dxa"/>
            </w:tcMar>
            <w:vAlign w:val="center"/>
          </w:tcPr>
          <w:p>
            <w:pPr>
              <w:spacing w:after="0"/>
              <w:jc w:val="center"/>
            </w:pPr>
            <w:r>
              <w:rPr>
                <w:rFonts w:ascii="Aptos" w:hAnsi="Aptos"/>
                <w:b/>
                <w:color w:val="FFFFFF"/>
                <w:sz w:val="17"/>
              </w:rPr>
              <w:t>Typical outputs</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0 to 6 months</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7"/>
              </w:rPr>
              <w:t>Establish authority, standards and minimum foundations.</w:t>
            </w:r>
          </w:p>
        </w:tc>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Governance decision, approved tools, evidence register, training launch and pilot charters.</w:t>
            </w:r>
          </w:p>
        </w:tc>
      </w:tr>
      <w:tr>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7"/>
              </w:rPr>
              <w:t>6 to 18 months</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7"/>
              </w:rPr>
              <w:t>Run controlled pilots and strengthen shared capabilities.</w:t>
            </w:r>
          </w:p>
        </w:tc>
        <w:tc>
          <w:tcPr>
            <w:tcW w:type="dxa" w:w="4608"/>
            <w:tcMar>
              <w:top w:w="95" w:type="dxa"/>
              <w:start w:w="95" w:type="dxa"/>
              <w:bottom w:w="95" w:type="dxa"/>
              <w:end w:w="95" w:type="dxa"/>
            </w:tcMar>
            <w:vAlign w:val="center"/>
            <w:shd w:fill="F3F6F9"/>
          </w:tcPr>
          <w:p>
            <w:pPr>
              <w:spacing w:after="0" w:line="240" w:lineRule="auto"/>
            </w:pPr>
            <w:r>
              <w:rPr>
                <w:rFonts w:ascii="Aptos" w:hAnsi="Aptos"/>
                <w:color w:val="000000"/>
                <w:sz w:val="17"/>
              </w:rPr>
              <w:t>Pilot decisions, secure environment, data agreements, reference datasets and trained teams.</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18 to 36 months</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7"/>
              </w:rPr>
              <w:t>Scale proven uses and institutionalize assurance.</w:t>
            </w:r>
          </w:p>
        </w:tc>
        <w:tc>
          <w:tcPr>
            <w:tcW w:type="dxa" w:w="4608"/>
            <w:tcMar>
              <w:top w:w="95" w:type="dxa"/>
              <w:start w:w="95" w:type="dxa"/>
              <w:bottom w:w="95" w:type="dxa"/>
              <w:end w:w="95" w:type="dxa"/>
            </w:tcMar>
            <w:vAlign w:val="center"/>
          </w:tcPr>
          <w:p>
            <w:pPr>
              <w:spacing w:after="0" w:line="240" w:lineRule="auto"/>
            </w:pPr>
            <w:r>
              <w:rPr>
                <w:rFonts w:ascii="Aptos" w:hAnsi="Aptos"/>
                <w:color w:val="000000"/>
                <w:sz w:val="17"/>
              </w:rPr>
              <w:t>Production methods, monitoring, cross-sector services, public documentation and sustainable financing.</w:t>
            </w:r>
          </w:p>
        </w:tc>
      </w:tr>
      <w:tr>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7"/>
              </w:rPr>
              <w:t>Beyond 36 months</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7"/>
              </w:rPr>
              <w:t>Review strategy and respond to technology and information needs.</w:t>
            </w:r>
          </w:p>
        </w:tc>
        <w:tc>
          <w:tcPr>
            <w:tcW w:type="dxa" w:w="4608"/>
            <w:tcMar>
              <w:top w:w="95" w:type="dxa"/>
              <w:start w:w="95" w:type="dxa"/>
              <w:bottom w:w="95" w:type="dxa"/>
              <w:end w:w="95" w:type="dxa"/>
            </w:tcMar>
            <w:vAlign w:val="center"/>
            <w:shd w:fill="F3F6F9"/>
          </w:tcPr>
          <w:p>
            <w:pPr>
              <w:spacing w:after="0" w:line="240" w:lineRule="auto"/>
            </w:pPr>
            <w:r>
              <w:rPr>
                <w:rFonts w:ascii="Aptos" w:hAnsi="Aptos"/>
                <w:color w:val="000000"/>
                <w:sz w:val="17"/>
              </w:rPr>
              <w:t>Independent evaluation, refreshed portfolio and revised standards.</w:t>
            </w:r>
          </w:p>
        </w:tc>
      </w:tr>
    </w:tbl>
    <w:p>
      <w:pPr>
        <w:spacing w:after="20"/>
      </w:pPr>
    </w:p>
    <w:p>
      <w:pPr>
        <w:pStyle w:val="Heading2"/>
      </w:pPr>
      <w:r>
        <w:t>10.2 Action-plan workstreams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4"/>
        <w:gridCol w:w="3374"/>
        <w:gridCol w:w="3374"/>
      </w:tblGrid>
      <w:tr>
        <w:trPr>
          <w:tblHeader w:val="true"/>
        </w:trPr>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5"/>
              </w:rPr>
              <w:t>Workstream</w:t>
            </w:r>
          </w:p>
        </w:tc>
        <w:tc>
          <w:tcPr>
            <w:tcW w:type="dxa" w:w="3168"/>
            <w:shd w:fill="17365D"/>
            <w:tcMar>
              <w:top w:w="95" w:type="dxa"/>
              <w:start w:w="95" w:type="dxa"/>
              <w:bottom w:w="95" w:type="dxa"/>
              <w:end w:w="95" w:type="dxa"/>
            </w:tcMar>
            <w:vAlign w:val="center"/>
          </w:tcPr>
          <w:p>
            <w:pPr>
              <w:spacing w:after="0"/>
              <w:jc w:val="center"/>
            </w:pPr>
            <w:r>
              <w:rPr>
                <w:rFonts w:ascii="Aptos" w:hAnsi="Aptos"/>
                <w:b/>
                <w:color w:val="FFFFFF"/>
                <w:sz w:val="15"/>
              </w:rPr>
              <w:t>Purpose</w:t>
            </w:r>
          </w:p>
        </w:tc>
        <w:tc>
          <w:tcPr>
            <w:tcW w:type="dxa" w:w="4392"/>
            <w:shd w:fill="17365D"/>
            <w:tcMar>
              <w:top w:w="95" w:type="dxa"/>
              <w:start w:w="95" w:type="dxa"/>
              <w:bottom w:w="95" w:type="dxa"/>
              <w:end w:w="95" w:type="dxa"/>
            </w:tcMar>
            <w:vAlign w:val="center"/>
          </w:tcPr>
          <w:p>
            <w:pPr>
              <w:spacing w:after="0"/>
              <w:jc w:val="center"/>
            </w:pPr>
            <w:r>
              <w:rPr>
                <w:rFonts w:ascii="Aptos" w:hAnsi="Aptos"/>
                <w:b/>
                <w:color w:val="FFFFFF"/>
                <w:sz w:val="15"/>
              </w:rPr>
              <w:t>Core deliverables</w:t>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1 Governance and coordination</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5"/>
              </w:rPr>
              <w:t>Create clear national authority, roles and decision rights.</w:t>
            </w:r>
          </w:p>
        </w:tc>
        <w:tc>
          <w:tcPr>
            <w:tcW w:type="dxa" w:w="4392"/>
            <w:tcMar>
              <w:top w:w="95" w:type="dxa"/>
              <w:start w:w="95" w:type="dxa"/>
              <w:bottom w:w="95" w:type="dxa"/>
              <w:end w:w="95" w:type="dxa"/>
            </w:tcMar>
            <w:vAlign w:val="center"/>
          </w:tcPr>
          <w:p>
            <w:pPr>
              <w:spacing w:after="0" w:line="240" w:lineRule="auto"/>
            </w:pPr>
            <w:r>
              <w:rPr>
                <w:rFonts w:ascii="Aptos" w:hAnsi="Aptos"/>
                <w:color w:val="000000"/>
                <w:sz w:val="15"/>
              </w:rPr>
              <w:t>Policy, committee terms, inventory, gate process and decision log.</w:t>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2 Data quality and interoperability</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5"/>
              </w:rPr>
              <w:t>Make priority sources fit and accessible for defined statistical uses.</w:t>
            </w:r>
          </w:p>
        </w:tc>
        <w:tc>
          <w:tcPr>
            <w:tcW w:type="dxa" w:w="4392"/>
            <w:tcMar>
              <w:top w:w="95" w:type="dxa"/>
              <w:start w:w="95" w:type="dxa"/>
              <w:bottom w:w="95" w:type="dxa"/>
              <w:end w:w="95" w:type="dxa"/>
            </w:tcMar>
            <w:vAlign w:val="center"/>
            <w:shd w:fill="F3F6F9"/>
          </w:tcPr>
          <w:p>
            <w:pPr>
              <w:spacing w:after="0" w:line="240" w:lineRule="auto"/>
            </w:pPr>
            <w:r>
              <w:rPr>
                <w:rFonts w:ascii="Aptos" w:hAnsi="Aptos"/>
                <w:color w:val="000000"/>
                <w:sz w:val="15"/>
              </w:rPr>
              <w:t>Agreements, metadata, quality plans, linkage and standards.</w:t>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3 Methods and assurance</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5"/>
              </w:rPr>
              <w:t>Build repeatable evaluation and statistical-quality control.</w:t>
            </w:r>
          </w:p>
        </w:tc>
        <w:tc>
          <w:tcPr>
            <w:tcW w:type="dxa" w:w="4392"/>
            <w:tcMar>
              <w:top w:w="95" w:type="dxa"/>
              <w:start w:w="95" w:type="dxa"/>
              <w:bottom w:w="95" w:type="dxa"/>
              <w:end w:w="95" w:type="dxa"/>
            </w:tcMar>
            <w:vAlign w:val="center"/>
          </w:tcPr>
          <w:p>
            <w:pPr>
              <w:spacing w:after="0" w:line="240" w:lineRule="auto"/>
            </w:pPr>
            <w:r>
              <w:rPr>
                <w:rFonts w:ascii="Aptos" w:hAnsi="Aptos"/>
                <w:color w:val="000000"/>
                <w:sz w:val="15"/>
              </w:rPr>
              <w:t>Benchmarks, reference datasets, validation protocols and audit samples.</w:t>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4 Technology security and shared services</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5"/>
              </w:rPr>
              <w:t>Provide approved, resilient and proportionate environments.</w:t>
            </w:r>
          </w:p>
        </w:tc>
        <w:tc>
          <w:tcPr>
            <w:tcW w:type="dxa" w:w="4392"/>
            <w:tcMar>
              <w:top w:w="95" w:type="dxa"/>
              <w:start w:w="95" w:type="dxa"/>
              <w:bottom w:w="95" w:type="dxa"/>
              <w:end w:w="95" w:type="dxa"/>
            </w:tcMar>
            <w:vAlign w:val="center"/>
            <w:shd w:fill="F3F6F9"/>
          </w:tcPr>
          <w:p>
            <w:pPr>
              <w:spacing w:after="0" w:line="240" w:lineRule="auto"/>
            </w:pPr>
            <w:r>
              <w:rPr>
                <w:rFonts w:ascii="Aptos" w:hAnsi="Aptos"/>
                <w:color w:val="000000"/>
                <w:sz w:val="15"/>
              </w:rPr>
              <w:t>Architecture, identity, logging, approved tools, continuity and exit.</w:t>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5 People learning and organizational change</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5"/>
              </w:rPr>
              <w:t>Make competent use routine across statistical work.</w:t>
            </w:r>
          </w:p>
        </w:tc>
        <w:tc>
          <w:tcPr>
            <w:tcW w:type="dxa" w:w="4392"/>
            <w:tcMar>
              <w:top w:w="95" w:type="dxa"/>
              <w:start w:w="95" w:type="dxa"/>
              <w:bottom w:w="95" w:type="dxa"/>
              <w:end w:w="95" w:type="dxa"/>
            </w:tcMar>
            <w:vAlign w:val="center"/>
          </w:tcPr>
          <w:p>
            <w:pPr>
              <w:spacing w:after="0" w:line="240" w:lineRule="auto"/>
            </w:pPr>
            <w:r>
              <w:rPr>
                <w:rFonts w:ascii="Aptos" w:hAnsi="Aptos"/>
                <w:color w:val="000000"/>
                <w:sz w:val="15"/>
              </w:rPr>
              <w:t>Role-based curriculum, practical labs, mentoring and communities.</w:t>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6 Pilots production and monitoring</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5"/>
              </w:rPr>
              <w:t>Convert evidence into controlled operational value.</w:t>
            </w:r>
          </w:p>
        </w:tc>
        <w:tc>
          <w:tcPr>
            <w:tcW w:type="dxa" w:w="4392"/>
            <w:tcMar>
              <w:top w:w="95" w:type="dxa"/>
              <w:start w:w="95" w:type="dxa"/>
              <w:bottom w:w="95" w:type="dxa"/>
              <w:end w:w="95" w:type="dxa"/>
            </w:tcMar>
            <w:vAlign w:val="center"/>
            <w:shd w:fill="F3F6F9"/>
          </w:tcPr>
          <w:p>
            <w:pPr>
              <w:spacing w:after="0" w:line="240" w:lineRule="auto"/>
            </w:pPr>
            <w:r>
              <w:rPr>
                <w:rFonts w:ascii="Aptos" w:hAnsi="Aptos"/>
                <w:color w:val="000000"/>
                <w:sz w:val="15"/>
              </w:rPr>
              <w:t>Pilot portfolio, assurance cases, monitoring and scale decisions.</w:t>
            </w:r>
          </w:p>
        </w:tc>
      </w:tr>
      <w:tr>
        <w:tc>
          <w:tcPr>
            <w:tcW w:type="dxa" w:w="2376"/>
            <w:tcMar>
              <w:top w:w="95" w:type="dxa"/>
              <w:start w:w="95" w:type="dxa"/>
              <w:bottom w:w="95" w:type="dxa"/>
              <w:end w:w="95" w:type="dxa"/>
            </w:tcMar>
            <w:vAlign w:val="center"/>
          </w:tcPr>
          <w:p>
            <w:pPr>
              <w:spacing w:after="0" w:line="240" w:lineRule="auto"/>
            </w:pPr>
            <w:r>
              <w:rPr>
                <w:rFonts w:ascii="Aptos" w:hAnsi="Aptos"/>
                <w:color w:val="000000"/>
                <w:sz w:val="15"/>
              </w:rPr>
              <w:t>7 Financing procurement and partnerships</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5"/>
              </w:rPr>
              <w:t>Secure sustainable resources and protect institutional interests.</w:t>
            </w:r>
          </w:p>
        </w:tc>
        <w:tc>
          <w:tcPr>
            <w:tcW w:type="dxa" w:w="4392"/>
            <w:tcMar>
              <w:top w:w="95" w:type="dxa"/>
              <w:start w:w="95" w:type="dxa"/>
              <w:bottom w:w="95" w:type="dxa"/>
              <w:end w:w="95" w:type="dxa"/>
            </w:tcMar>
            <w:vAlign w:val="center"/>
          </w:tcPr>
          <w:p>
            <w:pPr>
              <w:spacing w:after="0" w:line="240" w:lineRule="auto"/>
            </w:pPr>
            <w:r>
              <w:rPr>
                <w:rFonts w:ascii="Aptos" w:hAnsi="Aptos"/>
                <w:color w:val="000000"/>
                <w:sz w:val="15"/>
              </w:rPr>
              <w:t>Costed plan, procurement clauses, partner map and financing pipeline.</w:t>
            </w:r>
          </w:p>
        </w:tc>
      </w:tr>
      <w:tr>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5"/>
              </w:rPr>
              <w:t>8 Transparency user engagement and trust</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5"/>
              </w:rPr>
              <w:t>Explain uses, limitations and changes and receive feedback.</w:t>
            </w:r>
          </w:p>
        </w:tc>
        <w:tc>
          <w:tcPr>
            <w:tcW w:type="dxa" w:w="4392"/>
            <w:tcMar>
              <w:top w:w="95" w:type="dxa"/>
              <w:start w:w="95" w:type="dxa"/>
              <w:bottom w:w="95" w:type="dxa"/>
              <w:end w:w="95" w:type="dxa"/>
            </w:tcMar>
            <w:vAlign w:val="center"/>
            <w:shd w:fill="F3F6F9"/>
          </w:tcPr>
          <w:p>
            <w:pPr>
              <w:spacing w:after="0" w:line="240" w:lineRule="auto"/>
            </w:pPr>
            <w:r>
              <w:rPr>
                <w:rFonts w:ascii="Aptos" w:hAnsi="Aptos"/>
                <w:color w:val="000000"/>
                <w:sz w:val="15"/>
              </w:rPr>
              <w:t>Method notes, consultations, complaints and correction channels.</w:t>
            </w:r>
          </w:p>
        </w:tc>
      </w:tr>
    </w:tbl>
    <w:p>
      <w:pPr>
        <w:spacing w:after="20"/>
      </w:pPr>
    </w:p>
    <w:p>
      <w:pPr>
        <w:spacing w:after="40"/>
      </w:pPr>
    </w:p>
    <w:p>
      <w:pPr>
        <w:pStyle w:val="Heading1"/>
      </w:pPr>
      <w:r>
        <w:t>11 Capacity development and change management</w:t>
      </w:r>
    </w:p>
    <w:p>
      <w:pPr>
        <w:pStyle w:val="Heading2"/>
      </w:pPr>
      <w:r>
        <w:t>11.1 Role-based capability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5"/>
              </w:rPr>
              <w:t>Audience</w:t>
            </w:r>
          </w:p>
        </w:tc>
        <w:tc>
          <w:tcPr>
            <w:tcW w:type="dxa" w:w="3096"/>
            <w:shd w:fill="17365D"/>
            <w:tcMar>
              <w:top w:w="95" w:type="dxa"/>
              <w:start w:w="95" w:type="dxa"/>
              <w:bottom w:w="95" w:type="dxa"/>
              <w:end w:w="95" w:type="dxa"/>
            </w:tcMar>
            <w:vAlign w:val="center"/>
          </w:tcPr>
          <w:p>
            <w:pPr>
              <w:spacing w:after="0"/>
              <w:jc w:val="center"/>
            </w:pPr>
            <w:r>
              <w:rPr>
                <w:rFonts w:ascii="Aptos" w:hAnsi="Aptos"/>
                <w:b/>
                <w:color w:val="FFFFFF"/>
                <w:sz w:val="15"/>
              </w:rPr>
              <w:t>Required capability</w:t>
            </w:r>
          </w:p>
        </w:tc>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5"/>
              </w:rPr>
              <w:t>Learning method</w:t>
            </w:r>
          </w:p>
        </w:tc>
        <w:tc>
          <w:tcPr>
            <w:tcW w:type="dxa" w:w="2304"/>
            <w:shd w:fill="17365D"/>
            <w:tcMar>
              <w:top w:w="95" w:type="dxa"/>
              <w:start w:w="95" w:type="dxa"/>
              <w:bottom w:w="95" w:type="dxa"/>
              <w:end w:w="95" w:type="dxa"/>
            </w:tcMar>
            <w:vAlign w:val="center"/>
          </w:tcPr>
          <w:p>
            <w:pPr>
              <w:spacing w:after="0"/>
              <w:jc w:val="center"/>
            </w:pPr>
            <w:r>
              <w:rPr>
                <w:rFonts w:ascii="Aptos" w:hAnsi="Aptos"/>
                <w:b/>
                <w:color w:val="FFFFFF"/>
                <w:sz w:val="15"/>
              </w:rPr>
              <w:t>Evidence of competence</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t>Senior leaders and decision bodies</w:t>
            </w:r>
          </w:p>
        </w:tc>
        <w:tc>
          <w:tcPr>
            <w:tcW w:type="dxa" w:w="3096"/>
            <w:tcMar>
              <w:top w:w="95" w:type="dxa"/>
              <w:start w:w="95" w:type="dxa"/>
              <w:bottom w:w="95" w:type="dxa"/>
              <w:end w:w="95" w:type="dxa"/>
            </w:tcMar>
            <w:vAlign w:val="center"/>
          </w:tcPr>
          <w:p>
            <w:pPr>
              <w:spacing w:after="0" w:line="240" w:lineRule="auto"/>
            </w:pPr>
            <w:r>
              <w:rPr>
                <w:rFonts w:ascii="Aptos" w:hAnsi="Aptos"/>
                <w:color w:val="000000"/>
                <w:sz w:val="15"/>
              </w:rPr>
              <w:t>Strategic choices, risk acceptance, governance and financing.</w:t>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Executive clinics and decision simulations.</w:t>
            </w:r>
          </w:p>
        </w:tc>
        <w:tc>
          <w:tcPr>
            <w:tcW w:type="dxa" w:w="2304"/>
            <w:tcMar>
              <w:top w:w="95" w:type="dxa"/>
              <w:start w:w="95" w:type="dxa"/>
              <w:bottom w:w="95" w:type="dxa"/>
              <w:end w:w="95" w:type="dxa"/>
            </w:tcMar>
            <w:vAlign w:val="center"/>
          </w:tcPr>
          <w:p>
            <w:pPr>
              <w:spacing w:after="0" w:line="240" w:lineRule="auto"/>
            </w:pPr>
            <w:r>
              <w:rPr>
                <w:rFonts w:ascii="Aptos" w:hAnsi="Aptos"/>
                <w:color w:val="000000"/>
                <w:sz w:val="15"/>
              </w:rPr>
              <w:t>Approved portfolio and defensible decisions.</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t>Official statisticians and methodologists</w:t>
            </w:r>
          </w:p>
        </w:tc>
        <w:tc>
          <w:tcPr>
            <w:tcW w:type="dxa" w:w="3096"/>
            <w:tcMar>
              <w:top w:w="95" w:type="dxa"/>
              <w:start w:w="95" w:type="dxa"/>
              <w:bottom w:w="95" w:type="dxa"/>
              <w:end w:w="95" w:type="dxa"/>
            </w:tcMar>
            <w:vAlign w:val="center"/>
            <w:shd w:fill="F3F6F9"/>
          </w:tcPr>
          <w:p>
            <w:pPr>
              <w:spacing w:after="0" w:line="240" w:lineRule="auto"/>
            </w:pPr>
            <w:r>
              <w:rPr>
                <w:rFonts w:ascii="Aptos" w:hAnsi="Aptos"/>
                <w:color w:val="000000"/>
                <w:sz w:val="15"/>
              </w:rPr>
              <w:t>Use-case design, prompting, coding support, validation, quality and uncertainty.</w:t>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Practical laboratories using statistical processes.</w:t>
            </w:r>
          </w:p>
        </w:tc>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5"/>
              </w:rPr>
              <w:t>Completed evidence pack and reproducible analysis.</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t>Data stewards and source owners</w:t>
            </w:r>
          </w:p>
        </w:tc>
        <w:tc>
          <w:tcPr>
            <w:tcW w:type="dxa" w:w="3096"/>
            <w:tcMar>
              <w:top w:w="95" w:type="dxa"/>
              <w:start w:w="95" w:type="dxa"/>
              <w:bottom w:w="95" w:type="dxa"/>
              <w:end w:w="95" w:type="dxa"/>
            </w:tcMar>
            <w:vAlign w:val="center"/>
          </w:tcPr>
          <w:p>
            <w:pPr>
              <w:spacing w:after="0" w:line="240" w:lineRule="auto"/>
            </w:pPr>
            <w:r>
              <w:rPr>
                <w:rFonts w:ascii="Aptos" w:hAnsi="Aptos"/>
                <w:color w:val="000000"/>
                <w:sz w:val="15"/>
              </w:rPr>
              <w:t>Data quality, metadata, access, confidentiality and change notification.</w:t>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Source-specific workshops and data-quality exercises.</w:t>
            </w:r>
          </w:p>
        </w:tc>
        <w:tc>
          <w:tcPr>
            <w:tcW w:type="dxa" w:w="2304"/>
            <w:tcMar>
              <w:top w:w="95" w:type="dxa"/>
              <w:start w:w="95" w:type="dxa"/>
              <w:bottom w:w="95" w:type="dxa"/>
              <w:end w:w="95" w:type="dxa"/>
            </w:tcMar>
            <w:vAlign w:val="center"/>
          </w:tcPr>
          <w:p>
            <w:pPr>
              <w:spacing w:after="0" w:line="240" w:lineRule="auto"/>
            </w:pPr>
            <w:r>
              <w:rPr>
                <w:rFonts w:ascii="Aptos" w:hAnsi="Aptos"/>
                <w:color w:val="000000"/>
                <w:sz w:val="15"/>
              </w:rPr>
              <w:t>Approved data-use and quality plan.</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t>IT cybersecurity legal and procurement staff</w:t>
            </w:r>
          </w:p>
        </w:tc>
        <w:tc>
          <w:tcPr>
            <w:tcW w:type="dxa" w:w="3096"/>
            <w:tcMar>
              <w:top w:w="95" w:type="dxa"/>
              <w:start w:w="95" w:type="dxa"/>
              <w:bottom w:w="95" w:type="dxa"/>
              <w:end w:w="95" w:type="dxa"/>
            </w:tcMar>
            <w:vAlign w:val="center"/>
            <w:shd w:fill="F3F6F9"/>
          </w:tcPr>
          <w:p>
            <w:pPr>
              <w:spacing w:after="0" w:line="240" w:lineRule="auto"/>
            </w:pPr>
            <w:r>
              <w:rPr>
                <w:rFonts w:ascii="Aptos" w:hAnsi="Aptos"/>
                <w:color w:val="000000"/>
                <w:sz w:val="15"/>
              </w:rPr>
              <w:t>Approved environments, supplier terms, privacy, security and continuity.</w:t>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Joint scenario exercises and contract review.</w:t>
            </w:r>
          </w:p>
        </w:tc>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5"/>
              </w:rPr>
              <w:t>Cleared architecture and supplier controls.</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5"/>
              </w:rPr>
              <w:t>Managers and production staff</w:t>
            </w:r>
          </w:p>
        </w:tc>
        <w:tc>
          <w:tcPr>
            <w:tcW w:type="dxa" w:w="3096"/>
            <w:tcMar>
              <w:top w:w="95" w:type="dxa"/>
              <w:start w:w="95" w:type="dxa"/>
              <w:bottom w:w="95" w:type="dxa"/>
              <w:end w:w="95" w:type="dxa"/>
            </w:tcMar>
            <w:vAlign w:val="center"/>
          </w:tcPr>
          <w:p>
            <w:pPr>
              <w:spacing w:after="0" w:line="240" w:lineRule="auto"/>
            </w:pPr>
            <w:r>
              <w:rPr>
                <w:rFonts w:ascii="Aptos" w:hAnsi="Aptos"/>
                <w:color w:val="000000"/>
                <w:sz w:val="15"/>
              </w:rPr>
              <w:t>Workflow redesign, human oversight, monitoring and incidents.</w:t>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Shadow operation, standard procedures and drills.</w:t>
            </w:r>
          </w:p>
        </w:tc>
        <w:tc>
          <w:tcPr>
            <w:tcW w:type="dxa" w:w="2304"/>
            <w:tcMar>
              <w:top w:w="95" w:type="dxa"/>
              <w:start w:w="95" w:type="dxa"/>
              <w:bottom w:w="95" w:type="dxa"/>
              <w:end w:w="95" w:type="dxa"/>
            </w:tcMar>
            <w:vAlign w:val="center"/>
          </w:tcPr>
          <w:p>
            <w:pPr>
              <w:spacing w:after="0" w:line="240" w:lineRule="auto"/>
            </w:pPr>
            <w:r>
              <w:rPr>
                <w:rFonts w:ascii="Aptos" w:hAnsi="Aptos"/>
                <w:color w:val="000000"/>
                <w:sz w:val="15"/>
              </w:rPr>
              <w:t>Correct review, escalation and fallback.</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5"/>
              </w:rPr>
              <w:t>Trainers and national champions</w:t>
            </w:r>
          </w:p>
        </w:tc>
        <w:tc>
          <w:tcPr>
            <w:tcW w:type="dxa" w:w="3096"/>
            <w:tcMar>
              <w:top w:w="95" w:type="dxa"/>
              <w:start w:w="95" w:type="dxa"/>
              <w:bottom w:w="95" w:type="dxa"/>
              <w:end w:w="95" w:type="dxa"/>
            </w:tcMar>
            <w:vAlign w:val="center"/>
            <w:shd w:fill="F3F6F9"/>
          </w:tcPr>
          <w:p>
            <w:pPr>
              <w:spacing w:after="0" w:line="240" w:lineRule="auto"/>
            </w:pPr>
            <w:r>
              <w:rPr>
                <w:rFonts w:ascii="Aptos" w:hAnsi="Aptos"/>
                <w:color w:val="000000"/>
                <w:sz w:val="15"/>
              </w:rPr>
              <w:t>Facilitation, coaching, curriculum adaptation and assessment.</w:t>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Train-the-trainer and supervised delivery.</w:t>
            </w:r>
          </w:p>
        </w:tc>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5"/>
              </w:rPr>
              <w:t>Independent delivery and learner outcomes.</w:t>
            </w:r>
          </w:p>
        </w:tc>
      </w:tr>
    </w:tbl>
    <w:p>
      <w:pPr>
        <w:spacing w:after="20"/>
      </w:pPr>
    </w:p>
    <w:p>
      <w:pPr>
        <w:pStyle w:val="Heading2"/>
      </w:pPr>
      <w:r>
        <w:t>11.2 Learning progression</w:t>
      </w:r>
    </w:p>
    <w:p>
      <w:r>
        <w:t>The programme should move from foundations to guided practice, supervised workplace use and demonstrated competence. Attendance is not sufficient. Participants should complete real but controlled tasks, explain limitations, review one another’s work and produce artefacts that the institution can reuse.</w:t>
      </w:r>
    </w:p>
    <w:p>
      <w:pPr>
        <w:pStyle w:val="Heading2"/>
      </w:pPr>
      <w:r>
        <w:t>11.3 Organizational change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Change need</w:t>
            </w:r>
          </w:p>
        </w:tc>
        <w:tc>
          <w:tcPr>
            <w:tcW w:type="dxa" w:w="3744"/>
            <w:shd w:fill="17365D"/>
            <w:tcMar>
              <w:top w:w="95" w:type="dxa"/>
              <w:start w:w="95" w:type="dxa"/>
              <w:bottom w:w="95" w:type="dxa"/>
              <w:end w:w="95" w:type="dxa"/>
            </w:tcMar>
            <w:vAlign w:val="center"/>
          </w:tcPr>
          <w:p>
            <w:pPr>
              <w:spacing w:after="0"/>
              <w:jc w:val="center"/>
            </w:pPr>
            <w:r>
              <w:rPr>
                <w:rFonts w:ascii="Aptos" w:hAnsi="Aptos"/>
                <w:b/>
                <w:color w:val="FFFFFF"/>
                <w:sz w:val="16"/>
              </w:rPr>
              <w:t>Action</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6"/>
              </w:rPr>
              <w:t>Owner</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6"/>
              </w:rPr>
              <w:t>Indicator</w:t>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Leadership alignment</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Protected staff learning time</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Revised roles and review procedures</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Communities of practice and peer support</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Recognition and retention of scarce skills</w:t>
            </w:r>
          </w:p>
        </w:tc>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Communication with staff unions or professional bodies where relevant</w:t>
            </w:r>
          </w:p>
        </w:tc>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pStyle w:val="Heading2"/>
      </w:pPr>
      <w:r>
        <w:t>11.4 Equity and inclusion</w:t>
      </w:r>
    </w:p>
    <w:p>
      <w:r>
        <w:t>[Explain how training and implementation will reach sector ministries, subnational offices, women and underrepresented groups, staff with different technical backgrounds, and institutions outside the capital. Address language, accessibility, connectivity and workload barriers.]</w:t>
      </w:r>
    </w:p>
    <w:p>
      <w:pPr>
        <w:spacing w:after="40"/>
      </w:pPr>
    </w:p>
    <w:p>
      <w:pPr>
        <w:pStyle w:val="Heading1"/>
      </w:pPr>
      <w:r>
        <w:t>12 Financing procurement and partnerships</w:t>
      </w:r>
    </w:p>
    <w:p>
      <w:pPr>
        <w:pStyle w:val="Heading2"/>
      </w:pPr>
      <w:r>
        <w:t>12.1 Cost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520"/>
            <w:shd w:fill="17365D"/>
            <w:tcMar>
              <w:top w:w="95" w:type="dxa"/>
              <w:start w:w="95" w:type="dxa"/>
              <w:bottom w:w="95" w:type="dxa"/>
              <w:end w:w="95" w:type="dxa"/>
            </w:tcMar>
            <w:vAlign w:val="center"/>
          </w:tcPr>
          <w:p>
            <w:pPr>
              <w:spacing w:after="0"/>
              <w:jc w:val="center"/>
            </w:pPr>
            <w:r>
              <w:rPr>
                <w:rFonts w:ascii="Aptos" w:hAnsi="Aptos"/>
                <w:b/>
                <w:color w:val="FFFFFF"/>
                <w:sz w:val="16"/>
              </w:rPr>
              <w:t>Category</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6"/>
              </w:rPr>
              <w:t>One-time costs</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6"/>
              </w:rPr>
              <w:t>Recurring costs</w:t>
            </w:r>
          </w:p>
        </w:tc>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Primary cost driver</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Governance and legal</w:t>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Data preparation metadata and agreements</w:t>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Infrastructure cloud compute and security</w:t>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Software models licences and support</w:t>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Training mentoring and staff time</w:t>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Pilot development validation and monitoring</w:t>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Communication consultation and transparency</w:t>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Independent review evaluation and audit</w:t>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Contingency and continuity</w:t>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pStyle w:val="Heading2"/>
      </w:pPr>
      <w:r>
        <w:t>12.2 Costing rules</w:t>
      </w:r>
    </w:p>
    <w:p>
      <w:pPr>
        <w:pStyle w:val="ListBullet"/>
        <w:spacing w:after="60"/>
      </w:pPr>
      <w:r>
        <w:t>Use local currency and state the price year, exchange rate and taxes.</w:t>
      </w:r>
    </w:p>
    <w:p>
      <w:pPr>
        <w:pStyle w:val="ListBullet"/>
        <w:spacing w:after="60"/>
      </w:pPr>
      <w:r>
        <w:t>Include staff time, data preparation, review, security, monitoring and exit, not only software or compute.</w:t>
      </w:r>
    </w:p>
    <w:p>
      <w:pPr>
        <w:pStyle w:val="ListBullet"/>
        <w:spacing w:after="60"/>
      </w:pPr>
      <w:r>
        <w:t>Separate committed financing, probable financing and unfunded requirements.</w:t>
      </w:r>
    </w:p>
    <w:p>
      <w:pPr>
        <w:pStyle w:val="ListBullet"/>
        <w:spacing w:after="60"/>
      </w:pPr>
      <w:r>
        <w:t>State assumptions for volumes, users, model calls, storage and supplier pricing.</w:t>
      </w:r>
    </w:p>
    <w:p>
      <w:pPr>
        <w:pStyle w:val="ListBullet"/>
        <w:spacing w:after="60"/>
      </w:pPr>
      <w:r>
        <w:t>Provide low, expected and high cases for uncertain costs.</w:t>
      </w:r>
    </w:p>
    <w:p>
      <w:pPr>
        <w:pStyle w:val="ListBullet"/>
        <w:spacing w:after="60"/>
      </w:pPr>
      <w:r>
        <w:t>Avoid counting partner-funded prototypes as sustainable national financing.</w:t>
      </w:r>
    </w:p>
    <w:p>
      <w:pPr>
        <w:pStyle w:val="Heading2"/>
      </w:pPr>
      <w:r>
        <w:t>12.3 Procurement and partnership safeguards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61"/>
        <w:gridCol w:w="5061"/>
      </w:tblGrid>
      <w:tr>
        <w:trPr>
          <w:tblHeader w:val="true"/>
        </w:trPr>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7"/>
              </w:rPr>
              <w:t>Issue</w:t>
            </w:r>
          </w:p>
        </w:tc>
        <w:tc>
          <w:tcPr>
            <w:tcW w:type="dxa" w:w="7056"/>
            <w:shd w:fill="17365D"/>
            <w:tcMar>
              <w:top w:w="95" w:type="dxa"/>
              <w:start w:w="95" w:type="dxa"/>
              <w:bottom w:w="95" w:type="dxa"/>
              <w:end w:w="95" w:type="dxa"/>
            </w:tcMar>
            <w:vAlign w:val="center"/>
          </w:tcPr>
          <w:p>
            <w:pPr>
              <w:spacing w:after="0"/>
              <w:jc w:val="center"/>
            </w:pPr>
            <w:r>
              <w:rPr>
                <w:rFonts w:ascii="Aptos" w:hAnsi="Aptos"/>
                <w:b/>
                <w:color w:val="FFFFFF"/>
                <w:sz w:val="17"/>
              </w:rPr>
              <w:t>Required provision</w:t>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7"/>
              </w:rPr>
              <w:t>Confidentiality and data use</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7"/>
              </w:rPr>
              <w:t>No unauthorized retention, training, onward transfer or reuse.</w:t>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7"/>
              </w:rPr>
              <w:t>Intellectual property and portability</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7"/>
              </w:rPr>
              <w:t>Institutional access to code, prompts, configurations, documentation and exportable data.</w:t>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7"/>
              </w:rPr>
              <w:t>Audit and transparency</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7"/>
              </w:rPr>
              <w:t>Access to necessary logs, performance evidence, changes and subcontractors.</w:t>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7"/>
              </w:rPr>
              <w:t>Service change and continuity</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7"/>
              </w:rPr>
              <w:t>Notification, validation rights, fallback, termination assistance and exit.</w:t>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7"/>
              </w:rPr>
              <w:t>Capacity transfer</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7"/>
              </w:rPr>
              <w:t>Named staff, deliverables, documentation, mentoring and competence milestones.</w:t>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7"/>
              </w:rPr>
              <w:t>Statistical authority</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7"/>
              </w:rPr>
              <w:t>Supplier does not control methods, thresholds, estimates or publication.</w:t>
            </w:r>
          </w:p>
        </w:tc>
      </w:tr>
    </w:tbl>
    <w:p>
      <w:pPr>
        <w:spacing w:after="20"/>
      </w:pPr>
    </w:p>
    <w:p>
      <w:pPr>
        <w:spacing w:after="40"/>
      </w:pPr>
    </w:p>
    <w:p>
      <w:pPr>
        <w:pStyle w:val="Heading1"/>
      </w:pPr>
      <w:r>
        <w:t>13 Monitoring evaluation and learning</w:t>
      </w:r>
    </w:p>
    <w:p>
      <w:pPr>
        <w:pStyle w:val="Heading2"/>
      </w:pPr>
      <w:r>
        <w:t>13.1 Results chain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4"/>
        <w:gridCol w:w="3374"/>
        <w:gridCol w:w="3374"/>
      </w:tblGrid>
      <w:tr>
        <w:trPr>
          <w:tblHeader w:val="true"/>
        </w:trPr>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7"/>
              </w:rPr>
              <w:t>Level</w:t>
            </w:r>
          </w:p>
        </w:tc>
        <w:tc>
          <w:tcPr>
            <w:tcW w:type="dxa" w:w="3600"/>
            <w:shd w:fill="17365D"/>
            <w:tcMar>
              <w:top w:w="95" w:type="dxa"/>
              <w:start w:w="95" w:type="dxa"/>
              <w:bottom w:w="95" w:type="dxa"/>
              <w:end w:w="95" w:type="dxa"/>
            </w:tcMar>
            <w:vAlign w:val="center"/>
          </w:tcPr>
          <w:p>
            <w:pPr>
              <w:spacing w:after="0"/>
              <w:jc w:val="center"/>
            </w:pPr>
            <w:r>
              <w:rPr>
                <w:rFonts w:ascii="Aptos" w:hAnsi="Aptos"/>
                <w:b/>
                <w:color w:val="FFFFFF"/>
                <w:sz w:val="17"/>
              </w:rPr>
              <w:t>Question</w:t>
            </w:r>
          </w:p>
        </w:tc>
        <w:tc>
          <w:tcPr>
            <w:tcW w:type="dxa" w:w="4752"/>
            <w:shd w:fill="17365D"/>
            <w:tcMar>
              <w:top w:w="95" w:type="dxa"/>
              <w:start w:w="95" w:type="dxa"/>
              <w:bottom w:w="95" w:type="dxa"/>
              <w:end w:w="95" w:type="dxa"/>
            </w:tcMar>
            <w:vAlign w:val="center"/>
          </w:tcPr>
          <w:p>
            <w:pPr>
              <w:spacing w:after="0"/>
              <w:jc w:val="center"/>
            </w:pPr>
            <w:r>
              <w:rPr>
                <w:rFonts w:ascii="Aptos" w:hAnsi="Aptos"/>
                <w:b/>
                <w:color w:val="FFFFFF"/>
                <w:sz w:val="17"/>
              </w:rPr>
              <w:t>Examples</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Inputs</w:t>
            </w:r>
          </w:p>
        </w:tc>
        <w:tc>
          <w:tcPr>
            <w:tcW w:type="dxa" w:w="3600"/>
            <w:tcMar>
              <w:top w:w="95" w:type="dxa"/>
              <w:start w:w="95" w:type="dxa"/>
              <w:bottom w:w="95" w:type="dxa"/>
              <w:end w:w="95" w:type="dxa"/>
            </w:tcMar>
            <w:vAlign w:val="center"/>
          </w:tcPr>
          <w:p>
            <w:pPr>
              <w:spacing w:after="0" w:line="240" w:lineRule="auto"/>
            </w:pPr>
            <w:r>
              <w:rPr>
                <w:rFonts w:ascii="Aptos" w:hAnsi="Aptos"/>
                <w:color w:val="000000"/>
                <w:sz w:val="17"/>
              </w:rPr>
              <w:t>Were resources and authority provided?</w:t>
            </w:r>
          </w:p>
        </w:tc>
        <w:tc>
          <w:tcPr>
            <w:tcW w:type="dxa" w:w="4752"/>
            <w:tcMar>
              <w:top w:w="95" w:type="dxa"/>
              <w:start w:w="95" w:type="dxa"/>
              <w:bottom w:w="95" w:type="dxa"/>
              <w:end w:w="95" w:type="dxa"/>
            </w:tcMar>
            <w:vAlign w:val="center"/>
          </w:tcPr>
          <w:p>
            <w:pPr>
              <w:spacing w:after="0" w:line="240" w:lineRule="auto"/>
            </w:pPr>
            <w:r>
              <w:rPr>
                <w:rFonts w:ascii="Aptos" w:hAnsi="Aptos"/>
                <w:color w:val="000000"/>
                <w:sz w:val="17"/>
              </w:rPr>
              <w:t>Budget, staff time, infrastructure, agreements and trainers.</w:t>
            </w:r>
          </w:p>
        </w:tc>
      </w:tr>
      <w:tr>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7"/>
              </w:rPr>
              <w:t>Activities</w:t>
            </w:r>
          </w:p>
        </w:tc>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7"/>
              </w:rPr>
              <w:t>Were planned actions completed to standard?</w:t>
            </w:r>
          </w:p>
        </w:tc>
        <w:tc>
          <w:tcPr>
            <w:tcW w:type="dxa" w:w="4752"/>
            <w:tcMar>
              <w:top w:w="95" w:type="dxa"/>
              <w:start w:w="95" w:type="dxa"/>
              <w:bottom w:w="95" w:type="dxa"/>
              <w:end w:w="95" w:type="dxa"/>
            </w:tcMar>
            <w:vAlign w:val="center"/>
            <w:shd w:fill="F3F6F9"/>
          </w:tcPr>
          <w:p>
            <w:pPr>
              <w:spacing w:after="0" w:line="240" w:lineRule="auto"/>
            </w:pPr>
            <w:r>
              <w:rPr>
                <w:rFonts w:ascii="Aptos" w:hAnsi="Aptos"/>
                <w:color w:val="000000"/>
                <w:sz w:val="17"/>
              </w:rPr>
              <w:t>Training, data-quality work, pilots, reviews and procurement.</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Outputs</w:t>
            </w:r>
          </w:p>
        </w:tc>
        <w:tc>
          <w:tcPr>
            <w:tcW w:type="dxa" w:w="3600"/>
            <w:tcMar>
              <w:top w:w="95" w:type="dxa"/>
              <w:start w:w="95" w:type="dxa"/>
              <w:bottom w:w="95" w:type="dxa"/>
              <w:end w:w="95" w:type="dxa"/>
            </w:tcMar>
            <w:vAlign w:val="center"/>
          </w:tcPr>
          <w:p>
            <w:pPr>
              <w:spacing w:after="0" w:line="240" w:lineRule="auto"/>
            </w:pPr>
            <w:r>
              <w:rPr>
                <w:rFonts w:ascii="Aptos" w:hAnsi="Aptos"/>
                <w:color w:val="000000"/>
                <w:sz w:val="17"/>
              </w:rPr>
              <w:t>What usable products or capabilities were produced?</w:t>
            </w:r>
          </w:p>
        </w:tc>
        <w:tc>
          <w:tcPr>
            <w:tcW w:type="dxa" w:w="4752"/>
            <w:tcMar>
              <w:top w:w="95" w:type="dxa"/>
              <w:start w:w="95" w:type="dxa"/>
              <w:bottom w:w="95" w:type="dxa"/>
              <w:end w:w="95" w:type="dxa"/>
            </w:tcMar>
            <w:vAlign w:val="center"/>
          </w:tcPr>
          <w:p>
            <w:pPr>
              <w:spacing w:after="0" w:line="240" w:lineRule="auto"/>
            </w:pPr>
            <w:r>
              <w:rPr>
                <w:rFonts w:ascii="Aptos" w:hAnsi="Aptos"/>
                <w:color w:val="000000"/>
                <w:sz w:val="17"/>
              </w:rPr>
              <w:t>Approved tools, trained staff, evidence packs, methods and services.</w:t>
            </w:r>
          </w:p>
        </w:tc>
      </w:tr>
      <w:tr>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7"/>
              </w:rPr>
              <w:t>Outcomes</w:t>
            </w:r>
          </w:p>
        </w:tc>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7"/>
              </w:rPr>
              <w:t>What changed in statistical production and institutions?</w:t>
            </w:r>
          </w:p>
        </w:tc>
        <w:tc>
          <w:tcPr>
            <w:tcW w:type="dxa" w:w="4752"/>
            <w:tcMar>
              <w:top w:w="95" w:type="dxa"/>
              <w:start w:w="95" w:type="dxa"/>
              <w:bottom w:w="95" w:type="dxa"/>
              <w:end w:w="95" w:type="dxa"/>
            </w:tcMar>
            <w:vAlign w:val="center"/>
            <w:shd w:fill="F3F6F9"/>
          </w:tcPr>
          <w:p>
            <w:pPr>
              <w:spacing w:after="0" w:line="240" w:lineRule="auto"/>
            </w:pPr>
            <w:r>
              <w:rPr>
                <w:rFonts w:ascii="Aptos" w:hAnsi="Aptos"/>
                <w:color w:val="000000"/>
                <w:sz w:val="17"/>
              </w:rPr>
              <w:t>Quality, timeliness, cost, use, coordination and competence.</w:t>
            </w:r>
          </w:p>
        </w:tc>
      </w:tr>
      <w:tr>
        <w:tc>
          <w:tcPr>
            <w:tcW w:type="dxa" w:w="1584"/>
            <w:tcMar>
              <w:top w:w="95" w:type="dxa"/>
              <w:start w:w="95" w:type="dxa"/>
              <w:bottom w:w="95" w:type="dxa"/>
              <w:end w:w="95" w:type="dxa"/>
            </w:tcMar>
            <w:vAlign w:val="center"/>
          </w:tcPr>
          <w:p>
            <w:pPr>
              <w:spacing w:after="0" w:line="240" w:lineRule="auto"/>
            </w:pPr>
            <w:r>
              <w:rPr>
                <w:rFonts w:ascii="Aptos" w:hAnsi="Aptos"/>
                <w:color w:val="000000"/>
                <w:sz w:val="17"/>
              </w:rPr>
              <w:t>Impact</w:t>
            </w:r>
          </w:p>
        </w:tc>
        <w:tc>
          <w:tcPr>
            <w:tcW w:type="dxa" w:w="3600"/>
            <w:tcMar>
              <w:top w:w="95" w:type="dxa"/>
              <w:start w:w="95" w:type="dxa"/>
              <w:bottom w:w="95" w:type="dxa"/>
              <w:end w:w="95" w:type="dxa"/>
            </w:tcMar>
            <w:vAlign w:val="center"/>
          </w:tcPr>
          <w:p>
            <w:pPr>
              <w:spacing w:after="0" w:line="240" w:lineRule="auto"/>
            </w:pPr>
            <w:r>
              <w:rPr>
                <w:rFonts w:ascii="Aptos" w:hAnsi="Aptos"/>
                <w:color w:val="000000"/>
                <w:sz w:val="17"/>
              </w:rPr>
              <w:t>How did official information and public decisions improve?</w:t>
            </w:r>
          </w:p>
        </w:tc>
        <w:tc>
          <w:tcPr>
            <w:tcW w:type="dxa" w:w="4752"/>
            <w:tcMar>
              <w:top w:w="95" w:type="dxa"/>
              <w:start w:w="95" w:type="dxa"/>
              <w:bottom w:w="95" w:type="dxa"/>
              <w:end w:w="95" w:type="dxa"/>
            </w:tcMar>
            <w:vAlign w:val="center"/>
          </w:tcPr>
          <w:p>
            <w:pPr>
              <w:spacing w:after="0" w:line="240" w:lineRule="auto"/>
            </w:pPr>
            <w:r>
              <w:rPr>
                <w:rFonts w:ascii="Aptos" w:hAnsi="Aptos"/>
                <w:color w:val="000000"/>
                <w:sz w:val="17"/>
              </w:rPr>
              <w:t>Better coverage, trust, relevance and decisions, with protected rights.</w:t>
            </w:r>
          </w:p>
        </w:tc>
      </w:tr>
    </w:tbl>
    <w:p>
      <w:pPr>
        <w:spacing w:after="20"/>
      </w:pPr>
    </w:p>
    <w:p>
      <w:pPr>
        <w:pStyle w:val="Heading2"/>
      </w:pPr>
      <w:r>
        <w:t>13.2 Core national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7"/>
        <w:gridCol w:w="1687"/>
        <w:gridCol w:w="1687"/>
        <w:gridCol w:w="1687"/>
        <w:gridCol w:w="1687"/>
        <w:gridCol w:w="1687"/>
      </w:tblGrid>
      <w:tr>
        <w:trPr>
          <w:tblHeader w:val="true"/>
        </w:trPr>
        <w:tc>
          <w:tcPr>
            <w:tcW w:type="dxa" w:w="2664"/>
            <w:shd w:fill="17365D"/>
            <w:tcMar>
              <w:top w:w="95" w:type="dxa"/>
              <w:start w:w="95" w:type="dxa"/>
              <w:bottom w:w="95" w:type="dxa"/>
              <w:end w:w="95" w:type="dxa"/>
            </w:tcMar>
            <w:vAlign w:val="center"/>
          </w:tcPr>
          <w:p>
            <w:pPr>
              <w:spacing w:after="0"/>
              <w:jc w:val="center"/>
            </w:pPr>
            <w:r>
              <w:rPr>
                <w:rFonts w:ascii="Aptos" w:hAnsi="Aptos"/>
                <w:b/>
                <w:color w:val="FFFFFF"/>
                <w:sz w:val="14"/>
              </w:rPr>
              <w:t>Indicator</w:t>
            </w:r>
          </w:p>
        </w:tc>
        <w:tc>
          <w:tcPr>
            <w:tcW w:type="dxa" w:w="3024"/>
            <w:shd w:fill="17365D"/>
            <w:tcMar>
              <w:top w:w="95" w:type="dxa"/>
              <w:start w:w="95" w:type="dxa"/>
              <w:bottom w:w="95" w:type="dxa"/>
              <w:end w:w="95" w:type="dxa"/>
            </w:tcMar>
            <w:vAlign w:val="center"/>
          </w:tcPr>
          <w:p>
            <w:pPr>
              <w:spacing w:after="0"/>
              <w:jc w:val="center"/>
            </w:pPr>
            <w:r>
              <w:rPr>
                <w:rFonts w:ascii="Aptos" w:hAnsi="Aptos"/>
                <w:b/>
                <w:color w:val="FFFFFF"/>
                <w:sz w:val="14"/>
              </w:rPr>
              <w:t>Definition and disaggregation</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4"/>
              </w:rPr>
              <w:t>Baseline</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4"/>
              </w:rPr>
              <w:t>Target</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Frequency</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Owner</w:t>
            </w:r>
          </w:p>
        </w:tc>
      </w:tr>
      <w:tr>
        <w:tc>
          <w:tcPr>
            <w:tcW w:type="dxa" w:w="2664"/>
            <w:tcMar>
              <w:top w:w="95" w:type="dxa"/>
              <w:start w:w="95" w:type="dxa"/>
              <w:bottom w:w="95" w:type="dxa"/>
              <w:end w:w="95" w:type="dxa"/>
            </w:tcMar>
            <w:vAlign w:val="center"/>
          </w:tcPr>
          <w:p>
            <w:pPr>
              <w:spacing w:after="0" w:line="240" w:lineRule="auto"/>
            </w:pPr>
            <w:r>
              <w:rPr>
                <w:rFonts w:ascii="Aptos" w:hAnsi="Aptos"/>
                <w:color w:val="000000"/>
                <w:sz w:val="14"/>
              </w:rPr>
              <w:t>Priority institutions completing annual AI and data-quality review</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shd w:fill="F3F6F9"/>
          </w:tcPr>
          <w:p>
            <w:pPr>
              <w:spacing w:after="0" w:line="240" w:lineRule="auto"/>
            </w:pPr>
            <w:r>
              <w:rPr>
                <w:rFonts w:ascii="Aptos" w:hAnsi="Aptos"/>
                <w:color w:val="000000"/>
                <w:sz w:val="14"/>
              </w:rPr>
              <w:t>Staff demonstrating competence by role and institution</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tcPr>
          <w:p>
            <w:pPr>
              <w:spacing w:after="0" w:line="240" w:lineRule="auto"/>
            </w:pPr>
            <w:r>
              <w:rPr>
                <w:rFonts w:ascii="Aptos" w:hAnsi="Aptos"/>
                <w:color w:val="000000"/>
                <w:sz w:val="14"/>
              </w:rPr>
              <w:t>Pilots completing Phase 1F assurance process</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shd w:fill="F3F6F9"/>
          </w:tcPr>
          <w:p>
            <w:pPr>
              <w:spacing w:after="0" w:line="240" w:lineRule="auto"/>
            </w:pPr>
            <w:r>
              <w:rPr>
                <w:rFonts w:ascii="Aptos" w:hAnsi="Aptos"/>
                <w:color w:val="000000"/>
                <w:sz w:val="14"/>
              </w:rPr>
              <w:t>Approved pilots meeting statistical-quality thresholds</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tcPr>
          <w:p>
            <w:pPr>
              <w:spacing w:after="0" w:line="240" w:lineRule="auto"/>
            </w:pPr>
            <w:r>
              <w:rPr>
                <w:rFonts w:ascii="Aptos" w:hAnsi="Aptos"/>
                <w:color w:val="000000"/>
                <w:sz w:val="14"/>
              </w:rPr>
              <w:t>Production uses with active monitoring and fallback</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shd w:fill="F3F6F9"/>
          </w:tcPr>
          <w:p>
            <w:pPr>
              <w:spacing w:after="0" w:line="240" w:lineRule="auto"/>
            </w:pPr>
            <w:r>
              <w:rPr>
                <w:rFonts w:ascii="Aptos" w:hAnsi="Aptos"/>
                <w:color w:val="000000"/>
                <w:sz w:val="14"/>
              </w:rPr>
              <w:t>Priority data assets with current metadata and agreements</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tcPr>
          <w:p>
            <w:pPr>
              <w:spacing w:after="0" w:line="240" w:lineRule="auto"/>
            </w:pPr>
            <w:r>
              <w:rPr>
                <w:rFonts w:ascii="Aptos" w:hAnsi="Aptos"/>
                <w:color w:val="000000"/>
                <w:sz w:val="14"/>
              </w:rPr>
              <w:t>Material incidents and closure time</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664"/>
            <w:tcMar>
              <w:top w:w="95" w:type="dxa"/>
              <w:start w:w="95" w:type="dxa"/>
              <w:bottom w:w="95" w:type="dxa"/>
              <w:end w:w="95" w:type="dxa"/>
            </w:tcMar>
            <w:vAlign w:val="center"/>
            <w:shd w:fill="F3F6F9"/>
          </w:tcPr>
          <w:p>
            <w:pPr>
              <w:spacing w:after="0" w:line="240" w:lineRule="auto"/>
            </w:pPr>
            <w:r>
              <w:rPr>
                <w:rFonts w:ascii="Aptos" w:hAnsi="Aptos"/>
                <w:color w:val="000000"/>
                <w:sz w:val="14"/>
              </w:rPr>
              <w:t>Actual recurring cost financed by national resources</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bl>
    <w:p>
      <w:pPr>
        <w:spacing w:after="20"/>
      </w:pPr>
    </w:p>
    <w:p>
      <w:pPr>
        <w:pStyle w:val="Heading2"/>
      </w:pPr>
      <w:r>
        <w:t>13.3 Learning cycle</w:t>
      </w:r>
    </w:p>
    <w:p>
      <w:r>
        <w:t>Review the action plan at least annually and after any serious incident or major technological change. Update the evidence, retire actions that no longer solve a real need, revise thresholds where evidence supports it and publish a proportionate account of progress and limitations.</w:t>
      </w:r>
    </w:p>
    <w:p>
      <w:pPr>
        <w:spacing w:after="40"/>
      </w:pPr>
    </w:p>
    <w:p>
      <w:pPr>
        <w:pStyle w:val="Heading1"/>
      </w:pPr>
      <w:r>
        <w:t>14 Risks safeguards and continuity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4"/>
              </w:rPr>
              <w:t>Strategic risk</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4"/>
              </w:rPr>
              <w:t>Early warning</w:t>
            </w:r>
          </w:p>
        </w:tc>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4"/>
              </w:rPr>
              <w:t>Preventive safeguard</w:t>
            </w:r>
          </w:p>
        </w:tc>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4"/>
              </w:rPr>
              <w:t>Contingency or response</w:t>
            </w:r>
          </w:p>
        </w:tc>
        <w:tc>
          <w:tcPr>
            <w:tcW w:type="dxa" w:w="1224"/>
            <w:shd w:fill="17365D"/>
            <w:tcMar>
              <w:top w:w="95" w:type="dxa"/>
              <w:start w:w="95" w:type="dxa"/>
              <w:bottom w:w="95" w:type="dxa"/>
              <w:end w:w="95" w:type="dxa"/>
            </w:tcMar>
            <w:vAlign w:val="center"/>
          </w:tcPr>
          <w:p>
            <w:pPr>
              <w:spacing w:after="0"/>
              <w:jc w:val="center"/>
            </w:pPr>
            <w:r>
              <w:rPr>
                <w:rFonts w:ascii="Aptos" w:hAnsi="Aptos"/>
                <w:b/>
                <w:color w:val="FFFFFF"/>
                <w:sz w:val="14"/>
              </w:rPr>
              <w:t>Owner</w:t>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t>Technology-led projects without statistical need</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t>Confidentiality privacy or cybersecurity failure</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t>Methodological error or hidden subgroup bias</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t>Vendor dependence or sudden service change</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t>Insufficient recurrent financing</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t>Loss of trained staff or consultant dependence</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t>Fragmentation across sectors and duplicate investments</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t>Automation bias and weak human review</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t>Public misunderstanding or loss of trust</w:t>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t>Unequal access between institutions or regions</w:t>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bl>
    <w:p>
      <w:pPr>
        <w:spacing w:after="20"/>
      </w:pPr>
    </w:p>
    <w:p>
      <w:pPr>
        <w:pStyle w:val="Heading2"/>
      </w:pPr>
      <w:r>
        <w:t>14.1 National continuity requirements</w:t>
      </w:r>
    </w:p>
    <w:p>
      <w:pPr>
        <w:pStyle w:val="ListBullet"/>
        <w:spacing w:after="60"/>
      </w:pPr>
      <w:r>
        <w:t>Every production AI use has a tested fallback or safe degradation mode.</w:t>
      </w:r>
    </w:p>
    <w:p>
      <w:pPr>
        <w:pStyle w:val="ListBullet"/>
        <w:spacing w:after="60"/>
      </w:pPr>
      <w:r>
        <w:t>Model, provider, prompt, data and infrastructure changes are controlled.</w:t>
      </w:r>
    </w:p>
    <w:p>
      <w:pPr>
        <w:pStyle w:val="ListBullet"/>
        <w:spacing w:after="60"/>
      </w:pPr>
      <w:r>
        <w:t>Critical artefacts and documentation remain accessible to the institution.</w:t>
      </w:r>
    </w:p>
    <w:p>
      <w:pPr>
        <w:pStyle w:val="ListBullet"/>
        <w:spacing w:after="60"/>
      </w:pPr>
      <w:r>
        <w:t>Security and statistical incidents have named notification and decision authorities.</w:t>
      </w:r>
    </w:p>
    <w:p>
      <w:pPr>
        <w:pStyle w:val="ListBullet"/>
        <w:spacing w:after="60"/>
      </w:pPr>
      <w:r>
        <w:t>The institution can suspend a use without losing access to source data or the approved production method.</w:t>
      </w:r>
    </w:p>
    <w:p>
      <w:pPr>
        <w:pStyle w:val="Heading2"/>
      </w:pPr>
      <w:r>
        <w:t>14.2 Stop conditions</w:t>
      </w:r>
    </w:p>
    <w:p>
      <w:r>
        <w:t>[List the conditions requiring suspension or termination, such as failed statistical thresholds, material disclosure, unlawful processing, uncontrolled supplier change, unexplained drift, loss of accountable ownership or inability to reproduce results.]</w:t>
      </w:r>
    </w:p>
    <w:p>
      <w:pPr>
        <w:spacing w:after="40"/>
      </w:pPr>
    </w:p>
    <w:p>
      <w:pPr>
        <w:pStyle w:val="Heading1"/>
      </w:pPr>
      <w:r>
        <w:t>15 Consultation validation and approval</w:t>
      </w:r>
    </w:p>
    <w:p>
      <w:pPr>
        <w:pStyle w:val="Heading2"/>
      </w:pPr>
      <w:r>
        <w:t>15.1 Consultation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6"/>
              </w:rPr>
              <w:t>Stakeholder</w:t>
            </w:r>
          </w:p>
        </w:tc>
        <w:tc>
          <w:tcPr>
            <w:tcW w:type="dxa" w:w="2520"/>
            <w:shd w:fill="17365D"/>
            <w:tcMar>
              <w:top w:w="95" w:type="dxa"/>
              <w:start w:w="95" w:type="dxa"/>
              <w:bottom w:w="95" w:type="dxa"/>
              <w:end w:w="95" w:type="dxa"/>
            </w:tcMar>
            <w:vAlign w:val="center"/>
          </w:tcPr>
          <w:p>
            <w:pPr>
              <w:spacing w:after="0"/>
              <w:jc w:val="center"/>
            </w:pPr>
            <w:r>
              <w:rPr>
                <w:rFonts w:ascii="Aptos" w:hAnsi="Aptos"/>
                <w:b/>
                <w:color w:val="FFFFFF"/>
                <w:sz w:val="16"/>
              </w:rPr>
              <w:t>Issue consulted</w:t>
            </w:r>
          </w:p>
        </w:tc>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Position or evidence</w:t>
            </w:r>
          </w:p>
        </w:tc>
        <w:tc>
          <w:tcPr>
            <w:tcW w:type="dxa" w:w="2736"/>
            <w:shd w:fill="17365D"/>
            <w:tcMar>
              <w:top w:w="95" w:type="dxa"/>
              <w:start w:w="95" w:type="dxa"/>
              <w:bottom w:w="95" w:type="dxa"/>
              <w:end w:w="95" w:type="dxa"/>
            </w:tcMar>
            <w:vAlign w:val="center"/>
          </w:tcPr>
          <w:p>
            <w:pPr>
              <w:spacing w:after="0"/>
              <w:jc w:val="center"/>
            </w:pPr>
            <w:r>
              <w:rPr>
                <w:rFonts w:ascii="Aptos" w:hAnsi="Aptos"/>
                <w:b/>
                <w:color w:val="FFFFFF"/>
                <w:sz w:val="16"/>
              </w:rPr>
              <w:t>Change made or reason not adopted</w:t>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736"/>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736"/>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736"/>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736"/>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736"/>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736"/>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pStyle w:val="Heading2"/>
      </w:pPr>
      <w:r>
        <w:t>15.2 Validation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3240"/>
            <w:shd w:fill="17365D"/>
            <w:tcMar>
              <w:top w:w="95" w:type="dxa"/>
              <w:start w:w="95" w:type="dxa"/>
              <w:bottom w:w="95" w:type="dxa"/>
              <w:end w:w="95" w:type="dxa"/>
            </w:tcMar>
            <w:vAlign w:val="center"/>
          </w:tcPr>
          <w:p>
            <w:pPr>
              <w:spacing w:after="0"/>
              <w:jc w:val="center"/>
            </w:pPr>
            <w:r>
              <w:rPr>
                <w:rFonts w:ascii="Aptos" w:hAnsi="Aptos"/>
                <w:b/>
                <w:color w:val="FFFFFF"/>
                <w:sz w:val="16"/>
              </w:rPr>
              <w:t>Validation point</w:t>
            </w:r>
          </w:p>
        </w:tc>
        <w:tc>
          <w:tcPr>
            <w:tcW w:type="dxa" w:w="2304"/>
            <w:shd w:fill="17365D"/>
            <w:tcMar>
              <w:top w:w="95" w:type="dxa"/>
              <w:start w:w="95" w:type="dxa"/>
              <w:bottom w:w="95" w:type="dxa"/>
              <w:end w:w="95" w:type="dxa"/>
            </w:tcMar>
            <w:vAlign w:val="center"/>
          </w:tcPr>
          <w:p>
            <w:pPr>
              <w:spacing w:after="0"/>
              <w:jc w:val="center"/>
            </w:pPr>
            <w:r>
              <w:rPr>
                <w:rFonts w:ascii="Aptos" w:hAnsi="Aptos"/>
                <w:b/>
                <w:color w:val="FFFFFF"/>
                <w:sz w:val="16"/>
              </w:rPr>
              <w:t>Responsible body</w:t>
            </w:r>
          </w:p>
        </w:tc>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6"/>
              </w:rPr>
              <w:t>Decision</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6"/>
              </w:rPr>
              <w:t>Conditions</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6"/>
              </w:rPr>
              <w:t>Date</w:t>
            </w:r>
          </w:p>
        </w:tc>
      </w:tr>
      <w:tr>
        <w:tc>
          <w:tcPr>
            <w:tcW w:type="dxa" w:w="3240"/>
            <w:tcMar>
              <w:top w:w="95" w:type="dxa"/>
              <w:start w:w="95" w:type="dxa"/>
              <w:bottom w:w="95" w:type="dxa"/>
              <w:end w:w="95" w:type="dxa"/>
            </w:tcMar>
            <w:vAlign w:val="center"/>
          </w:tcPr>
          <w:p>
            <w:pPr>
              <w:spacing w:after="0" w:line="240" w:lineRule="auto"/>
            </w:pPr>
            <w:r>
              <w:rPr>
                <w:rFonts w:ascii="Aptos" w:hAnsi="Aptos"/>
                <w:color w:val="000000"/>
                <w:sz w:val="16"/>
              </w:rPr>
              <w:t>Diagnostic evidence accepted</w:t>
            </w:r>
          </w:p>
        </w:tc>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3240"/>
            <w:tcMar>
              <w:top w:w="95" w:type="dxa"/>
              <w:start w:w="95" w:type="dxa"/>
              <w:bottom w:w="95" w:type="dxa"/>
              <w:end w:w="95" w:type="dxa"/>
            </w:tcMar>
            <w:vAlign w:val="center"/>
            <w:shd w:fill="F3F6F9"/>
          </w:tcPr>
          <w:p>
            <w:pPr>
              <w:spacing w:after="0" w:line="240" w:lineRule="auto"/>
            </w:pPr>
            <w:r>
              <w:rPr>
                <w:rFonts w:ascii="Aptos" w:hAnsi="Aptos"/>
                <w:color w:val="000000"/>
                <w:sz w:val="16"/>
              </w:rPr>
              <w:t>Priority outcomes and operating model accepted</w:t>
            </w:r>
          </w:p>
        </w:tc>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3240"/>
            <w:tcMar>
              <w:top w:w="95" w:type="dxa"/>
              <w:start w:w="95" w:type="dxa"/>
              <w:bottom w:w="95" w:type="dxa"/>
              <w:end w:w="95" w:type="dxa"/>
            </w:tcMar>
            <w:vAlign w:val="center"/>
          </w:tcPr>
          <w:p>
            <w:pPr>
              <w:spacing w:after="0" w:line="240" w:lineRule="auto"/>
            </w:pPr>
            <w:r>
              <w:rPr>
                <w:rFonts w:ascii="Aptos" w:hAnsi="Aptos"/>
                <w:color w:val="000000"/>
                <w:sz w:val="16"/>
              </w:rPr>
              <w:t>Pilot portfolio authorized for Phase 1F design</w:t>
            </w:r>
          </w:p>
        </w:tc>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3240"/>
            <w:tcMar>
              <w:top w:w="95" w:type="dxa"/>
              <w:start w:w="95" w:type="dxa"/>
              <w:bottom w:w="95" w:type="dxa"/>
              <w:end w:w="95" w:type="dxa"/>
            </w:tcMar>
            <w:vAlign w:val="center"/>
            <w:shd w:fill="F3F6F9"/>
          </w:tcPr>
          <w:p>
            <w:pPr>
              <w:spacing w:after="0" w:line="240" w:lineRule="auto"/>
            </w:pPr>
            <w:r>
              <w:rPr>
                <w:rFonts w:ascii="Aptos" w:hAnsi="Aptos"/>
                <w:color w:val="000000"/>
                <w:sz w:val="16"/>
              </w:rPr>
              <w:t>Costed action plan and financing approach accepted</w:t>
            </w:r>
          </w:p>
        </w:tc>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3240"/>
            <w:tcMar>
              <w:top w:w="95" w:type="dxa"/>
              <w:start w:w="95" w:type="dxa"/>
              <w:bottom w:w="95" w:type="dxa"/>
              <w:end w:w="95" w:type="dxa"/>
            </w:tcMar>
            <w:vAlign w:val="center"/>
          </w:tcPr>
          <w:p>
            <w:pPr>
              <w:spacing w:after="0" w:line="240" w:lineRule="auto"/>
            </w:pPr>
            <w:r>
              <w:rPr>
                <w:rFonts w:ascii="Aptos" w:hAnsi="Aptos"/>
                <w:color w:val="000000"/>
                <w:sz w:val="16"/>
              </w:rPr>
              <w:t>Monitoring and annual review process accepted</w:t>
            </w:r>
          </w:p>
        </w:tc>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pStyle w:val="Heading2"/>
      </w:pPr>
      <w:r>
        <w:t>15.3 Formal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6"/>
              </w:rPr>
              <w:t>Authority</w:t>
            </w:r>
          </w:p>
        </w:tc>
        <w:tc>
          <w:tcPr>
            <w:tcW w:type="dxa" w:w="2376"/>
            <w:shd w:fill="17365D"/>
            <w:tcMar>
              <w:top w:w="95" w:type="dxa"/>
              <w:start w:w="95" w:type="dxa"/>
              <w:bottom w:w="95" w:type="dxa"/>
              <w:end w:w="95" w:type="dxa"/>
            </w:tcMar>
            <w:vAlign w:val="center"/>
          </w:tcPr>
          <w:p>
            <w:pPr>
              <w:spacing w:after="0"/>
              <w:jc w:val="center"/>
            </w:pPr>
            <w:r>
              <w:rPr>
                <w:rFonts w:ascii="Aptos" w:hAnsi="Aptos"/>
                <w:b/>
                <w:color w:val="FFFFFF"/>
                <w:sz w:val="16"/>
              </w:rPr>
              <w:t>Name and position</w:t>
            </w:r>
          </w:p>
        </w:tc>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6"/>
              </w:rPr>
              <w:t>Decision</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6"/>
              </w:rPr>
              <w:t>Date</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6"/>
              </w:rPr>
              <w:t>Signature or recorded approval</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Chief Statistician or head of NSO</w:t>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National statistical system coordination body</w:t>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6"/>
              </w:rPr>
              <w:t>Responsible government authority where required</w:t>
            </w:r>
          </w:p>
        </w:tc>
        <w:tc>
          <w:tcPr>
            <w:tcW w:type="dxa" w:w="237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6"/>
              </w:rPr>
              <w:t>Sector statistical authorities</w:t>
            </w:r>
          </w:p>
        </w:tc>
        <w:tc>
          <w:tcPr>
            <w:tcW w:type="dxa" w:w="2376"/>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pStyle w:val="Heading2"/>
      </w:pPr>
      <w:r>
        <w:t>15.4 Publication and review</w:t>
      </w:r>
    </w:p>
    <w:p>
      <w:r>
        <w:t>[State which parts of the diagnosis and plan will be public, how confidential or security-sensitive material will be protected, where the approved version will be maintained, and the date and authority for the next review.]</w:t>
      </w:r>
    </w:p>
    <w:p>
      <w:pPr>
        <w:spacing w:after="40"/>
      </w:pPr>
    </w:p>
    <w:p>
      <w:pPr>
        <w:pStyle w:val="Heading1"/>
      </w:pPr>
      <w:r>
        <w:t>Annex A Evidence traceability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1446"/>
        <w:gridCol w:w="1446"/>
        <w:gridCol w:w="1446"/>
        <w:gridCol w:w="1446"/>
        <w:gridCol w:w="1446"/>
        <w:gridCol w:w="1446"/>
      </w:tblGrid>
      <w:tr>
        <w:trPr>
          <w:tblHeader w:val="true"/>
        </w:trPr>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Finding or decision ID</w:t>
            </w:r>
          </w:p>
        </w:tc>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4"/>
              </w:rPr>
              <w:t>Claim</w:t>
            </w:r>
          </w:p>
        </w:tc>
        <w:tc>
          <w:tcPr>
            <w:tcW w:type="dxa" w:w="2520"/>
            <w:shd w:fill="17365D"/>
            <w:tcMar>
              <w:top w:w="95" w:type="dxa"/>
              <w:start w:w="95" w:type="dxa"/>
              <w:bottom w:w="95" w:type="dxa"/>
              <w:end w:w="95" w:type="dxa"/>
            </w:tcMar>
            <w:vAlign w:val="center"/>
          </w:tcPr>
          <w:p>
            <w:pPr>
              <w:spacing w:after="0"/>
              <w:jc w:val="center"/>
            </w:pPr>
            <w:r>
              <w:rPr>
                <w:rFonts w:ascii="Aptos" w:hAnsi="Aptos"/>
                <w:b/>
                <w:color w:val="FFFFFF"/>
                <w:sz w:val="14"/>
              </w:rPr>
              <w:t>Evidence source and reference</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4"/>
              </w:rPr>
              <w:t>Institution</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4"/>
              </w:rPr>
              <w:t>Date</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Confidence</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Reviewer</w:t>
            </w:r>
          </w:p>
        </w:tc>
      </w:tr>
      <w:tr>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bl>
    <w:p>
      <w:pPr>
        <w:spacing w:after="20"/>
      </w:pPr>
    </w:p>
    <w:p>
      <w:r>
        <w:t>Use one row for every material finding, priority, gate decision and major planning assumption. Evidence should be locatable by someone who did not participate in the assessment.</w:t>
      </w:r>
    </w:p>
    <w:p>
      <w:pPr>
        <w:spacing w:after="40"/>
      </w:pPr>
    </w:p>
    <w:p>
      <w:pPr>
        <w:pStyle w:val="Heading1"/>
      </w:pPr>
      <w:r>
        <w:t>Annex B Detailed action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2"/>
        <w:gridCol w:w="1012"/>
        <w:gridCol w:w="1012"/>
        <w:gridCol w:w="1012"/>
        <w:gridCol w:w="1012"/>
        <w:gridCol w:w="1012"/>
        <w:gridCol w:w="1012"/>
        <w:gridCol w:w="1012"/>
        <w:gridCol w:w="1012"/>
        <w:gridCol w:w="1012"/>
      </w:tblGrid>
      <w:tr>
        <w:trPr>
          <w:tblHeader w:val="true"/>
        </w:trPr>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2"/>
              </w:rPr>
              <w:t>Action ID and action</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2"/>
              </w:rPr>
              <w:t>Workstream</w:t>
            </w:r>
          </w:p>
        </w:tc>
        <w:tc>
          <w:tcPr>
            <w:tcW w:type="dxa" w:w="1800"/>
            <w:shd w:fill="17365D"/>
            <w:tcMar>
              <w:top w:w="95" w:type="dxa"/>
              <w:start w:w="95" w:type="dxa"/>
              <w:bottom w:w="95" w:type="dxa"/>
              <w:end w:w="95" w:type="dxa"/>
            </w:tcMar>
            <w:vAlign w:val="center"/>
          </w:tcPr>
          <w:p>
            <w:pPr>
              <w:spacing w:after="0"/>
              <w:jc w:val="center"/>
            </w:pPr>
            <w:r>
              <w:rPr>
                <w:rFonts w:ascii="Aptos" w:hAnsi="Aptos"/>
                <w:b/>
                <w:color w:val="FFFFFF"/>
                <w:sz w:val="12"/>
              </w:rPr>
              <w:t>Deliverable and acceptance criterion</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2"/>
              </w:rPr>
              <w:t>Start and end</w:t>
            </w:r>
          </w:p>
        </w:tc>
        <w:tc>
          <w:tcPr>
            <w:tcW w:type="dxa" w:w="1296"/>
            <w:shd w:fill="17365D"/>
            <w:tcMar>
              <w:top w:w="95" w:type="dxa"/>
              <w:start w:w="95" w:type="dxa"/>
              <w:bottom w:w="95" w:type="dxa"/>
              <w:end w:w="95" w:type="dxa"/>
            </w:tcMar>
            <w:vAlign w:val="center"/>
          </w:tcPr>
          <w:p>
            <w:pPr>
              <w:spacing w:after="0"/>
              <w:jc w:val="center"/>
            </w:pPr>
            <w:r>
              <w:rPr>
                <w:rFonts w:ascii="Aptos" w:hAnsi="Aptos"/>
                <w:b/>
                <w:color w:val="FFFFFF"/>
                <w:sz w:val="12"/>
              </w:rPr>
              <w:t>Accountable institution</w:t>
            </w:r>
          </w:p>
        </w:tc>
        <w:tc>
          <w:tcPr>
            <w:tcW w:type="dxa" w:w="1224"/>
            <w:shd w:fill="17365D"/>
            <w:tcMar>
              <w:top w:w="95" w:type="dxa"/>
              <w:start w:w="95" w:type="dxa"/>
              <w:bottom w:w="95" w:type="dxa"/>
              <w:end w:w="95" w:type="dxa"/>
            </w:tcMar>
            <w:vAlign w:val="center"/>
          </w:tcPr>
          <w:p>
            <w:pPr>
              <w:spacing w:after="0"/>
              <w:jc w:val="center"/>
            </w:pPr>
            <w:r>
              <w:rPr>
                <w:rFonts w:ascii="Aptos" w:hAnsi="Aptos"/>
                <w:b/>
                <w:color w:val="FFFFFF"/>
                <w:sz w:val="12"/>
              </w:rPr>
              <w:t>Supporting institutions</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2"/>
              </w:rPr>
              <w:t>Estimated cost</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2"/>
              </w:rPr>
              <w:t>Financing status</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2"/>
              </w:rPr>
              <w:t>Dependencies</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2"/>
              </w:rPr>
              <w:t>Indicator</w:t>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2"/>
              </w:rPr>
            </w:r>
          </w:p>
        </w:tc>
      </w:tr>
      <w:tr>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80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2"/>
              </w:rPr>
            </w:r>
          </w:p>
        </w:tc>
      </w:tr>
    </w:tbl>
    <w:p>
      <w:pPr>
        <w:spacing w:after="20"/>
      </w:pPr>
    </w:p>
    <w:p>
      <w:pPr>
        <w:pStyle w:val="Heading2"/>
      </w:pPr>
      <w:r>
        <w:t>Action sequencing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61"/>
        <w:gridCol w:w="5061"/>
      </w:tblGrid>
      <w:tr>
        <w:trPr>
          <w:tblHeader w:val="true"/>
        </w:trPr>
        <w:tc>
          <w:tcPr>
            <w:tcW w:type="dxa" w:w="6048"/>
            <w:shd w:fill="17365D"/>
            <w:tcMar>
              <w:top w:w="95" w:type="dxa"/>
              <w:start w:w="95" w:type="dxa"/>
              <w:bottom w:w="95" w:type="dxa"/>
              <w:end w:w="95" w:type="dxa"/>
            </w:tcMar>
            <w:vAlign w:val="center"/>
          </w:tcPr>
          <w:p>
            <w:pPr>
              <w:spacing w:after="0"/>
              <w:jc w:val="center"/>
            </w:pPr>
            <w:r>
              <w:rPr>
                <w:rFonts w:ascii="Aptos" w:hAnsi="Aptos"/>
                <w:b/>
                <w:color w:val="FFFFFF"/>
                <w:sz w:val="17"/>
              </w:rPr>
              <w:t>Check</w:t>
            </w:r>
          </w:p>
        </w:tc>
        <w:tc>
          <w:tcPr>
            <w:tcW w:type="dxa" w:w="3888"/>
            <w:shd w:fill="17365D"/>
            <w:tcMar>
              <w:top w:w="95" w:type="dxa"/>
              <w:start w:w="95" w:type="dxa"/>
              <w:bottom w:w="95" w:type="dxa"/>
              <w:end w:w="95" w:type="dxa"/>
            </w:tcMar>
            <w:vAlign w:val="center"/>
          </w:tcPr>
          <w:p>
            <w:pPr>
              <w:spacing w:after="0"/>
              <w:jc w:val="center"/>
            </w:pPr>
            <w:r>
              <w:rPr>
                <w:rFonts w:ascii="Aptos" w:hAnsi="Aptos"/>
                <w:b/>
                <w:color w:val="FFFFFF"/>
                <w:sz w:val="17"/>
              </w:rPr>
              <w:t>Result and corrective action</w:t>
            </w:r>
          </w:p>
        </w:tc>
      </w:tr>
      <w:tr>
        <w:tc>
          <w:tcPr>
            <w:tcW w:type="dxa" w:w="6048"/>
            <w:tcMar>
              <w:top w:w="95" w:type="dxa"/>
              <w:start w:w="95" w:type="dxa"/>
              <w:bottom w:w="95" w:type="dxa"/>
              <w:end w:w="95" w:type="dxa"/>
            </w:tcMar>
            <w:vAlign w:val="center"/>
          </w:tcPr>
          <w:p>
            <w:pPr>
              <w:spacing w:after="0" w:line="240" w:lineRule="auto"/>
            </w:pPr>
            <w:r>
              <w:rPr>
                <w:rFonts w:ascii="Aptos" w:hAnsi="Aptos"/>
                <w:color w:val="000000"/>
                <w:sz w:val="17"/>
              </w:rPr>
              <w:t>Does every pilot have its required data, governance, skills and security foundations scheduled first?</w:t>
            </w:r>
          </w:p>
        </w:tc>
        <w:tc>
          <w:tcPr>
            <w:tcW w:type="dxa" w:w="3888"/>
            <w:tcMar>
              <w:top w:w="95" w:type="dxa"/>
              <w:start w:w="95" w:type="dxa"/>
              <w:bottom w:w="95" w:type="dxa"/>
              <w:end w:w="95" w:type="dxa"/>
            </w:tcMar>
            <w:vAlign w:val="center"/>
          </w:tcPr>
          <w:p>
            <w:pPr>
              <w:spacing w:after="0" w:line="240" w:lineRule="auto"/>
            </w:pPr>
            <w:r>
              <w:rPr>
                <w:rFonts w:ascii="Aptos" w:hAnsi="Aptos"/>
                <w:color w:val="000000"/>
                <w:sz w:val="17"/>
              </w:rPr>
            </w:r>
          </w:p>
        </w:tc>
      </w:tr>
      <w:tr>
        <w:tc>
          <w:tcPr>
            <w:tcW w:type="dxa" w:w="6048"/>
            <w:tcMar>
              <w:top w:w="95" w:type="dxa"/>
              <w:start w:w="95" w:type="dxa"/>
              <w:bottom w:w="95" w:type="dxa"/>
              <w:end w:w="95" w:type="dxa"/>
            </w:tcMar>
            <w:vAlign w:val="center"/>
            <w:shd w:fill="F3F6F9"/>
          </w:tcPr>
          <w:p>
            <w:pPr>
              <w:spacing w:after="0" w:line="240" w:lineRule="auto"/>
            </w:pPr>
            <w:r>
              <w:rPr>
                <w:rFonts w:ascii="Aptos" w:hAnsi="Aptos"/>
                <w:color w:val="000000"/>
                <w:sz w:val="17"/>
              </w:rPr>
              <w:t>Are recurring costs financed beyond the initial project?</w:t>
            </w:r>
          </w:p>
        </w:tc>
        <w:tc>
          <w:tcPr>
            <w:tcW w:type="dxa" w:w="3888"/>
            <w:tcMar>
              <w:top w:w="95" w:type="dxa"/>
              <w:start w:w="95" w:type="dxa"/>
              <w:bottom w:w="95" w:type="dxa"/>
              <w:end w:w="95" w:type="dxa"/>
            </w:tcMar>
            <w:vAlign w:val="center"/>
            <w:shd w:fill="F3F6F9"/>
          </w:tcPr>
          <w:p>
            <w:pPr>
              <w:spacing w:after="0" w:line="240" w:lineRule="auto"/>
            </w:pPr>
            <w:r>
              <w:rPr>
                <w:rFonts w:ascii="Aptos" w:hAnsi="Aptos"/>
                <w:color w:val="000000"/>
                <w:sz w:val="17"/>
              </w:rPr>
            </w:r>
          </w:p>
        </w:tc>
      </w:tr>
      <w:tr>
        <w:tc>
          <w:tcPr>
            <w:tcW w:type="dxa" w:w="6048"/>
            <w:tcMar>
              <w:top w:w="95" w:type="dxa"/>
              <w:start w:w="95" w:type="dxa"/>
              <w:bottom w:w="95" w:type="dxa"/>
              <w:end w:w="95" w:type="dxa"/>
            </w:tcMar>
            <w:vAlign w:val="center"/>
          </w:tcPr>
          <w:p>
            <w:pPr>
              <w:spacing w:after="0" w:line="240" w:lineRule="auto"/>
            </w:pPr>
            <w:r>
              <w:rPr>
                <w:rFonts w:ascii="Aptos" w:hAnsi="Aptos"/>
                <w:color w:val="000000"/>
                <w:sz w:val="17"/>
              </w:rPr>
              <w:t>Are the same scarce experts assigned to overlapping activities?</w:t>
            </w:r>
          </w:p>
        </w:tc>
        <w:tc>
          <w:tcPr>
            <w:tcW w:type="dxa" w:w="3888"/>
            <w:tcMar>
              <w:top w:w="95" w:type="dxa"/>
              <w:start w:w="95" w:type="dxa"/>
              <w:bottom w:w="95" w:type="dxa"/>
              <w:end w:w="95" w:type="dxa"/>
            </w:tcMar>
            <w:vAlign w:val="center"/>
          </w:tcPr>
          <w:p>
            <w:pPr>
              <w:spacing w:after="0" w:line="240" w:lineRule="auto"/>
            </w:pPr>
            <w:r>
              <w:rPr>
                <w:rFonts w:ascii="Aptos" w:hAnsi="Aptos"/>
                <w:color w:val="000000"/>
                <w:sz w:val="17"/>
              </w:rPr>
            </w:r>
          </w:p>
        </w:tc>
      </w:tr>
      <w:tr>
        <w:tc>
          <w:tcPr>
            <w:tcW w:type="dxa" w:w="6048"/>
            <w:tcMar>
              <w:top w:w="95" w:type="dxa"/>
              <w:start w:w="95" w:type="dxa"/>
              <w:bottom w:w="95" w:type="dxa"/>
              <w:end w:w="95" w:type="dxa"/>
            </w:tcMar>
            <w:vAlign w:val="center"/>
            <w:shd w:fill="F3F6F9"/>
          </w:tcPr>
          <w:p>
            <w:pPr>
              <w:spacing w:after="0" w:line="240" w:lineRule="auto"/>
            </w:pPr>
            <w:r>
              <w:rPr>
                <w:rFonts w:ascii="Aptos" w:hAnsi="Aptos"/>
                <w:color w:val="000000"/>
                <w:sz w:val="17"/>
              </w:rPr>
              <w:t>Are procurement and legal lead times reflected?</w:t>
            </w:r>
          </w:p>
        </w:tc>
        <w:tc>
          <w:tcPr>
            <w:tcW w:type="dxa" w:w="3888"/>
            <w:tcMar>
              <w:top w:w="95" w:type="dxa"/>
              <w:start w:w="95" w:type="dxa"/>
              <w:bottom w:w="95" w:type="dxa"/>
              <w:end w:w="95" w:type="dxa"/>
            </w:tcMar>
            <w:vAlign w:val="center"/>
            <w:shd w:fill="F3F6F9"/>
          </w:tcPr>
          <w:p>
            <w:pPr>
              <w:spacing w:after="0" w:line="240" w:lineRule="auto"/>
            </w:pPr>
            <w:r>
              <w:rPr>
                <w:rFonts w:ascii="Aptos" w:hAnsi="Aptos"/>
                <w:color w:val="000000"/>
                <w:sz w:val="17"/>
              </w:rPr>
            </w:r>
          </w:p>
        </w:tc>
      </w:tr>
      <w:tr>
        <w:tc>
          <w:tcPr>
            <w:tcW w:type="dxa" w:w="6048"/>
            <w:tcMar>
              <w:top w:w="95" w:type="dxa"/>
              <w:start w:w="95" w:type="dxa"/>
              <w:bottom w:w="95" w:type="dxa"/>
              <w:end w:w="95" w:type="dxa"/>
            </w:tcMar>
            <w:vAlign w:val="center"/>
          </w:tcPr>
          <w:p>
            <w:pPr>
              <w:spacing w:after="0" w:line="240" w:lineRule="auto"/>
            </w:pPr>
            <w:r>
              <w:rPr>
                <w:rFonts w:ascii="Aptos" w:hAnsi="Aptos"/>
                <w:color w:val="000000"/>
                <w:sz w:val="17"/>
              </w:rPr>
              <w:t>Does each action have one accountable institution and an acceptance criterion?</w:t>
            </w:r>
          </w:p>
        </w:tc>
        <w:tc>
          <w:tcPr>
            <w:tcW w:type="dxa" w:w="3888"/>
            <w:tcMar>
              <w:top w:w="95" w:type="dxa"/>
              <w:start w:w="95" w:type="dxa"/>
              <w:bottom w:w="95" w:type="dxa"/>
              <w:end w:w="95" w:type="dxa"/>
            </w:tcMar>
            <w:vAlign w:val="center"/>
          </w:tcPr>
          <w:p>
            <w:pPr>
              <w:spacing w:after="0" w:line="240" w:lineRule="auto"/>
            </w:pPr>
            <w:r>
              <w:rPr>
                <w:rFonts w:ascii="Aptos" w:hAnsi="Aptos"/>
                <w:color w:val="000000"/>
                <w:sz w:val="17"/>
              </w:rPr>
            </w:r>
          </w:p>
        </w:tc>
      </w:tr>
    </w:tbl>
    <w:p>
      <w:pPr>
        <w:spacing w:after="20"/>
      </w:pPr>
    </w:p>
    <w:p>
      <w:pPr>
        <w:spacing w:after="40"/>
      </w:pPr>
    </w:p>
    <w:p>
      <w:pPr>
        <w:pStyle w:val="Heading1"/>
      </w:pPr>
      <w:r>
        <w:t>Annex C Costing and financing worksheet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2"/>
        <w:gridCol w:w="1012"/>
        <w:gridCol w:w="1012"/>
        <w:gridCol w:w="1012"/>
        <w:gridCol w:w="1012"/>
        <w:gridCol w:w="1012"/>
        <w:gridCol w:w="1012"/>
        <w:gridCol w:w="1012"/>
        <w:gridCol w:w="1012"/>
        <w:gridCol w:w="1012"/>
      </w:tblGrid>
      <w:tr>
        <w:trPr>
          <w:tblHeader w:val="true"/>
        </w:trPr>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3"/>
              </w:rPr>
              <w:t>Action ID</w:t>
            </w:r>
          </w:p>
        </w:tc>
        <w:tc>
          <w:tcPr>
            <w:tcW w:type="dxa" w:w="1296"/>
            <w:shd w:fill="17365D"/>
            <w:tcMar>
              <w:top w:w="95" w:type="dxa"/>
              <w:start w:w="95" w:type="dxa"/>
              <w:bottom w:w="95" w:type="dxa"/>
              <w:end w:w="95" w:type="dxa"/>
            </w:tcMar>
            <w:vAlign w:val="center"/>
          </w:tcPr>
          <w:p>
            <w:pPr>
              <w:spacing w:after="0"/>
              <w:jc w:val="center"/>
            </w:pPr>
            <w:r>
              <w:rPr>
                <w:rFonts w:ascii="Aptos" w:hAnsi="Aptos"/>
                <w:b/>
                <w:color w:val="FFFFFF"/>
                <w:sz w:val="13"/>
              </w:rPr>
              <w:t>Cost category</w:t>
            </w:r>
          </w:p>
        </w:tc>
        <w:tc>
          <w:tcPr>
            <w:tcW w:type="dxa" w:w="792"/>
            <w:shd w:fill="17365D"/>
            <w:tcMar>
              <w:top w:w="95" w:type="dxa"/>
              <w:start w:w="95" w:type="dxa"/>
              <w:bottom w:w="95" w:type="dxa"/>
              <w:end w:w="95" w:type="dxa"/>
            </w:tcMar>
            <w:vAlign w:val="center"/>
          </w:tcPr>
          <w:p>
            <w:pPr>
              <w:spacing w:after="0"/>
              <w:jc w:val="center"/>
            </w:pPr>
            <w:r>
              <w:rPr>
                <w:rFonts w:ascii="Aptos" w:hAnsi="Aptos"/>
                <w:b/>
                <w:color w:val="FFFFFF"/>
                <w:sz w:val="13"/>
              </w:rPr>
              <w:t>Unit</w:t>
            </w:r>
          </w:p>
        </w:tc>
        <w:tc>
          <w:tcPr>
            <w:tcW w:type="dxa" w:w="792"/>
            <w:shd w:fill="17365D"/>
            <w:tcMar>
              <w:top w:w="95" w:type="dxa"/>
              <w:start w:w="95" w:type="dxa"/>
              <w:bottom w:w="95" w:type="dxa"/>
              <w:end w:w="95" w:type="dxa"/>
            </w:tcMar>
            <w:vAlign w:val="center"/>
          </w:tcPr>
          <w:p>
            <w:pPr>
              <w:spacing w:after="0"/>
              <w:jc w:val="center"/>
            </w:pPr>
            <w:r>
              <w:rPr>
                <w:rFonts w:ascii="Aptos" w:hAnsi="Aptos"/>
                <w:b/>
                <w:color w:val="FFFFFF"/>
                <w:sz w:val="13"/>
              </w:rPr>
              <w:t>Quantity</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3"/>
              </w:rPr>
              <w:t>Unit cost</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3"/>
              </w:rPr>
              <w:t>One-time cost</w:t>
            </w:r>
          </w:p>
        </w:tc>
        <w:tc>
          <w:tcPr>
            <w:tcW w:type="dxa" w:w="1224"/>
            <w:shd w:fill="17365D"/>
            <w:tcMar>
              <w:top w:w="95" w:type="dxa"/>
              <w:start w:w="95" w:type="dxa"/>
              <w:bottom w:w="95" w:type="dxa"/>
              <w:end w:w="95" w:type="dxa"/>
            </w:tcMar>
            <w:vAlign w:val="center"/>
          </w:tcPr>
          <w:p>
            <w:pPr>
              <w:spacing w:after="0"/>
              <w:jc w:val="center"/>
            </w:pPr>
            <w:r>
              <w:rPr>
                <w:rFonts w:ascii="Aptos" w:hAnsi="Aptos"/>
                <w:b/>
                <w:color w:val="FFFFFF"/>
                <w:sz w:val="13"/>
              </w:rPr>
              <w:t>Annual recurring cost</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3"/>
              </w:rPr>
              <w:t>Currency and price year</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3"/>
              </w:rPr>
              <w:t>Funding source</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3"/>
              </w:rPr>
              <w:t>Status</w:t>
            </w:r>
          </w:p>
        </w:tc>
      </w:tr>
      <w:tr>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bl>
    <w:p>
      <w:pPr>
        <w:spacing w:after="20"/>
      </w:pPr>
    </w:p>
    <w:p>
      <w:pPr>
        <w:pStyle w:val="Heading2"/>
      </w:pPr>
      <w:r>
        <w:t>Financing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7"/>
        <w:gridCol w:w="1687"/>
        <w:gridCol w:w="1687"/>
        <w:gridCol w:w="1687"/>
        <w:gridCol w:w="1687"/>
        <w:gridCol w:w="1687"/>
      </w:tblGrid>
      <w:tr>
        <w:trPr>
          <w:tblHeader w:val="true"/>
        </w:trPr>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Financing category</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6"/>
              </w:rPr>
              <w:t>Year 1</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6"/>
              </w:rPr>
              <w:t>Year 2</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6"/>
              </w:rPr>
              <w:t>Year 3</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6"/>
              </w:rPr>
              <w:t>Total</w:t>
            </w:r>
          </w:p>
        </w:tc>
        <w:tc>
          <w:tcPr>
            <w:tcW w:type="dxa" w:w="1296"/>
            <w:shd w:fill="17365D"/>
            <w:tcMar>
              <w:top w:w="95" w:type="dxa"/>
              <w:start w:w="95" w:type="dxa"/>
              <w:bottom w:w="95" w:type="dxa"/>
              <w:end w:w="95" w:type="dxa"/>
            </w:tcMar>
            <w:vAlign w:val="center"/>
          </w:tcPr>
          <w:p>
            <w:pPr>
              <w:spacing w:after="0"/>
              <w:jc w:val="center"/>
            </w:pPr>
            <w:r>
              <w:rPr>
                <w:rFonts w:ascii="Aptos" w:hAnsi="Aptos"/>
                <w:b/>
                <w:color w:val="FFFFFF"/>
                <w:sz w:val="16"/>
              </w:rPr>
              <w:t>Share secured</w:t>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National recurrent budget</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National development budget</w:t>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Sector budgets</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Development partner grant</w:t>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Loan or investment financing</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In-kind technical support</w:t>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Unfunded requirement</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296"/>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spacing w:after="40"/>
      </w:pPr>
    </w:p>
    <w:p>
      <w:pPr>
        <w:pStyle w:val="Heading1"/>
      </w:pPr>
      <w:r>
        <w:t>Annex D Results framework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5"/>
        <w:gridCol w:w="1125"/>
        <w:gridCol w:w="1125"/>
        <w:gridCol w:w="1125"/>
        <w:gridCol w:w="1125"/>
        <w:gridCol w:w="1125"/>
        <w:gridCol w:w="1125"/>
        <w:gridCol w:w="1125"/>
        <w:gridCol w:w="1125"/>
      </w:tblGrid>
      <w:tr>
        <w:trPr>
          <w:tblHeader w:val="true"/>
        </w:trPr>
        <w:tc>
          <w:tcPr>
            <w:tcW w:type="dxa" w:w="1656"/>
            <w:shd w:fill="17365D"/>
            <w:tcMar>
              <w:top w:w="95" w:type="dxa"/>
              <w:start w:w="95" w:type="dxa"/>
              <w:bottom w:w="95" w:type="dxa"/>
              <w:end w:w="95" w:type="dxa"/>
            </w:tcMar>
            <w:vAlign w:val="center"/>
          </w:tcPr>
          <w:p>
            <w:pPr>
              <w:spacing w:after="0"/>
              <w:jc w:val="center"/>
            </w:pPr>
            <w:r>
              <w:rPr>
                <w:rFonts w:ascii="Aptos" w:hAnsi="Aptos"/>
                <w:b/>
                <w:color w:val="FFFFFF"/>
                <w:sz w:val="13"/>
              </w:rPr>
              <w:t>Result statement</w:t>
            </w:r>
          </w:p>
        </w:tc>
        <w:tc>
          <w:tcPr>
            <w:tcW w:type="dxa" w:w="1656"/>
            <w:shd w:fill="17365D"/>
            <w:tcMar>
              <w:top w:w="95" w:type="dxa"/>
              <w:start w:w="95" w:type="dxa"/>
              <w:bottom w:w="95" w:type="dxa"/>
              <w:end w:w="95" w:type="dxa"/>
            </w:tcMar>
            <w:vAlign w:val="center"/>
          </w:tcPr>
          <w:p>
            <w:pPr>
              <w:spacing w:after="0"/>
              <w:jc w:val="center"/>
            </w:pPr>
            <w:r>
              <w:rPr>
                <w:rFonts w:ascii="Aptos" w:hAnsi="Aptos"/>
                <w:b/>
                <w:color w:val="FFFFFF"/>
                <w:sz w:val="13"/>
              </w:rPr>
              <w:t>Indicator definition</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3"/>
              </w:rPr>
              <w:t>Disaggregation</w:t>
            </w:r>
          </w:p>
        </w:tc>
        <w:tc>
          <w:tcPr>
            <w:tcW w:type="dxa" w:w="1224"/>
            <w:shd w:fill="17365D"/>
            <w:tcMar>
              <w:top w:w="95" w:type="dxa"/>
              <w:start w:w="95" w:type="dxa"/>
              <w:bottom w:w="95" w:type="dxa"/>
              <w:end w:w="95" w:type="dxa"/>
            </w:tcMar>
            <w:vAlign w:val="center"/>
          </w:tcPr>
          <w:p>
            <w:pPr>
              <w:spacing w:after="0"/>
              <w:jc w:val="center"/>
            </w:pPr>
            <w:r>
              <w:rPr>
                <w:rFonts w:ascii="Aptos" w:hAnsi="Aptos"/>
                <w:b/>
                <w:color w:val="FFFFFF"/>
                <w:sz w:val="13"/>
              </w:rPr>
              <w:t>Baseline and date</w:t>
            </w:r>
          </w:p>
        </w:tc>
        <w:tc>
          <w:tcPr>
            <w:tcW w:type="dxa" w:w="1224"/>
            <w:shd w:fill="17365D"/>
            <w:tcMar>
              <w:top w:w="95" w:type="dxa"/>
              <w:start w:w="95" w:type="dxa"/>
              <w:bottom w:w="95" w:type="dxa"/>
              <w:end w:w="95" w:type="dxa"/>
            </w:tcMar>
            <w:vAlign w:val="center"/>
          </w:tcPr>
          <w:p>
            <w:pPr>
              <w:spacing w:after="0"/>
              <w:jc w:val="center"/>
            </w:pPr>
            <w:r>
              <w:rPr>
                <w:rFonts w:ascii="Aptos" w:hAnsi="Aptos"/>
                <w:b/>
                <w:color w:val="FFFFFF"/>
                <w:sz w:val="13"/>
              </w:rPr>
              <w:t>Target and date</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3"/>
              </w:rPr>
              <w:t>Data source</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3"/>
              </w:rPr>
              <w:t>Frequency</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3"/>
              </w:rPr>
              <w:t>Owner</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3"/>
              </w:rPr>
              <w:t>Assumptions</w:t>
            </w:r>
          </w:p>
        </w:tc>
      </w:tr>
      <w:tr>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65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22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bl>
    <w:p>
      <w:pPr>
        <w:spacing w:after="20"/>
      </w:pPr>
    </w:p>
    <w:p>
      <w:pPr>
        <w:pStyle w:val="Heading2"/>
      </w:pPr>
      <w:r>
        <w:t>Evaluation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2531"/>
        <w:gridCol w:w="2531"/>
        <w:gridCol w:w="2531"/>
      </w:tblGrid>
      <w:tr>
        <w:trPr>
          <w:tblHeader w:val="true"/>
        </w:trPr>
        <w:tc>
          <w:tcPr>
            <w:tcW w:type="dxa" w:w="3744"/>
            <w:shd w:fill="17365D"/>
            <w:tcMar>
              <w:top w:w="95" w:type="dxa"/>
              <w:start w:w="95" w:type="dxa"/>
              <w:bottom w:w="95" w:type="dxa"/>
              <w:end w:w="95" w:type="dxa"/>
            </w:tcMar>
            <w:vAlign w:val="center"/>
          </w:tcPr>
          <w:p>
            <w:pPr>
              <w:spacing w:after="0"/>
              <w:jc w:val="center"/>
            </w:pPr>
            <w:r>
              <w:rPr>
                <w:rFonts w:ascii="Aptos" w:hAnsi="Aptos"/>
                <w:b/>
                <w:color w:val="FFFFFF"/>
                <w:sz w:val="16"/>
              </w:rPr>
              <w:t>Question</w:t>
            </w:r>
          </w:p>
        </w:tc>
        <w:tc>
          <w:tcPr>
            <w:tcW w:type="dxa" w:w="3456"/>
            <w:shd w:fill="17365D"/>
            <w:tcMar>
              <w:top w:w="95" w:type="dxa"/>
              <w:start w:w="95" w:type="dxa"/>
              <w:bottom w:w="95" w:type="dxa"/>
              <w:end w:w="95" w:type="dxa"/>
            </w:tcMar>
            <w:vAlign w:val="center"/>
          </w:tcPr>
          <w:p>
            <w:pPr>
              <w:spacing w:after="0"/>
              <w:jc w:val="center"/>
            </w:pPr>
            <w:r>
              <w:rPr>
                <w:rFonts w:ascii="Aptos" w:hAnsi="Aptos"/>
                <w:b/>
                <w:color w:val="FFFFFF"/>
                <w:sz w:val="16"/>
              </w:rPr>
              <w:t>Method and evidence</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6"/>
              </w:rPr>
              <w:t>Timing</w:t>
            </w:r>
          </w:p>
        </w:tc>
        <w:tc>
          <w:tcPr>
            <w:tcW w:type="dxa" w:w="1584"/>
            <w:shd w:fill="17365D"/>
            <w:tcMar>
              <w:top w:w="95" w:type="dxa"/>
              <w:start w:w="95" w:type="dxa"/>
              <w:bottom w:w="95" w:type="dxa"/>
              <w:end w:w="95" w:type="dxa"/>
            </w:tcMar>
            <w:vAlign w:val="center"/>
          </w:tcPr>
          <w:p>
            <w:pPr>
              <w:spacing w:after="0"/>
              <w:jc w:val="center"/>
            </w:pPr>
            <w:r>
              <w:rPr>
                <w:rFonts w:ascii="Aptos" w:hAnsi="Aptos"/>
                <w:b/>
                <w:color w:val="FFFFFF"/>
                <w:sz w:val="16"/>
              </w:rPr>
              <w:t>Responsible reviewer</w:t>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Did the programme improve the quality, timeliness or relevance of priority official statistics?</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t>Did institutions acquire and retain the required capability?</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Were confidentiality, integrity and public trust protected?</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t>Were costs and benefits distributed fairly across the national statistical system?</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Which uses should scale, change or stop?</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6"/>
              </w:rPr>
            </w:r>
          </w:p>
        </w:tc>
        <w:tc>
          <w:tcPr>
            <w:tcW w:type="dxa" w:w="1584"/>
            <w:tcMar>
              <w:top w:w="95" w:type="dxa"/>
              <w:start w:w="95" w:type="dxa"/>
              <w:bottom w:w="95" w:type="dxa"/>
              <w:end w:w="95" w:type="dxa"/>
            </w:tcMar>
            <w:vAlign w:val="center"/>
          </w:tcPr>
          <w:p>
            <w:pPr>
              <w:spacing w:after="0" w:line="240" w:lineRule="auto"/>
            </w:pPr>
            <w:r>
              <w:rPr>
                <w:rFonts w:ascii="Aptos" w:hAnsi="Aptos"/>
                <w:color w:val="000000"/>
                <w:sz w:val="16"/>
              </w:rPr>
            </w:r>
          </w:p>
        </w:tc>
      </w:tr>
    </w:tbl>
    <w:p>
      <w:pPr>
        <w:spacing w:after="20"/>
      </w:pPr>
    </w:p>
    <w:p>
      <w:pPr>
        <w:spacing w:after="40"/>
      </w:pPr>
    </w:p>
    <w:p>
      <w:pPr>
        <w:pStyle w:val="Heading1"/>
      </w:pPr>
      <w:r>
        <w:t>Annex E Risk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2"/>
        <w:gridCol w:w="1012"/>
        <w:gridCol w:w="1012"/>
        <w:gridCol w:w="1012"/>
        <w:gridCol w:w="1012"/>
        <w:gridCol w:w="1012"/>
        <w:gridCol w:w="1012"/>
        <w:gridCol w:w="1012"/>
        <w:gridCol w:w="1012"/>
        <w:gridCol w:w="1012"/>
      </w:tblGrid>
      <w:tr>
        <w:trPr>
          <w:tblHeader w:val="true"/>
        </w:trPr>
        <w:tc>
          <w:tcPr>
            <w:tcW w:type="dxa" w:w="792"/>
            <w:shd w:fill="17365D"/>
            <w:tcMar>
              <w:top w:w="95" w:type="dxa"/>
              <w:start w:w="95" w:type="dxa"/>
              <w:bottom w:w="95" w:type="dxa"/>
              <w:end w:w="95" w:type="dxa"/>
            </w:tcMar>
            <w:vAlign w:val="center"/>
          </w:tcPr>
          <w:p>
            <w:pPr>
              <w:spacing w:after="0"/>
              <w:jc w:val="center"/>
            </w:pPr>
            <w:r>
              <w:rPr>
                <w:rFonts w:ascii="Aptos" w:hAnsi="Aptos"/>
                <w:b/>
                <w:color w:val="FFFFFF"/>
                <w:sz w:val="13"/>
              </w:rPr>
              <w:t>Risk ID</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3"/>
              </w:rPr>
              <w:t>Risk statement and cause</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3"/>
              </w:rPr>
              <w:t>Likelihood</w:t>
            </w:r>
          </w:p>
        </w:tc>
        <w:tc>
          <w:tcPr>
            <w:tcW w:type="dxa" w:w="792"/>
            <w:shd w:fill="17365D"/>
            <w:tcMar>
              <w:top w:w="95" w:type="dxa"/>
              <w:start w:w="95" w:type="dxa"/>
              <w:bottom w:w="95" w:type="dxa"/>
              <w:end w:w="95" w:type="dxa"/>
            </w:tcMar>
            <w:vAlign w:val="center"/>
          </w:tcPr>
          <w:p>
            <w:pPr>
              <w:spacing w:after="0"/>
              <w:jc w:val="center"/>
            </w:pPr>
            <w:r>
              <w:rPr>
                <w:rFonts w:ascii="Aptos" w:hAnsi="Aptos"/>
                <w:b/>
                <w:color w:val="FFFFFF"/>
                <w:sz w:val="13"/>
              </w:rPr>
              <w:t>Impact</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3"/>
              </w:rPr>
              <w:t>Current controls</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3"/>
              </w:rPr>
              <w:t>Residual rating</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3"/>
              </w:rPr>
              <w:t>Action</w:t>
            </w:r>
          </w:p>
        </w:tc>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3"/>
              </w:rPr>
              <w:t>Owner</w:t>
            </w:r>
          </w:p>
        </w:tc>
        <w:tc>
          <w:tcPr>
            <w:tcW w:type="dxa" w:w="1080"/>
            <w:shd w:fill="17365D"/>
            <w:tcMar>
              <w:top w:w="95" w:type="dxa"/>
              <w:start w:w="95" w:type="dxa"/>
              <w:bottom w:w="95" w:type="dxa"/>
              <w:end w:w="95" w:type="dxa"/>
            </w:tcMar>
            <w:vAlign w:val="center"/>
          </w:tcPr>
          <w:p>
            <w:pPr>
              <w:spacing w:after="0"/>
              <w:jc w:val="center"/>
            </w:pPr>
            <w:r>
              <w:rPr>
                <w:rFonts w:ascii="Aptos" w:hAnsi="Aptos"/>
                <w:b/>
                <w:color w:val="FFFFFF"/>
                <w:sz w:val="13"/>
              </w:rPr>
              <w:t>Review date</w:t>
            </w:r>
          </w:p>
        </w:tc>
        <w:tc>
          <w:tcPr>
            <w:tcW w:type="dxa" w:w="936"/>
            <w:shd w:fill="17365D"/>
            <w:tcMar>
              <w:top w:w="95" w:type="dxa"/>
              <w:start w:w="95" w:type="dxa"/>
              <w:bottom w:w="95" w:type="dxa"/>
              <w:end w:w="95" w:type="dxa"/>
            </w:tcMar>
            <w:vAlign w:val="center"/>
          </w:tcPr>
          <w:p>
            <w:pPr>
              <w:spacing w:after="0"/>
              <w:jc w:val="center"/>
            </w:pPr>
            <w:r>
              <w:rPr>
                <w:rFonts w:ascii="Aptos" w:hAnsi="Aptos"/>
                <w:b/>
                <w:color w:val="FFFFFF"/>
                <w:sz w:val="13"/>
              </w:rPr>
              <w:t>Status</w:t>
            </w:r>
          </w:p>
        </w:tc>
      </w:tr>
      <w:tr>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tcPr>
          <w:p>
            <w:pPr>
              <w:spacing w:after="0" w:line="240" w:lineRule="auto"/>
            </w:pPr>
            <w:r>
              <w:rPr>
                <w:rFonts w:ascii="Aptos" w:hAnsi="Aptos"/>
                <w:color w:val="000000"/>
                <w:sz w:val="13"/>
              </w:rPr>
            </w:r>
          </w:p>
        </w:tc>
      </w:tr>
      <w:tr>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792"/>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1080"/>
            <w:tcMar>
              <w:top w:w="95" w:type="dxa"/>
              <w:start w:w="95" w:type="dxa"/>
              <w:bottom w:w="95" w:type="dxa"/>
              <w:end w:w="95" w:type="dxa"/>
            </w:tcMar>
            <w:vAlign w:val="center"/>
            <w:shd w:fill="F3F6F9"/>
          </w:tcPr>
          <w:p>
            <w:pPr>
              <w:spacing w:after="0" w:line="240" w:lineRule="auto"/>
            </w:pPr>
            <w:r>
              <w:rPr>
                <w:rFonts w:ascii="Aptos" w:hAnsi="Aptos"/>
                <w:color w:val="000000"/>
                <w:sz w:val="13"/>
              </w:rPr>
            </w:r>
          </w:p>
        </w:tc>
        <w:tc>
          <w:tcPr>
            <w:tcW w:type="dxa" w:w="936"/>
            <w:tcMar>
              <w:top w:w="95" w:type="dxa"/>
              <w:start w:w="95" w:type="dxa"/>
              <w:bottom w:w="95" w:type="dxa"/>
              <w:end w:w="95" w:type="dxa"/>
            </w:tcMar>
            <w:vAlign w:val="center"/>
            <w:shd w:fill="F3F6F9"/>
          </w:tcPr>
          <w:p>
            <w:pPr>
              <w:spacing w:after="0" w:line="240" w:lineRule="auto"/>
            </w:pPr>
            <w:r>
              <w:rPr>
                <w:rFonts w:ascii="Aptos" w:hAnsi="Aptos"/>
                <w:color w:val="000000"/>
                <w:sz w:val="13"/>
              </w:rPr>
            </w:r>
          </w:p>
        </w:tc>
      </w:tr>
    </w:tbl>
    <w:p>
      <w:pPr>
        <w:spacing w:after="20"/>
      </w:pPr>
    </w:p>
    <w:p>
      <w:pPr>
        <w:pStyle w:val="Heading2"/>
      </w:pPr>
      <w:r>
        <w:t>Risk acceptance</w:t>
      </w:r>
    </w:p>
    <w:p>
      <w:r>
        <w:t>A risk may be accepted only by the authority with the mandate to bear its consequences. Statistical, legal, privacy and security objections must be recorded separately; they are not replaced by an average risk score.</w:t>
      </w:r>
    </w:p>
    <w:p>
      <w:pPr>
        <w:spacing w:after="40"/>
      </w:pPr>
    </w:p>
    <w:p>
      <w:pPr>
        <w:pStyle w:val="Heading1"/>
      </w:pPr>
      <w:r>
        <w:t>Annex F Annual review and decision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61"/>
        <w:gridCol w:w="5061"/>
      </w:tblGrid>
      <w:tr>
        <w:trPr>
          <w:tblHeader w:val="true"/>
        </w:trPr>
        <w:tc>
          <w:tcPr>
            <w:tcW w:type="dxa" w:w="4176"/>
            <w:shd w:fill="17365D"/>
            <w:tcMar>
              <w:top w:w="95" w:type="dxa"/>
              <w:start w:w="95" w:type="dxa"/>
              <w:bottom w:w="95" w:type="dxa"/>
              <w:end w:w="95" w:type="dxa"/>
            </w:tcMar>
            <w:vAlign w:val="center"/>
          </w:tcPr>
          <w:p>
            <w:pPr>
              <w:spacing w:after="0"/>
              <w:jc w:val="center"/>
            </w:pPr>
            <w:r>
              <w:rPr>
                <w:rFonts w:ascii="Aptos" w:hAnsi="Aptos"/>
                <w:b/>
                <w:color w:val="FFFFFF"/>
                <w:sz w:val="16"/>
              </w:rPr>
              <w:t>Review field</w:t>
            </w:r>
          </w:p>
        </w:tc>
        <w:tc>
          <w:tcPr>
            <w:tcW w:type="dxa" w:w="5760"/>
            <w:shd w:fill="17365D"/>
            <w:tcMar>
              <w:top w:w="95" w:type="dxa"/>
              <w:start w:w="95" w:type="dxa"/>
              <w:bottom w:w="95" w:type="dxa"/>
              <w:end w:w="95" w:type="dxa"/>
            </w:tcMar>
            <w:vAlign w:val="center"/>
          </w:tcPr>
          <w:p>
            <w:pPr>
              <w:spacing w:after="0"/>
              <w:jc w:val="center"/>
            </w:pPr>
            <w:r>
              <w:rPr>
                <w:rFonts w:ascii="Aptos" w:hAnsi="Aptos"/>
                <w:b/>
                <w:color w:val="FFFFFF"/>
                <w:sz w:val="16"/>
              </w:rPr>
              <w:t>Annual finding</w:t>
            </w:r>
          </w:p>
        </w:tc>
      </w:tr>
      <w:tr>
        <w:tc>
          <w:tcPr>
            <w:tcW w:type="dxa" w:w="4176"/>
            <w:tcMar>
              <w:top w:w="95" w:type="dxa"/>
              <w:start w:w="95" w:type="dxa"/>
              <w:bottom w:w="95" w:type="dxa"/>
              <w:end w:w="95" w:type="dxa"/>
            </w:tcMar>
            <w:vAlign w:val="center"/>
          </w:tcPr>
          <w:p>
            <w:pPr>
              <w:spacing w:after="0" w:line="240" w:lineRule="auto"/>
            </w:pPr>
            <w:r>
              <w:rPr>
                <w:rFonts w:ascii="Aptos" w:hAnsi="Aptos"/>
                <w:color w:val="000000"/>
                <w:sz w:val="16"/>
              </w:rPr>
              <w:t>Review year and reporting period</w:t>
            </w:r>
          </w:p>
        </w:tc>
        <w:tc>
          <w:tcPr>
            <w:tcW w:type="dxa" w:w="57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6"/>
              </w:rPr>
              <w:t>Major changes in policy information needs or technology</w:t>
            </w:r>
          </w:p>
        </w:tc>
        <w:tc>
          <w:tcPr>
            <w:tcW w:type="dxa" w:w="57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tcPr>
          <w:p>
            <w:pPr>
              <w:spacing w:after="0" w:line="240" w:lineRule="auto"/>
            </w:pPr>
            <w:r>
              <w:rPr>
                <w:rFonts w:ascii="Aptos" w:hAnsi="Aptos"/>
                <w:color w:val="000000"/>
                <w:sz w:val="16"/>
              </w:rPr>
              <w:t>Progress against actions and indicators</w:t>
            </w:r>
          </w:p>
        </w:tc>
        <w:tc>
          <w:tcPr>
            <w:tcW w:type="dxa" w:w="57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6"/>
              </w:rPr>
              <w:t>Pilot and production-use decisions</w:t>
            </w:r>
          </w:p>
        </w:tc>
        <w:tc>
          <w:tcPr>
            <w:tcW w:type="dxa" w:w="57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tcPr>
          <w:p>
            <w:pPr>
              <w:spacing w:after="0" w:line="240" w:lineRule="auto"/>
            </w:pPr>
            <w:r>
              <w:rPr>
                <w:rFonts w:ascii="Aptos" w:hAnsi="Aptos"/>
                <w:color w:val="000000"/>
                <w:sz w:val="16"/>
              </w:rPr>
              <w:t>Data-quality and interoperability progress</w:t>
            </w:r>
          </w:p>
        </w:tc>
        <w:tc>
          <w:tcPr>
            <w:tcW w:type="dxa" w:w="57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6"/>
              </w:rPr>
              <w:t>Capability and staffing changes</w:t>
            </w:r>
          </w:p>
        </w:tc>
        <w:tc>
          <w:tcPr>
            <w:tcW w:type="dxa" w:w="57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tcPr>
          <w:p>
            <w:pPr>
              <w:spacing w:after="0" w:line="240" w:lineRule="auto"/>
            </w:pPr>
            <w:r>
              <w:rPr>
                <w:rFonts w:ascii="Aptos" w:hAnsi="Aptos"/>
                <w:color w:val="000000"/>
                <w:sz w:val="16"/>
              </w:rPr>
              <w:t>Incidents complaints and corrective actions</w:t>
            </w:r>
          </w:p>
        </w:tc>
        <w:tc>
          <w:tcPr>
            <w:tcW w:type="dxa" w:w="57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6"/>
              </w:rPr>
              <w:t>Actual costs financing and sustainability</w:t>
            </w:r>
          </w:p>
        </w:tc>
        <w:tc>
          <w:tcPr>
            <w:tcW w:type="dxa" w:w="57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tcPr>
          <w:p>
            <w:pPr>
              <w:spacing w:after="0" w:line="240" w:lineRule="auto"/>
            </w:pPr>
            <w:r>
              <w:rPr>
                <w:rFonts w:ascii="Aptos" w:hAnsi="Aptos"/>
                <w:color w:val="000000"/>
                <w:sz w:val="16"/>
              </w:rPr>
              <w:t>Risks requiring escalation</w:t>
            </w:r>
          </w:p>
        </w:tc>
        <w:tc>
          <w:tcPr>
            <w:tcW w:type="dxa" w:w="5760"/>
            <w:tcMar>
              <w:top w:w="95" w:type="dxa"/>
              <w:start w:w="95" w:type="dxa"/>
              <w:bottom w:w="95" w:type="dxa"/>
              <w:end w:w="95" w:type="dxa"/>
            </w:tcMar>
            <w:vAlign w:val="center"/>
          </w:tcPr>
          <w:p>
            <w:pPr>
              <w:spacing w:after="0" w:line="240" w:lineRule="auto"/>
            </w:pPr>
            <w:r>
              <w:rPr>
                <w:rFonts w:ascii="Aptos" w:hAnsi="Aptos"/>
                <w:color w:val="000000"/>
                <w:sz w:val="16"/>
              </w:rPr>
            </w:r>
          </w:p>
        </w:tc>
      </w:tr>
      <w:tr>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6"/>
              </w:rPr>
              <w:t>Actions to add revise defer or close</w:t>
            </w:r>
          </w:p>
        </w:tc>
        <w:tc>
          <w:tcPr>
            <w:tcW w:type="dxa" w:w="5760"/>
            <w:tcMar>
              <w:top w:w="95" w:type="dxa"/>
              <w:start w:w="95" w:type="dxa"/>
              <w:bottom w:w="95" w:type="dxa"/>
              <w:end w:w="95" w:type="dxa"/>
            </w:tcMar>
            <w:vAlign w:val="center"/>
            <w:shd w:fill="F3F6F9"/>
          </w:tcPr>
          <w:p>
            <w:pPr>
              <w:spacing w:after="0" w:line="240" w:lineRule="auto"/>
            </w:pPr>
            <w:r>
              <w:rPr>
                <w:rFonts w:ascii="Aptos" w:hAnsi="Aptos"/>
                <w:color w:val="000000"/>
                <w:sz w:val="16"/>
              </w:rPr>
            </w:r>
          </w:p>
        </w:tc>
      </w:tr>
    </w:tbl>
    <w:p>
      <w:pPr>
        <w:spacing w:after="20"/>
      </w:pPr>
    </w:p>
    <w:p>
      <w:pPr>
        <w:pStyle w:val="Heading2"/>
      </w:pPr>
      <w:r>
        <w:t>Annual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2025"/>
        <w:gridCol w:w="2025"/>
        <w:gridCol w:w="2025"/>
        <w:gridCol w:w="2025"/>
      </w:tblGrid>
      <w:tr>
        <w:trPr>
          <w:tblHeader w:val="true"/>
        </w:trPr>
        <w:tc>
          <w:tcPr>
            <w:tcW w:type="dxa" w:w="3456"/>
            <w:shd w:fill="17365D"/>
            <w:tcMar>
              <w:top w:w="95" w:type="dxa"/>
              <w:start w:w="95" w:type="dxa"/>
              <w:bottom w:w="95" w:type="dxa"/>
              <w:end w:w="95" w:type="dxa"/>
            </w:tcMar>
            <w:vAlign w:val="center"/>
          </w:tcPr>
          <w:p>
            <w:pPr>
              <w:spacing w:after="0"/>
              <w:jc w:val="center"/>
            </w:pPr>
            <w:r>
              <w:rPr>
                <w:rFonts w:ascii="Aptos" w:hAnsi="Aptos"/>
                <w:b/>
                <w:color w:val="FFFFFF"/>
                <w:sz w:val="14"/>
              </w:rPr>
              <w:t>Decision</w:t>
            </w:r>
          </w:p>
        </w:tc>
        <w:tc>
          <w:tcPr>
            <w:tcW w:type="dxa" w:w="1944"/>
            <w:shd w:fill="17365D"/>
            <w:tcMar>
              <w:top w:w="95" w:type="dxa"/>
              <w:start w:w="95" w:type="dxa"/>
              <w:bottom w:w="95" w:type="dxa"/>
              <w:end w:w="95" w:type="dxa"/>
            </w:tcMar>
            <w:vAlign w:val="center"/>
          </w:tcPr>
          <w:p>
            <w:pPr>
              <w:spacing w:after="0"/>
              <w:jc w:val="center"/>
            </w:pPr>
            <w:r>
              <w:rPr>
                <w:rFonts w:ascii="Aptos" w:hAnsi="Aptos"/>
                <w:b/>
                <w:color w:val="FFFFFF"/>
                <w:sz w:val="14"/>
              </w:rPr>
              <w:t>Authority</w:t>
            </w:r>
          </w:p>
        </w:tc>
        <w:tc>
          <w:tcPr>
            <w:tcW w:type="dxa" w:w="2520"/>
            <w:shd w:fill="17365D"/>
            <w:tcMar>
              <w:top w:w="95" w:type="dxa"/>
              <w:start w:w="95" w:type="dxa"/>
              <w:bottom w:w="95" w:type="dxa"/>
              <w:end w:w="95" w:type="dxa"/>
            </w:tcMar>
            <w:vAlign w:val="center"/>
          </w:tcPr>
          <w:p>
            <w:pPr>
              <w:spacing w:after="0"/>
              <w:jc w:val="center"/>
            </w:pPr>
            <w:r>
              <w:rPr>
                <w:rFonts w:ascii="Aptos" w:hAnsi="Aptos"/>
                <w:b/>
                <w:color w:val="FFFFFF"/>
                <w:sz w:val="14"/>
              </w:rPr>
              <w:t>Conditions</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Due date</w:t>
            </w:r>
          </w:p>
        </w:tc>
        <w:tc>
          <w:tcPr>
            <w:tcW w:type="dxa" w:w="1152"/>
            <w:shd w:fill="17365D"/>
            <w:tcMar>
              <w:top w:w="95" w:type="dxa"/>
              <w:start w:w="95" w:type="dxa"/>
              <w:bottom w:w="95" w:type="dxa"/>
              <w:end w:w="95" w:type="dxa"/>
            </w:tcMar>
            <w:vAlign w:val="center"/>
          </w:tcPr>
          <w:p>
            <w:pPr>
              <w:spacing w:after="0"/>
              <w:jc w:val="center"/>
            </w:pPr>
            <w:r>
              <w:rPr>
                <w:rFonts w:ascii="Aptos" w:hAnsi="Aptos"/>
                <w:b/>
                <w:color w:val="FFFFFF"/>
                <w:sz w:val="14"/>
              </w:rPr>
              <w:t>Recorded approval</w:t>
            </w:r>
          </w:p>
        </w:tc>
      </w:tr>
      <w:tr>
        <w:tc>
          <w:tcPr>
            <w:tcW w:type="dxa" w:w="3456"/>
            <w:tcMar>
              <w:top w:w="95" w:type="dxa"/>
              <w:start w:w="95" w:type="dxa"/>
              <w:bottom w:w="95" w:type="dxa"/>
              <w:end w:w="95" w:type="dxa"/>
            </w:tcMar>
            <w:vAlign w:val="center"/>
          </w:tcPr>
          <w:p>
            <w:pPr>
              <w:spacing w:after="0" w:line="240" w:lineRule="auto"/>
            </w:pPr>
            <w:r>
              <w:rPr>
                <w:rFonts w:ascii="Aptos" w:hAnsi="Aptos"/>
                <w:color w:val="000000"/>
                <w:sz w:val="14"/>
              </w:rPr>
              <w:t>Continue the action plan without material change</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r>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4"/>
              </w:rPr>
              <w:t>Approve specified revisions</w:t>
            </w:r>
          </w:p>
        </w:tc>
        <w:tc>
          <w:tcPr>
            <w:tcW w:type="dxa" w:w="1944"/>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shd w:fill="F3F6F9"/>
          </w:tcPr>
          <w:p>
            <w:pPr>
              <w:spacing w:after="0" w:line="240" w:lineRule="auto"/>
            </w:pPr>
            <w:r>
              <w:rPr>
                <w:rFonts w:ascii="Aptos" w:hAnsi="Aptos"/>
                <w:color w:val="000000"/>
                <w:sz w:val="14"/>
              </w:rPr>
            </w:r>
          </w:p>
        </w:tc>
      </w:tr>
      <w:tr>
        <w:tc>
          <w:tcPr>
            <w:tcW w:type="dxa" w:w="3456"/>
            <w:tcMar>
              <w:top w:w="95" w:type="dxa"/>
              <w:start w:w="95" w:type="dxa"/>
              <w:bottom w:w="95" w:type="dxa"/>
              <w:end w:w="95" w:type="dxa"/>
            </w:tcMar>
            <w:vAlign w:val="center"/>
          </w:tcPr>
          <w:p>
            <w:pPr>
              <w:spacing w:after="0" w:line="240" w:lineRule="auto"/>
            </w:pPr>
            <w:r>
              <w:rPr>
                <w:rFonts w:ascii="Aptos" w:hAnsi="Aptos"/>
                <w:color w:val="000000"/>
                <w:sz w:val="14"/>
              </w:rPr>
              <w:t>Suspend or close specified uses and commission an independent review where required</w:t>
            </w:r>
          </w:p>
        </w:tc>
        <w:tc>
          <w:tcPr>
            <w:tcW w:type="dxa" w:w="1944"/>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2520"/>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c>
          <w:tcPr>
            <w:tcW w:type="dxa" w:w="1152"/>
            <w:tcMar>
              <w:top w:w="95" w:type="dxa"/>
              <w:start w:w="95" w:type="dxa"/>
              <w:bottom w:w="95" w:type="dxa"/>
              <w:end w:w="95" w:type="dxa"/>
            </w:tcMar>
            <w:vAlign w:val="center"/>
          </w:tcPr>
          <w:p>
            <w:pPr>
              <w:spacing w:after="0" w:line="240" w:lineRule="auto"/>
            </w:pPr>
            <w:r>
              <w:rPr>
                <w:rFonts w:ascii="Aptos" w:hAnsi="Aptos"/>
                <w:color w:val="000000"/>
                <w:sz w:val="14"/>
              </w:rPr>
            </w:r>
          </w:p>
        </w:tc>
      </w:tr>
    </w:tbl>
    <w:sectPr w:rsidR="00FC693F" w:rsidRPr="0006063C" w:rsidSect="00034616">
      <w:footerReference w:type="default" r:id="rId9"/>
      <w:pgSz w:w="12240" w:h="15840"/>
      <w:pgMar w:top="1037" w:right="1037"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Phase 1G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36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melabel">
    <w:name w:val="Programme label"/>
    <w:pPr>
      <w:spacing w:after="100"/>
    </w:pPr>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Diagnostic Synthesis and AI Action Plan Template</dc:title>
  <dc:subject>Phase 1G National Information Ecosystem and AI Programme</dc:subject>
  <dc:creator>National Information Ecosystem and AI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