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tbl>
      <w:tblPr>
        <w:tblW w:type="auto" w:w="0"/>
        <w:jc w:val="left"/>
        <w:tblLook w:firstColumn="1" w:firstRow="1" w:lastColumn="0" w:lastRow="0" w:noHBand="0" w:noVBand="1" w:val="04A0"/>
      </w:tblPr>
      <w:tblGrid>
        <w:gridCol w:w="9994"/>
      </w:tblGrid>
      <w:tr>
        <w:tc>
          <w:tcPr>
            <w:tcW w:type="dxa" w:w="9994"/>
            <w:shd w:fill="0B6B69"/>
            <w:tcMar>
              <w:top w:w="95" w:type="dxa"/>
              <w:start w:w="150" w:type="dxa"/>
              <w:bottom w:w="95" w:type="dxa"/>
              <w:end w:w="15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PHASE 1A  |  DIAGNOSTIC FRAMEWORK  |  VERSION 1</w:t>
            </w:r>
          </w:p>
        </w:tc>
      </w:tr>
    </w:tbl>
    <w:p>
      <w:pPr>
        <w:spacing w:after="360"/>
      </w:pPr>
    </w:p>
    <w:p>
      <w:pPr>
        <w:pStyle w:val="Title"/>
      </w:pPr>
      <w:r>
        <w:t>National Information Ecosystem and AI Readiness Diagnostic Framework</w:t>
      </w:r>
    </w:p>
    <w:p>
      <w:pPr>
        <w:pStyle w:val="Subtitle"/>
      </w:pPr>
      <w:r>
        <w:t>Assessment architecture and maturity scoring manual</w:t>
      </w:r>
    </w:p>
    <w:p>
      <w:pPr>
        <w:spacing w:after="400"/>
      </w:pPr>
    </w:p>
    <w:p>
      <w:pPr>
        <w:pStyle w:val="Heading2"/>
      </w:pPr>
      <w:r>
        <w:t>Purpose</w:t>
      </w:r>
    </w:p>
    <w:p>
      <w:r>
        <w:t>This manual establishes how the programme will assess the readiness of National Statistical Systems, statistical organizations, production workflows and personnel to use artificial intelligence responsibly in official statistics. It defines what will be assessed, the evidence required, how maturity will be scored and how findings will be converted into an implementation plan.</w:t>
      </w:r>
    </w:p>
    <w:p>
      <w:pPr>
        <w:spacing w:after="320"/>
      </w:pP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Framework element</w:t>
            </w:r>
          </w:p>
        </w:tc>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7"/>
              </w:rPr>
              <w:t>Approved design</w:t>
            </w:r>
          </w:p>
        </w:tc>
      </w:tr>
      <w:tr>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Assessment units</w:t>
            </w:r>
          </w:p>
        </w:tc>
        <w:tc>
          <w:tcPr>
            <w:tcW w:type="dxa" w:w="662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System, organization, workflow or use case, and individual workforce.</w:t>
            </w:r>
          </w:p>
        </w:tc>
      </w:tr>
      <w:tr>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Capability dimensions</w:t>
            </w:r>
          </w:p>
        </w:tc>
        <w:tc>
          <w:tcPr>
            <w:tcW w:type="dxa" w:w="662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Twelve dimensions spanning mandate, data, quality, people, technology, operations and trust.</w:t>
            </w:r>
          </w:p>
        </w:tc>
      </w:tr>
      <w:tr>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Maturity scale</w:t>
            </w:r>
          </w:p>
        </w:tc>
        <w:tc>
          <w:tcPr>
            <w:tcW w:type="dxa" w:w="662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Six levels from 0 Not established to 5 Transformational.</w:t>
            </w:r>
          </w:p>
        </w:tc>
      </w:tr>
      <w:tr>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7"/>
              </w:rPr>
              <w:t>Evidence standard</w:t>
            </w:r>
          </w:p>
        </w:tc>
        <w:tc>
          <w:tcPr>
            <w:tcW w:type="dxa" w:w="662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7"/>
              </w:rPr>
              <w:t>Scores require documented or observed evidence and a confidence rating.</w:t>
            </w:r>
          </w:p>
        </w:tc>
      </w:tr>
      <w:tr>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7"/>
              </w:rPr>
              <w:t>Reporting</w:t>
            </w:r>
          </w:p>
        </w:tc>
        <w:tc>
          <w:tcPr>
            <w:tcW w:type="dxa" w:w="662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7"/>
              </w:rPr>
              <w:t>Profile, heat map, gaps, safeguards and prioritized roadmap; no simplistic league table.</w:t>
            </w:r>
          </w:p>
        </w:tc>
      </w:tr>
    </w:tbl>
    <w:p>
      <w:pPr>
        <w:spacing w:after="0"/>
      </w:pPr>
    </w:p>
    <w:p>
      <w:r>
        <w:rPr>
          <w:b/>
        </w:rPr>
        <w:t>This framework</w:t>
      </w:r>
      <w:r>
        <w:t xml:space="preserve"> precedes the detailed questionnaires, interview guides, scoring workbook and workshop materials.</w:t>
      </w:r>
    </w:p>
    <w:p>
      <w:r>
        <w:br w:type="page"/>
      </w:r>
    </w:p>
    <w:p>
      <w:pPr>
        <w:pStyle w:val="Heading1"/>
      </w:pPr>
      <w:r>
        <w:t>Executive methodology</w:t>
      </w:r>
    </w:p>
    <w:p>
      <w:r>
        <w:t>The diagnostic is a management and programme-design instrument. It is not an audit, a certification of legal compliance or a country ranking. Its function is to establish a shared, evidence-based view of present capability, desired capability and the practical sequence for closing important gaps.</w:t>
      </w:r>
    </w:p>
    <w:p>
      <w:pPr>
        <w:pStyle w:val="Heading2"/>
      </w:pPr>
      <w:r>
        <w:t>Core methodological decisions</w:t>
      </w:r>
    </w:p>
    <w:p>
      <w:pPr>
        <w:spacing w:after="50"/>
        <w:ind w:left="403" w:hanging="317"/>
      </w:pPr>
      <w:r>
        <w:rPr>
          <w:b/>
        </w:rPr>
        <w:t xml:space="preserve">1. </w:t>
      </w:r>
      <w:r>
        <w:t>Assess capability at four connected levels rather than treating the NSO as the whole system.</w:t>
      </w:r>
    </w:p>
    <w:p>
      <w:pPr>
        <w:spacing w:after="50"/>
        <w:ind w:left="403" w:hanging="317"/>
      </w:pPr>
      <w:r>
        <w:rPr>
          <w:b/>
        </w:rPr>
        <w:t xml:space="preserve">2. </w:t>
      </w:r>
      <w:r>
        <w:t>Score each capability dimension separately; do not hide weaknesses inside a single average.</w:t>
      </w:r>
    </w:p>
    <w:p>
      <w:pPr>
        <w:spacing w:after="50"/>
        <w:ind w:left="403" w:hanging="317"/>
      </w:pPr>
      <w:r>
        <w:rPr>
          <w:b/>
        </w:rPr>
        <w:t xml:space="preserve">3. </w:t>
      </w:r>
      <w:r>
        <w:t>Require evidence for every material maturity claim and record confidence in that evidence.</w:t>
      </w:r>
    </w:p>
    <w:p>
      <w:pPr>
        <w:spacing w:after="50"/>
        <w:ind w:left="403" w:hanging="317"/>
      </w:pPr>
      <w:r>
        <w:rPr>
          <w:b/>
        </w:rPr>
        <w:t xml:space="preserve">4. </w:t>
      </w:r>
      <w:r>
        <w:t>Set different target levels for different dimensions according to national priorities and risk.</w:t>
      </w:r>
    </w:p>
    <w:p>
      <w:pPr>
        <w:spacing w:after="50"/>
        <w:ind w:left="403" w:hanging="317"/>
      </w:pPr>
      <w:r>
        <w:rPr>
          <w:b/>
        </w:rPr>
        <w:t xml:space="preserve">5. </w:t>
      </w:r>
      <w:r>
        <w:t>Apply non-negotiable readiness gates before confidential data or official production are involved.</w:t>
      </w:r>
    </w:p>
    <w:p>
      <w:pPr>
        <w:spacing w:after="50"/>
        <w:ind w:left="403" w:hanging="317"/>
      </w:pPr>
      <w:r>
        <w:rPr>
          <w:b/>
        </w:rPr>
        <w:t xml:space="preserve">6. </w:t>
      </w:r>
      <w:r>
        <w:t>Connect every recommended action to an owner, cost category, dependency and time horizon.</w:t>
      </w:r>
    </w:p>
    <w:p>
      <w:pPr>
        <w:spacing w:after="50"/>
        <w:ind w:left="403" w:hanging="317"/>
      </w:pPr>
      <w:r>
        <w:rPr>
          <w:b/>
        </w:rPr>
        <w:t xml:space="preserve">7. </w:t>
      </w:r>
      <w:r>
        <w:t>Use facilitated institutional consensus while retaining an independent challenge and validation step.</w:t>
      </w:r>
    </w:p>
    <w:p>
      <w:pPr>
        <w:pStyle w:val="Heading2"/>
      </w:pPr>
      <w:r>
        <w:t>Intended users</w:t>
      </w:r>
    </w:p>
    <w:p>
      <w:pPr>
        <w:pStyle w:val="ListBullet"/>
        <w:spacing w:after="50"/>
      </w:pPr>
      <w:r>
        <w:t>National Statistical Offices and sector producers of official statistics.</w:t>
      </w:r>
    </w:p>
    <w:p>
      <w:pPr>
        <w:pStyle w:val="ListBullet"/>
        <w:spacing w:after="50"/>
      </w:pPr>
      <w:r>
        <w:t>Ministries of agriculture and national agricultural statistical systems.</w:t>
      </w:r>
    </w:p>
    <w:p>
      <w:pPr>
        <w:pStyle w:val="ListBullet"/>
        <w:spacing w:after="50"/>
      </w:pPr>
      <w:r>
        <w:t>Central banks, regulatory authorities and other NSS institutions.</w:t>
      </w:r>
    </w:p>
    <w:p>
      <w:pPr>
        <w:pStyle w:val="ListBullet"/>
        <w:spacing w:after="50"/>
      </w:pPr>
      <w:r>
        <w:t>Chief statisticians, quality managers, methodologists, IT and security functions.</w:t>
      </w:r>
    </w:p>
    <w:p>
      <w:pPr>
        <w:pStyle w:val="ListBullet"/>
        <w:spacing w:after="50"/>
      </w:pPr>
      <w:r>
        <w:t>International organizations and development partners supporting statistical capacity.</w:t>
      </w:r>
    </w:p>
    <w:p>
      <w:pPr>
        <w:pStyle w:val="ListBullet"/>
        <w:spacing w:after="50"/>
      </w:pPr>
      <w:r>
        <w:t>Programme designers selecting cohorts, modules, laboratories and capstone projects.</w:t>
      </w:r>
    </w:p>
    <w:p>
      <w:pPr>
        <w:pStyle w:val="Heading2"/>
      </w:pPr>
      <w:r>
        <w:t>Methodological foundations</w:t>
      </w:r>
    </w:p>
    <w:p>
      <w:r>
        <w:t>The design draws on the multi-level capacity logic of PARIS21 Capacity Development 4.0, the dimensional approach of the United Nations Big Data Maturity Matrix, statistical-system performance concepts represented in the World Bank Statistical Performance Indicators, and the official-statistics principles and quality frameworks already adopted for the programme. It adapts these foundations specifically to AI-assisted official statistical production.</w:t>
      </w:r>
    </w:p>
    <w:p>
      <w:r>
        <w:br w:type="page"/>
      </w:r>
    </w:p>
    <w:p>
      <w:pPr>
        <w:pStyle w:val="Heading1"/>
      </w:pPr>
      <w:r>
        <w:t>Assessment scope and units</w:t>
      </w:r>
    </w:p>
    <w:p>
      <w:pPr>
        <w:pStyle w:val="Heading2"/>
      </w:pPr>
      <w:r>
        <w:t>Four connected assessment units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Unit</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Central question</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Illustrative respondents</w:t>
            </w:r>
          </w:p>
        </w:tc>
      </w:tr>
      <w:tr>
        <w:tc>
          <w:tcPr>
            <w:tcW w:type="dxa" w:w="208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National Statistical System</w:t>
            </w:r>
          </w:p>
        </w:tc>
        <w:tc>
          <w:tcPr>
            <w:tcW w:type="dxa" w:w="432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Can institutions coordinate AI use, data access, standards, investment and accountability across the system?</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Chief statistician, sector heads, legal authorities, central coordination bodies.</w:t>
            </w:r>
          </w:p>
        </w:tc>
      </w:tr>
      <w:tr>
        <w:tc>
          <w:tcPr>
            <w:tcW w:type="dxa" w:w="208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Organization</w:t>
            </w:r>
          </w:p>
        </w:tc>
        <w:tc>
          <w:tcPr>
            <w:tcW w:type="dxa" w:w="432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Can a specific NSO, ministry, central bank or agency govern and sustain AI-assisted statistical work?</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Senior management, quality, HR, procurement, IT, security and domain directors.</w:t>
            </w:r>
          </w:p>
        </w:tc>
      </w:tr>
      <w:tr>
        <w:tc>
          <w:tcPr>
            <w:tcW w:type="dxa" w:w="208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Workflow or use case</w:t>
            </w:r>
          </w:p>
        </w:tc>
        <w:tc>
          <w:tcPr>
            <w:tcW w:type="dxa" w:w="432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Can AI improve this production process with acceptable statistical quality and risk?</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Process owner, methodologist, subject expert, programmer and reviewer.</w:t>
            </w:r>
          </w:p>
        </w:tc>
      </w:tr>
      <w:tr>
        <w:tc>
          <w:tcPr>
            <w:tcW w:type="dxa" w:w="208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Individual workforce</w:t>
            </w:r>
          </w:p>
        </w:tc>
        <w:tc>
          <w:tcPr>
            <w:tcW w:type="dxa" w:w="432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Do personnel have the knowledge, practical ability and judgment required for their roles?</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Statisticians, managers, programmers, disseminators, trainers and specialists.</w:t>
            </w:r>
          </w:p>
        </w:tc>
      </w:tr>
    </w:tbl>
    <w:p>
      <w:pPr>
        <w:spacing w:after="0"/>
      </w:pPr>
    </w:p>
    <w:p>
      <w:pPr>
        <w:pStyle w:val="Heading2"/>
      </w:pPr>
      <w:r>
        <w:t>Nested interpretation</w:t>
      </w:r>
    </w:p>
    <w:p>
      <w:r>
        <w:t>The four units are assessed together but not merged indiscriminately. An individual may be highly capable while the organization lacks an approved environment. An organization may be advanced while NSS-wide data-sharing authority is weak. A low-risk workflow may be suitable for piloting even when the institution is not ready for confidential record linkage or model-based official estimation.</w:t>
      </w:r>
    </w:p>
    <w:p>
      <w:pPr>
        <w:pStyle w:val="Heading2"/>
      </w:pPr>
      <w:r>
        <w:t>Assessment boundaries</w:t>
      </w:r>
    </w:p>
    <w:p>
      <w:pPr>
        <w:pStyle w:val="ListBullet"/>
        <w:spacing w:after="50"/>
      </w:pPr>
      <w:r>
        <w:rPr>
          <w:b/>
        </w:rPr>
        <w:t xml:space="preserve">In scope: </w:t>
      </w:r>
      <w:r>
        <w:t>AI, machine learning and automation used in acquiring, processing, analyzing, disseminating or managing statistical information.</w:t>
      </w:r>
    </w:p>
    <w:p>
      <w:pPr>
        <w:pStyle w:val="ListBullet"/>
        <w:spacing w:after="50"/>
      </w:pPr>
      <w:r>
        <w:rPr>
          <w:b/>
        </w:rPr>
        <w:t xml:space="preserve">Also in scope: </w:t>
      </w:r>
      <w:r>
        <w:t>governance, quality, confidentiality, infrastructure, people, financing, partnerships, incentives and public trust.</w:t>
      </w:r>
    </w:p>
    <w:p>
      <w:pPr>
        <w:pStyle w:val="ListBullet"/>
        <w:spacing w:after="50"/>
      </w:pPr>
      <w:r>
        <w:rPr>
          <w:b/>
        </w:rPr>
        <w:t xml:space="preserve">Not automatically in scope: </w:t>
      </w:r>
      <w:r>
        <w:t>every aspect of general statistical capacity; the diagnostic records dependencies without replacing a full NSS assessment.</w:t>
      </w:r>
    </w:p>
    <w:p>
      <w:pPr>
        <w:pStyle w:val="ListBullet"/>
        <w:spacing w:after="50"/>
      </w:pPr>
      <w:r>
        <w:rPr>
          <w:b/>
        </w:rPr>
        <w:t xml:space="preserve">No compliance opinion: </w:t>
      </w:r>
      <w:r>
        <w:t>legal and cybersecurity specialists must determine formal compliance within their jurisdictions.</w:t>
      </w:r>
    </w:p>
    <w:p>
      <w:pPr>
        <w:pStyle w:val="Heading2"/>
      </w:pPr>
      <w:r>
        <w:t>Primary agricultural application</w:t>
      </w:r>
    </w:p>
    <w:p>
      <w:r>
        <w:t>Version 1 will be operationalized first for agricultural statistics. Examples and evidence requests will cover agricultural surveys and censuses, administrative programmes, farm registers, research-station information, market systems, Earth observation, food-security information and related multi-source workflows. The scoring logic remains adaptable to other statistical domains.</w:t>
      </w:r>
    </w:p>
    <w:p>
      <w:r>
        <w:br w:type="page"/>
      </w:r>
    </w:p>
    <w:p>
      <w:pPr>
        <w:pStyle w:val="Heading1"/>
      </w:pPr>
      <w:r>
        <w:t>Twelve capability dimensions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4"/>
              </w:rPr>
              <w:t>No.</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4"/>
              </w:rPr>
              <w:t>Dimension</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4"/>
              </w:rPr>
              <w:t>What the diagnostic examines</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1</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Mandate leadership and strategy</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Statistical mandate, executive ownership, objectives, decision rights, portfolio direction and alignment with national strategies.</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4"/>
              </w:rPr>
              <w:t>2</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NSS coordination and ecosystem governance</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Roles across producers, coordination mechanisms, research and private partners, shared standards and conflict resolution.</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3</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Law ethics and accountability</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Lawful basis, purpose limitation, professional independence, ethics, transparency, responsibility and incident accountability.</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4"/>
              </w:rPr>
              <w:t>4</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Data governance access and confidentiality</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Data classification, acquisition, sharing, retention, access control, privacy, disclosure and provenance.</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5</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Statistical methods quality and fitness for use</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Methodological review, benchmarks, error measurement, comparability, metadata, validation and production approval.</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4"/>
              </w:rPr>
              <w:t>6</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Human resources competencies and culture</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Roles, skills, recruitment, retention, learning, collaboration, incentives, institutional memory and responsible-use culture.</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7</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Technology architecture and security</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Computing, storage, connectivity, approved tools, identity, secure environments, monitoring, continuity and interoperability.</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4"/>
              </w:rPr>
              <w:t>8</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Production processes and reproducibility</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Documented workflows, versioning, testing, code management, audit trails, human review, fallback and change control.</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9</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AI use cases models and portfolio management</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Use-case selection, risk classification, model lifecycle, performance monitoring, inventory and retirement.</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4"/>
              </w:rPr>
              <w:t>10</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Financing procurement and sustainability</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Investment priorities, recurrent costs, vendor evaluation, intellectual property, lock-in, maintenance and benefits realization.</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11</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Partnerships research and innovation</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Universities, research institutes, private data providers, development partners, experimentation and knowledge transfer.</w:t>
            </w:r>
          </w:p>
        </w:tc>
      </w:tr>
      <w:tr>
        <w:tc>
          <w:tcPr>
            <w:tcW w:type="dxa" w:w="5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4"/>
              </w:rPr>
              <w:t>12</w:t>
            </w:r>
          </w:p>
        </w:tc>
        <w:tc>
          <w:tcPr>
            <w:tcW w:type="dxa" w:w="309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Users communication and public trust</w:t>
            </w:r>
          </w:p>
        </w:tc>
        <w:tc>
          <w:tcPr>
            <w:tcW w:type="dxa" w:w="56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User needs, evidence status, transparency, explainability, accessibility, misuse response and public-value measurement.</w:t>
            </w:r>
          </w:p>
        </w:tc>
      </w:tr>
    </w:tbl>
    <w:p>
      <w:pPr>
        <w:spacing w:after="0"/>
      </w:pPr>
    </w:p>
    <w:p>
      <w:pPr>
        <w:pStyle w:val="Heading2"/>
      </w:pPr>
      <w:r>
        <w:t>Why the dimensions remain separate</w:t>
      </w:r>
    </w:p>
    <w:p>
      <w:r>
        <w:t>Maturity is uneven by nature. Strong technology cannot compensate for an unlawful data use. Skilled staff cannot compensate for the absence of quality review. A good pilot cannot compensate for recurrent costs that the institution cannot meet. Separate profiles make these dependencies visible and allow each institution to set realistic targets.</w:t>
      </w:r>
    </w:p>
    <w:p>
      <w:r>
        <w:br w:type="page"/>
      </w:r>
    </w:p>
    <w:p>
      <w:pPr>
        <w:pStyle w:val="Heading1"/>
      </w:pPr>
      <w:r>
        <w:t>Dimension indicators and evidence</w:t>
      </w:r>
    </w:p>
    <w:p>
      <w:pPr>
        <w:pStyle w:val="Heading2"/>
      </w:pPr>
      <w:r>
        <w:t>Core indicators by dimension</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Dimension</w:t>
            </w:r>
          </w:p>
        </w:tc>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Indicative subdimensions</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1. Mandate leadership and strategy</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Mandate; sponsor; strategy; governance body; decision rights; benefits and risk appetite.</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2. NSS coordination and ecosystem</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NSS roles; sector coordination; common standards; data-producer relations; shared services.</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3. Law ethics and accountability</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Legal authority; acceptable use; ethics review; transparency; complaints; incident responsibility.</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4. Data governance and confidentiality</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Inventory; classification; agreements; access; retention; privacy; disclosure; lineage.</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5. Methods quality and fitness</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Method approval; benchmarks; uncertainty; bias; subgroup testing; comparability; metadata.</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6. People competencies and culture</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Role map; baseline skills; recruitment; retention; learning; collaboration; incentives.</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7. Technology and security</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Architecture; approved tools; secure workspace; identity; monitoring; resilience; interoperability.</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8. Production and reproducibility</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Process maps; code and model versions; tests; logs; review; fallback; change management.</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9. Use cases and models</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Register; selection; risk class; ownership; validation; deployment; monitoring; retirement.</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10. Finance procurement sustainability</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Cost model; budget; procurement; contracts; IP; vendor exit; staffing; value measurement.</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11. Partnerships research innovation</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Research links; private data; donor coordination; sandboxes; knowledge transfer; reuse.</w:t>
            </w:r>
          </w:p>
        </w:tc>
      </w:tr>
      <w:tr>
        <w:tc>
          <w:tcPr>
            <w:tcW w:type="dxa" w:w="33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12. Users communication trust</w:t>
            </w:r>
          </w:p>
        </w:tc>
        <w:tc>
          <w:tcPr>
            <w:tcW w:type="dxa" w:w="59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User dialogue; evidence labels; explanations; accessibility; release controls; trust measures.</w:t>
            </w:r>
          </w:p>
        </w:tc>
      </w:tr>
    </w:tbl>
    <w:p>
      <w:pPr>
        <w:spacing w:after="0"/>
      </w:pPr>
    </w:p>
    <w:p>
      <w:pPr>
        <w:pStyle w:val="Heading2"/>
      </w:pPr>
      <w:r>
        <w:t>Permitted evidence types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Evidence type</w:t>
            </w:r>
          </w:p>
        </w:tc>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Examples</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Authoritative documents</w:t>
            </w:r>
          </w:p>
        </w:tc>
        <w:tc>
          <w:tcPr>
            <w:tcW w:type="dxa" w:w="684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Statistical law, policies, strategies, governance decisions, approved procedures and agreements.</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Operational records</w:t>
            </w:r>
          </w:p>
        </w:tc>
        <w:tc>
          <w:tcPr>
            <w:tcW w:type="dxa" w:w="684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Access logs, model registers, code repositories, incident records, training records and procurement files.</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Production artifacts</w:t>
            </w:r>
          </w:p>
        </w:tc>
        <w:tc>
          <w:tcPr>
            <w:tcW w:type="dxa" w:w="684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Process maps, metadata, validation reports, quality reports, tests, release records and revision studies.</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Demonstrated capability</w:t>
            </w:r>
          </w:p>
        </w:tc>
        <w:tc>
          <w:tcPr>
            <w:tcW w:type="dxa" w:w="684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Observed use of a secure environment, reproducible execution, review meeting or workflow demonstration.</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Stakeholder testimony</w:t>
            </w:r>
          </w:p>
        </w:tc>
        <w:tc>
          <w:tcPr>
            <w:tcW w:type="dxa" w:w="684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Corroborated interviews or workshop statements from accountable staff and partner institutions.</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Outcome evidence</w:t>
            </w:r>
          </w:p>
        </w:tc>
        <w:tc>
          <w:tcPr>
            <w:tcW w:type="dxa" w:w="684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Measured error, time, cost, adoption, user value, reliability, incidents and corrective action.</w:t>
            </w:r>
          </w:p>
        </w:tc>
      </w:tr>
    </w:tbl>
    <w:p>
      <w:pPr>
        <w:spacing w:after="0"/>
      </w:pPr>
    </w:p>
    <w:p>
      <w:r>
        <w:t>Uncorroborated perception is useful for discovering issues but is not sufficient to establish higher maturity.</w:t>
      </w:r>
    </w:p>
    <w:p>
      <w:pPr>
        <w:pStyle w:val="Heading1"/>
      </w:pPr>
      <w:r>
        <w:t>Maturity scale</w:t>
      </w:r>
    </w:p>
    <w:p>
      <w:pPr>
        <w:pStyle w:val="Heading2"/>
      </w:pPr>
      <w:r>
        <w:t>Six maturity levels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Score</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Level</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General interpretation</w:t>
            </w:r>
          </w:p>
        </w:tc>
      </w:tr>
      <w:tr>
        <w:tc>
          <w:tcPr>
            <w:tcW w:type="dxa" w:w="7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0</w:t>
            </w:r>
          </w:p>
        </w:tc>
        <w:tc>
          <w:tcPr>
            <w:tcW w:type="dxa" w:w="18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Not established</w:t>
            </w:r>
          </w:p>
        </w:tc>
        <w:tc>
          <w:tcPr>
            <w:tcW w:type="dxa" w:w="65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Capability is absent, prohibited, unknown or unsupported. Material risks are not identified or controlled.</w:t>
            </w:r>
          </w:p>
        </w:tc>
      </w:tr>
      <w:tr>
        <w:tc>
          <w:tcPr>
            <w:tcW w:type="dxa" w:w="7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1</w:t>
            </w:r>
          </w:p>
        </w:tc>
        <w:tc>
          <w:tcPr>
            <w:tcW w:type="dxa" w:w="18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Aware</w:t>
            </w:r>
          </w:p>
        </w:tc>
        <w:tc>
          <w:tcPr>
            <w:tcW w:type="dxa" w:w="65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Need and risks are recognized. Discussion or isolated individual experimentation may exist, but responsibility and controls are unclear.</w:t>
            </w:r>
          </w:p>
        </w:tc>
      </w:tr>
      <w:tr>
        <w:tc>
          <w:tcPr>
            <w:tcW w:type="dxa" w:w="7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2</w:t>
            </w:r>
          </w:p>
        </w:tc>
        <w:tc>
          <w:tcPr>
            <w:tcW w:type="dxa" w:w="18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Defined</w:t>
            </w:r>
          </w:p>
        </w:tc>
        <w:tc>
          <w:tcPr>
            <w:tcW w:type="dxa" w:w="65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Policies, roles, designs or pilot procedures are documented. Implementation remains partial, inconsistent or dependent on a few people.</w:t>
            </w:r>
          </w:p>
        </w:tc>
      </w:tr>
      <w:tr>
        <w:tc>
          <w:tcPr>
            <w:tcW w:type="dxa" w:w="7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3</w:t>
            </w:r>
          </w:p>
        </w:tc>
        <w:tc>
          <w:tcPr>
            <w:tcW w:type="dxa" w:w="18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Practiced</w:t>
            </w:r>
          </w:p>
        </w:tc>
        <w:tc>
          <w:tcPr>
            <w:tcW w:type="dxa" w:w="65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Approved controls are used in bounded operational pilots or selected workflows. Results are reviewed and repeatable with named accountability.</w:t>
            </w:r>
          </w:p>
        </w:tc>
      </w:tr>
      <w:tr>
        <w:tc>
          <w:tcPr>
            <w:tcW w:type="dxa" w:w="7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4</w:t>
            </w:r>
          </w:p>
        </w:tc>
        <w:tc>
          <w:tcPr>
            <w:tcW w:type="dxa" w:w="18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Managed</w:t>
            </w:r>
          </w:p>
        </w:tc>
        <w:tc>
          <w:tcPr>
            <w:tcW w:type="dxa" w:w="65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Capability is integrated into regular planning and production, monitored with evidence, adequately resourced and coordinated across relevant units.</w:t>
            </w:r>
          </w:p>
        </w:tc>
      </w:tr>
      <w:tr>
        <w:tc>
          <w:tcPr>
            <w:tcW w:type="dxa" w:w="7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5</w:t>
            </w:r>
          </w:p>
        </w:tc>
        <w:tc>
          <w:tcPr>
            <w:tcW w:type="dxa" w:w="18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Transformational</w:t>
            </w:r>
          </w:p>
        </w:tc>
        <w:tc>
          <w:tcPr>
            <w:tcW w:type="dxa" w:w="65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Capability is sustained across the institution or system, continuously improved, transparently governed and able to support and teach others.</w:t>
            </w:r>
          </w:p>
        </w:tc>
      </w:tr>
    </w:tbl>
    <w:p>
      <w:pPr>
        <w:spacing w:after="0"/>
      </w:pPr>
    </w:p>
    <w:p>
      <w:pPr>
        <w:pStyle w:val="Heading2"/>
      </w:pPr>
      <w:r>
        <w:t>Scoring rule</w:t>
      </w:r>
    </w:p>
    <w:p>
      <w:r>
        <w:t>The assigned score is the highest level for which the institution demonstrates all essential conditions and supplies adequate evidence. Partial evidence for a higher level is recorded as a gap, not rounded upward. If the evidence is contradictory, assessors use the lower defensible score and document the disagreement.</w:t>
      </w:r>
    </w:p>
    <w:p>
      <w:pPr>
        <w:pStyle w:val="Heading2"/>
      </w:pPr>
      <w:r>
        <w:t>Evidence confidence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Rating</w:t>
            </w:r>
          </w:p>
        </w:tc>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Meaning</w:t>
            </w:r>
          </w:p>
        </w:tc>
      </w:tr>
      <w:tr>
        <w:tc>
          <w:tcPr>
            <w:tcW w:type="dxa" w:w="172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A High</w:t>
            </w:r>
          </w:p>
        </w:tc>
        <w:tc>
          <w:tcPr>
            <w:tcW w:type="dxa" w:w="748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Multiple authoritative or operational sources agree; implementation or outcomes are directly observable.</w:t>
            </w:r>
          </w:p>
        </w:tc>
      </w:tr>
      <w:tr>
        <w:tc>
          <w:tcPr>
            <w:tcW w:type="dxa" w:w="172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B Moderate</w:t>
            </w:r>
          </w:p>
        </w:tc>
        <w:tc>
          <w:tcPr>
            <w:tcW w:type="dxa" w:w="748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At least one credible source and corroborated testimony support the judgment, with limited gaps.</w:t>
            </w:r>
          </w:p>
        </w:tc>
      </w:tr>
      <w:tr>
        <w:tc>
          <w:tcPr>
            <w:tcW w:type="dxa" w:w="172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C Low</w:t>
            </w:r>
          </w:p>
        </w:tc>
        <w:tc>
          <w:tcPr>
            <w:tcW w:type="dxa" w:w="748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Judgment relies mainly on self-report, draft documents, incomplete evidence or unresolved disagreement.</w:t>
            </w:r>
          </w:p>
        </w:tc>
      </w:tr>
    </w:tbl>
    <w:p>
      <w:pPr>
        <w:spacing w:after="0"/>
      </w:pPr>
    </w:p>
    <w:p>
      <w:pPr>
        <w:pStyle w:val="Heading2"/>
      </w:pPr>
      <w:r>
        <w:t>Not applicable and not assessed</w:t>
      </w:r>
    </w:p>
    <w:p>
      <w:pPr>
        <w:pStyle w:val="ListBullet"/>
        <w:spacing w:after="50"/>
      </w:pPr>
      <w:r>
        <w:rPr>
          <w:b/>
        </w:rPr>
        <w:t xml:space="preserve">Not applicable: </w:t>
      </w:r>
      <w:r>
        <w:t>used only when a capability is genuinely irrelevant to the assessed unit; justification is mandatory.</w:t>
      </w:r>
    </w:p>
    <w:p>
      <w:pPr>
        <w:pStyle w:val="ListBullet"/>
        <w:spacing w:after="50"/>
      </w:pPr>
      <w:r>
        <w:rPr>
          <w:b/>
        </w:rPr>
        <w:t xml:space="preserve">Not assessed: </w:t>
      </w:r>
      <w:r>
        <w:t>used when access, time or evidence is insufficient; it must never be converted to zero automatically.</w:t>
      </w:r>
    </w:p>
    <w:p>
      <w:pPr>
        <w:pStyle w:val="ListBullet"/>
        <w:spacing w:after="50"/>
      </w:pPr>
      <w:r>
        <w:rPr>
          <w:b/>
        </w:rPr>
        <w:t xml:space="preserve">Unknown: </w:t>
      </w:r>
      <w:r>
        <w:t>reported as an information gap that may itself require an action, such as creating an asset or data inventory.</w:t>
      </w:r>
    </w:p>
    <w:p>
      <w:pPr>
        <w:pStyle w:val="Heading1"/>
      </w:pPr>
      <w:r>
        <w:t>Scoring and aggregation method</w:t>
      </w:r>
    </w:p>
    <w:p>
      <w:pPr>
        <w:pStyle w:val="Heading2"/>
      </w:pPr>
      <w:r>
        <w:t>Item and subdimension scoring</w:t>
      </w:r>
    </w:p>
    <w:p>
      <w:r>
        <w:t>Detailed questions will be scored from 0 to 5 using anchored response descriptions. Related items form a subdimension. Assessors calculate a provisional arithmetic mean for orientation, then confirm the subdimension level by examining whether essential conditions at that level are met. This prevents a high score on documentation from masking the absence of actual implementation.</w:t>
      </w:r>
    </w:p>
    <w:p>
      <w:pPr>
        <w:pStyle w:val="Heading2"/>
      </w:pPr>
      <w:r>
        <w:t>Dimension score</w:t>
      </w:r>
    </w:p>
    <w:p>
      <w:pPr>
        <w:spacing w:after="50"/>
        <w:ind w:left="403" w:hanging="317"/>
      </w:pPr>
      <w:r>
        <w:rPr>
          <w:b/>
        </w:rPr>
        <w:t xml:space="preserve">1. </w:t>
      </w:r>
      <w:r>
        <w:t>Calculate the provisional mean of assessed subdimensions.</w:t>
      </w:r>
    </w:p>
    <w:p>
      <w:pPr>
        <w:spacing w:after="50"/>
        <w:ind w:left="403" w:hanging="317"/>
      </w:pPr>
      <w:r>
        <w:rPr>
          <w:b/>
        </w:rPr>
        <w:t xml:space="preserve">2. </w:t>
      </w:r>
      <w:r>
        <w:t>Identify any essential safeguard designated as a level gate.</w:t>
      </w:r>
    </w:p>
    <w:p>
      <w:pPr>
        <w:spacing w:after="50"/>
        <w:ind w:left="403" w:hanging="317"/>
      </w:pPr>
      <w:r>
        <w:rPr>
          <w:b/>
        </w:rPr>
        <w:t xml:space="preserve">3. </w:t>
      </w:r>
      <w:r>
        <w:t>Cap the score where a required gate is not met.</w:t>
      </w:r>
    </w:p>
    <w:p>
      <w:pPr>
        <w:spacing w:after="50"/>
        <w:ind w:left="403" w:hanging="317"/>
      </w:pPr>
      <w:r>
        <w:rPr>
          <w:b/>
        </w:rPr>
        <w:t xml:space="preserve">4. </w:t>
      </w:r>
      <w:r>
        <w:t>Review outliers and contradictory evidence in the consensus workshop.</w:t>
      </w:r>
    </w:p>
    <w:p>
      <w:pPr>
        <w:spacing w:after="50"/>
        <w:ind w:left="403" w:hanging="317"/>
      </w:pPr>
      <w:r>
        <w:rPr>
          <w:b/>
        </w:rPr>
        <w:t xml:space="preserve">5. </w:t>
      </w:r>
      <w:r>
        <w:t>Record the final integer maturity level, the provisional decimal value and evidence confidence.</w:t>
      </w:r>
    </w:p>
    <w:p>
      <w:pPr>
        <w:spacing w:after="50"/>
        <w:ind w:left="403" w:hanging="317"/>
      </w:pPr>
      <w:r>
        <w:rPr>
          <w:b/>
        </w:rPr>
        <w:t xml:space="preserve">6. </w:t>
      </w:r>
      <w:r>
        <w:t>Set a target level independently according to intended use, risk, resources and national priorities.</w:t>
      </w:r>
    </w:p>
    <w:p>
      <w:pPr>
        <w:pStyle w:val="Heading2"/>
      </w:pPr>
      <w:r>
        <w:t>No single readiness ranking</w:t>
      </w:r>
    </w:p>
    <w:p>
      <w:r>
        <w:t>The diagnostic will not publish a single overall score or use scores to rank countries. A composite can conceal a critical weakness and falsely imply that dimensions are interchangeable. The principal output is a twelve-dimension profile with current level, target level, confidence, critical gaps and dependencies.</w:t>
      </w:r>
    </w:p>
    <w:p>
      <w:pPr>
        <w:pStyle w:val="Heading2"/>
      </w:pPr>
      <w:r>
        <w:t>Optional portfolio summary</w:t>
      </w:r>
    </w:p>
    <w:p>
      <w:r>
        <w:t>For internal management only, the share of dimensions at or above their agreed target may be reported. This is a progress measure, not a cross-country performance index. Where an aggregate is unavoidable for programme administration, it must be accompanied by the full profile and all critical-gate results.</w:t>
      </w:r>
    </w:p>
    <w:p>
      <w:pPr>
        <w:pStyle w:val="Heading2"/>
      </w:pPr>
      <w:r>
        <w:t>Target setting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Target principle</w:t>
            </w:r>
          </w:p>
        </w:tc>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Application</w:t>
            </w:r>
          </w:p>
        </w:tc>
      </w:tr>
      <w:tr>
        <w:tc>
          <w:tcPr>
            <w:tcW w:type="dxa" w:w="230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Purpose based</w:t>
            </w:r>
          </w:p>
        </w:tc>
        <w:tc>
          <w:tcPr>
            <w:tcW w:type="dxa" w:w="69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Target maturity reflects the statistical tasks and decisions the capability must support.</w:t>
            </w:r>
          </w:p>
        </w:tc>
      </w:tr>
      <w:tr>
        <w:tc>
          <w:tcPr>
            <w:tcW w:type="dxa" w:w="230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Risk proportionate</w:t>
            </w:r>
          </w:p>
        </w:tc>
        <w:tc>
          <w:tcPr>
            <w:tcW w:type="dxa" w:w="69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Higher-risk uses require stronger governance, validation, security and continuity.</w:t>
            </w:r>
          </w:p>
        </w:tc>
      </w:tr>
      <w:tr>
        <w:tc>
          <w:tcPr>
            <w:tcW w:type="dxa" w:w="230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Resource realistic</w:t>
            </w:r>
          </w:p>
        </w:tc>
        <w:tc>
          <w:tcPr>
            <w:tcW w:type="dxa" w:w="69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Targets acknowledge recurrent financing, workforce and infrastructure.</w:t>
            </w:r>
          </w:p>
        </w:tc>
      </w:tr>
      <w:tr>
        <w:tc>
          <w:tcPr>
            <w:tcW w:type="dxa" w:w="230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Time bounded</w:t>
            </w:r>
          </w:p>
        </w:tc>
        <w:tc>
          <w:tcPr>
            <w:tcW w:type="dxa" w:w="69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Target includes a date and an accountable owner.</w:t>
            </w:r>
          </w:p>
        </w:tc>
      </w:tr>
      <w:tr>
        <w:tc>
          <w:tcPr>
            <w:tcW w:type="dxa" w:w="230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Dimension specific</w:t>
            </w:r>
          </w:p>
        </w:tc>
        <w:tc>
          <w:tcPr>
            <w:tcW w:type="dxa" w:w="691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A country may rationally target different maturity levels across dimensions.</w:t>
            </w:r>
          </w:p>
        </w:tc>
      </w:tr>
    </w:tbl>
    <w:p>
      <w:pPr>
        <w:spacing w:after="0"/>
      </w:pPr>
    </w:p>
    <w:p>
      <w:r>
        <w:br w:type="page"/>
      </w:r>
    </w:p>
    <w:p>
      <w:pPr>
        <w:pStyle w:val="Heading1"/>
      </w:pPr>
      <w:r>
        <w:t>Critical readiness gates</w:t>
      </w:r>
    </w:p>
    <w:p>
      <w:r>
        <w:t>Maturity scores guide development, but some conditions are mandatory before particular activities proceed. A gate is reported as Pass, Conditional pass or Stop. Conditional pass requires named controls, an owner and a completion date.</w:t>
      </w:r>
    </w:p>
    <w:p>
      <w:pPr>
        <w:pStyle w:val="Heading2"/>
      </w:pPr>
      <w:r>
        <w:t>Institutional pilot gates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4"/>
              </w:rPr>
              <w:t>Gate</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4"/>
              </w:rPr>
              <w:t>Minimum evidence</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4"/>
              </w:rPr>
              <w:t>Failure consequence</w:t>
            </w:r>
          </w:p>
        </w:tc>
      </w:tr>
      <w:tr>
        <w:tc>
          <w:tcPr>
            <w:tcW w:type="dxa" w:w="23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Executive sponsorship</w:t>
            </w:r>
          </w:p>
        </w:tc>
        <w:tc>
          <w:tcPr>
            <w:tcW w:type="dxa" w:w="432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Named accountable sponsor, approved pilot purpose and decision pathway.</w:t>
            </w:r>
          </w:p>
        </w:tc>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Do not begin an institutional pilot.</w:t>
            </w:r>
          </w:p>
        </w:tc>
      </w:tr>
      <w:tr>
        <w:tc>
          <w:tcPr>
            <w:tcW w:type="dxa" w:w="23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4"/>
              </w:rPr>
              <w:t>Permitted use and data classification</w:t>
            </w:r>
          </w:p>
        </w:tc>
        <w:tc>
          <w:tcPr>
            <w:tcW w:type="dxa" w:w="432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Approved tool category, data classification and rules for information entry and output handling.</w:t>
            </w:r>
          </w:p>
        </w:tc>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Restrict work to public or synthetic data.</w:t>
            </w:r>
          </w:p>
        </w:tc>
      </w:tr>
      <w:tr>
        <w:tc>
          <w:tcPr>
            <w:tcW w:type="dxa" w:w="23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Safe working environment</w:t>
            </w:r>
          </w:p>
        </w:tc>
        <w:tc>
          <w:tcPr>
            <w:tcW w:type="dxa" w:w="432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Access-controlled environment appropriate to the data and task.</w:t>
            </w:r>
          </w:p>
        </w:tc>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No confidential or sensitive processing.</w:t>
            </w:r>
          </w:p>
        </w:tc>
      </w:tr>
      <w:tr>
        <w:tc>
          <w:tcPr>
            <w:tcW w:type="dxa" w:w="23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4"/>
              </w:rPr>
              <w:t>Statistical owner and benchmark</w:t>
            </w:r>
          </w:p>
        </w:tc>
        <w:tc>
          <w:tcPr>
            <w:tcW w:type="dxa" w:w="432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Named method owner, existing baseline and success criteria.</w:t>
            </w:r>
          </w:p>
        </w:tc>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Do not claim statistical improvement.</w:t>
            </w:r>
          </w:p>
        </w:tc>
      </w:tr>
      <w:tr>
        <w:tc>
          <w:tcPr>
            <w:tcW w:type="dxa" w:w="23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Human review and escalation</w:t>
            </w:r>
          </w:p>
        </w:tc>
        <w:tc>
          <w:tcPr>
            <w:tcW w:type="dxa" w:w="432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Defined reviewer, approval point, failure response and override.</w:t>
            </w:r>
          </w:p>
        </w:tc>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No use in official production.</w:t>
            </w:r>
          </w:p>
        </w:tc>
      </w:tr>
      <w:tr>
        <w:tc>
          <w:tcPr>
            <w:tcW w:type="dxa" w:w="23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4"/>
              </w:rPr>
              <w:t>Documentation and reproducibility</w:t>
            </w:r>
          </w:p>
        </w:tc>
        <w:tc>
          <w:tcPr>
            <w:tcW w:type="dxa" w:w="432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Versioned data, code, prompts, model/tool identity, tests and decision record.</w:t>
            </w:r>
          </w:p>
        </w:tc>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Output remains exploratory.</w:t>
            </w:r>
          </w:p>
        </w:tc>
      </w:tr>
      <w:tr>
        <w:tc>
          <w:tcPr>
            <w:tcW w:type="dxa" w:w="237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Continuity and exit</w:t>
            </w:r>
          </w:p>
        </w:tc>
        <w:tc>
          <w:tcPr>
            <w:tcW w:type="dxa" w:w="432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Fallback process and ability to continue if a tool or provider becomes unavailable.</w:t>
            </w:r>
          </w:p>
        </w:tc>
        <w:tc>
          <w:tcPr>
            <w:tcW w:type="dxa" w:w="259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No dependency in a critical production cycle.</w:t>
            </w:r>
          </w:p>
        </w:tc>
      </w:tr>
    </w:tbl>
    <w:p>
      <w:pPr>
        <w:spacing w:after="0"/>
      </w:pPr>
    </w:p>
    <w:p>
      <w:pPr>
        <w:pStyle w:val="Heading2"/>
      </w:pPr>
      <w:r>
        <w:t>Additional gates for official production</w:t>
      </w:r>
    </w:p>
    <w:p>
      <w:pPr>
        <w:pStyle w:val="ListBullet"/>
        <w:spacing w:after="50"/>
      </w:pPr>
      <w:r>
        <w:t>Documented impact on estimates, errors, subgroups, revisions and comparability.</w:t>
      </w:r>
    </w:p>
    <w:p>
      <w:pPr>
        <w:pStyle w:val="ListBullet"/>
        <w:spacing w:after="50"/>
      </w:pPr>
      <w:r>
        <w:t>Independent methodological and quality review appropriate to the product.</w:t>
      </w:r>
    </w:p>
    <w:p>
      <w:pPr>
        <w:pStyle w:val="ListBullet"/>
        <w:spacing w:after="50"/>
      </w:pPr>
      <w:r>
        <w:t>Security, confidentiality and disclosure review completed.</w:t>
      </w:r>
    </w:p>
    <w:p>
      <w:pPr>
        <w:pStyle w:val="ListBullet"/>
        <w:spacing w:after="50"/>
      </w:pPr>
      <w:r>
        <w:t>Operational monitoring, incident response and model or workflow retirement procedures.</w:t>
      </w:r>
    </w:p>
    <w:p>
      <w:pPr>
        <w:pStyle w:val="ListBullet"/>
        <w:spacing w:after="50"/>
      </w:pPr>
      <w:r>
        <w:t>Transparent evidence-status, methods and limitations for users.</w:t>
      </w:r>
    </w:p>
    <w:p>
      <w:pPr>
        <w:pStyle w:val="ListBullet"/>
        <w:spacing w:after="50"/>
      </w:pPr>
      <w:r>
        <w:t>Formal production approval by the authorized statistical institution.</w:t>
      </w:r>
    </w:p>
    <w:p>
      <w:r>
        <w:br w:type="page"/>
      </w:r>
    </w:p>
    <w:p>
      <w:pPr>
        <w:pStyle w:val="Heading1"/>
      </w:pPr>
      <w:r>
        <w:t>Use case risk classification</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4"/>
              </w:rPr>
              <w:t>Class</w:t>
            </w:r>
          </w:p>
        </w:tc>
        <w:tc>
          <w:tcPr>
            <w:tcW w:type="dxa" w:w="2498"/>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4"/>
              </w:rPr>
              <w:t>Typical characteristics</w:t>
            </w:r>
          </w:p>
        </w:tc>
        <w:tc>
          <w:tcPr>
            <w:tcW w:type="dxa" w:w="2498"/>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4"/>
              </w:rPr>
              <w:t>Examples</w:t>
            </w:r>
          </w:p>
        </w:tc>
        <w:tc>
          <w:tcPr>
            <w:tcW w:type="dxa" w:w="2498"/>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4"/>
              </w:rPr>
              <w:t>Required disposition</w:t>
            </w:r>
          </w:p>
        </w:tc>
      </w:tr>
      <w:tr>
        <w:tc>
          <w:tcPr>
            <w:tcW w:type="dxa" w:w="9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A Low</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Public or synthetic data; reversible output; no official estimate or individual effect.</w:t>
            </w:r>
          </w:p>
        </w:tc>
        <w:tc>
          <w:tcPr>
            <w:tcW w:type="dxa" w:w="26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Document search, code explanation, draft metadata.</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Approved tools, direct verification and routine documentation.</w:t>
            </w:r>
          </w:p>
        </w:tc>
      </w:tr>
      <w:tr>
        <w:tc>
          <w:tcPr>
            <w:tcW w:type="dxa" w:w="9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4"/>
              </w:rPr>
              <w:t>B Moderate</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Internal data; bounded classification or processing; output reviewed before use.</w:t>
            </w:r>
          </w:p>
        </w:tc>
        <w:tc>
          <w:tcPr>
            <w:tcW w:type="dxa" w:w="26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Open-text coding, anomaly flags, questionnaire comparison.</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Controlled pilot, benchmark sample, error analysis and accountable reviewer.</w:t>
            </w:r>
          </w:p>
        </w:tc>
      </w:tr>
      <w:tr>
        <w:tc>
          <w:tcPr>
            <w:tcW w:type="dxa" w:w="9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4"/>
              </w:rPr>
              <w:t>C High</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Confidential data, material impact on estimates or difficult-to-detect errors.</w:t>
            </w:r>
          </w:p>
        </w:tc>
        <w:tc>
          <w:tcPr>
            <w:tcW w:type="dxa" w:w="26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Imputation, linkage, EO-based estimation, automated analytical text.</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4"/>
              </w:rPr>
              <w:t>Secure environment, formal validation, quality gate and senior approval.</w:t>
            </w:r>
          </w:p>
        </w:tc>
      </w:tr>
      <w:tr>
        <w:tc>
          <w:tcPr>
            <w:tcW w:type="dxa" w:w="9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4"/>
              </w:rPr>
              <w:t>D Critical</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Potential effect on rights, benefits, enforcement, major policy or public trust.</w:t>
            </w:r>
          </w:p>
        </w:tc>
        <w:tc>
          <w:tcPr>
            <w:tcW w:type="dxa" w:w="26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Individual eligibility, autonomous official estimation, sensitive public assistant.</w:t>
            </w:r>
          </w:p>
        </w:tc>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4"/>
              </w:rPr>
              <w:t>Presumption against use unless explicit authority, necessity and exceptional safeguards are demonstrated.</w:t>
            </w:r>
          </w:p>
        </w:tc>
      </w:tr>
    </w:tbl>
    <w:p>
      <w:pPr>
        <w:spacing w:after="0"/>
      </w:pPr>
    </w:p>
    <w:p>
      <w:pPr>
        <w:pStyle w:val="Heading2"/>
      </w:pPr>
      <w:r>
        <w:t>Risk factors</w:t>
      </w:r>
    </w:p>
    <w:p>
      <w:pPr>
        <w:pStyle w:val="ListBullet"/>
        <w:spacing w:after="50"/>
      </w:pPr>
      <w:r>
        <w:t>Data sensitivity and possibility of re-identification.</w:t>
      </w:r>
    </w:p>
    <w:p>
      <w:pPr>
        <w:pStyle w:val="ListBullet"/>
        <w:spacing w:after="50"/>
      </w:pPr>
      <w:r>
        <w:t>Materiality for published estimates, time series or policy decisions.</w:t>
      </w:r>
    </w:p>
    <w:p>
      <w:pPr>
        <w:pStyle w:val="ListBullet"/>
        <w:spacing w:after="50"/>
      </w:pPr>
      <w:r>
        <w:t>Scale, automation and difficulty of detecting error.</w:t>
      </w:r>
    </w:p>
    <w:p>
      <w:pPr>
        <w:pStyle w:val="ListBullet"/>
        <w:spacing w:after="50"/>
      </w:pPr>
      <w:r>
        <w:t>Effects on individuals, groups or geographic areas.</w:t>
      </w:r>
    </w:p>
    <w:p>
      <w:pPr>
        <w:pStyle w:val="ListBullet"/>
        <w:spacing w:after="50"/>
      </w:pPr>
      <w:r>
        <w:t>Opacity, external dependency and inability to reproduce the result.</w:t>
      </w:r>
    </w:p>
    <w:p>
      <w:pPr>
        <w:pStyle w:val="ListBullet"/>
        <w:spacing w:after="50"/>
      </w:pPr>
      <w:r>
        <w:t>Consequences for professional independence, credibility and public trust.</w:t>
      </w:r>
    </w:p>
    <w:p>
      <w:pPr>
        <w:pStyle w:val="Heading2"/>
      </w:pPr>
      <w:r>
        <w:t>Relationship between maturity and risk</w:t>
      </w:r>
    </w:p>
    <w:p>
      <w:r>
        <w:t>A high institutional maturity level does not make every use case acceptable. It increases the institution’s ability to assess and manage risk. Conversely, a low-risk use case may be piloted at an early maturity level if all relevant gates are satisfied and the scope remains bounded.</w:t>
      </w:r>
    </w:p>
    <w:p>
      <w:r>
        <w:br w:type="page"/>
      </w:r>
    </w:p>
    <w:p>
      <w:pPr>
        <w:pStyle w:val="Heading1"/>
      </w:pPr>
      <w:r>
        <w:t>Assessment process</w:t>
      </w:r>
    </w:p>
    <w:p>
      <w:pPr>
        <w:pStyle w:val="Heading2"/>
      </w:pPr>
      <w:r>
        <w:t>Six stages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Stage</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Main activities</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Outputs</w:t>
            </w:r>
          </w:p>
        </w:tc>
      </w:tr>
      <w:tr>
        <w:tc>
          <w:tcPr>
            <w:tcW w:type="dxa" w:w="194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1. Preparation</w:t>
            </w:r>
          </w:p>
        </w:tc>
        <w:tc>
          <w:tcPr>
            <w:tcW w:type="dxa" w:w="45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Confirm scope, units, sponsors, respondents, schedule, confidentiality and evidence requests.</w:t>
            </w:r>
          </w:p>
        </w:tc>
        <w:tc>
          <w:tcPr>
            <w:tcW w:type="dxa" w:w="280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Assessment charter and evidence plan.</w:t>
            </w:r>
          </w:p>
        </w:tc>
      </w:tr>
      <w:tr>
        <w:tc>
          <w:tcPr>
            <w:tcW w:type="dxa" w:w="194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2. Desk review</w:t>
            </w:r>
          </w:p>
        </w:tc>
        <w:tc>
          <w:tcPr>
            <w:tcW w:type="dxa" w:w="45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Review law, strategies, policies, organization, systems, quality reports and existing assessments.</w:t>
            </w:r>
          </w:p>
        </w:tc>
        <w:tc>
          <w:tcPr>
            <w:tcW w:type="dxa" w:w="280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Initial map and evidence register.</w:t>
            </w:r>
          </w:p>
        </w:tc>
      </w:tr>
      <w:tr>
        <w:tc>
          <w:tcPr>
            <w:tcW w:type="dxa" w:w="194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3. Self assessment</w:t>
            </w:r>
          </w:p>
        </w:tc>
        <w:tc>
          <w:tcPr>
            <w:tcW w:type="dxa" w:w="45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Institutions complete structured questions and propose evidence.</w:t>
            </w:r>
          </w:p>
        </w:tc>
        <w:tc>
          <w:tcPr>
            <w:tcW w:type="dxa" w:w="280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Provisional scores and respondent notes.</w:t>
            </w:r>
          </w:p>
        </w:tc>
      </w:tr>
      <w:tr>
        <w:tc>
          <w:tcPr>
            <w:tcW w:type="dxa" w:w="194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4. Interviews and demonstrations</w:t>
            </w:r>
          </w:p>
        </w:tc>
        <w:tc>
          <w:tcPr>
            <w:tcW w:type="dxa" w:w="45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Challenge responses; observe selected systems and workflows; gather missing evidence.</w:t>
            </w:r>
          </w:p>
        </w:tc>
        <w:tc>
          <w:tcPr>
            <w:tcW w:type="dxa" w:w="280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Revised scores, findings and uncertainties.</w:t>
            </w:r>
          </w:p>
        </w:tc>
      </w:tr>
      <w:tr>
        <w:tc>
          <w:tcPr>
            <w:tcW w:type="dxa" w:w="194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5. Consensus and validation workshop</w:t>
            </w:r>
          </w:p>
        </w:tc>
        <w:tc>
          <w:tcPr>
            <w:tcW w:type="dxa" w:w="45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Resolve disagreements, set targets, apply gates and prioritize actions.</w:t>
            </w:r>
          </w:p>
        </w:tc>
        <w:tc>
          <w:tcPr>
            <w:tcW w:type="dxa" w:w="280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Agreed profile, targets and action priorities.</w:t>
            </w:r>
          </w:p>
        </w:tc>
      </w:tr>
      <w:tr>
        <w:tc>
          <w:tcPr>
            <w:tcW w:type="dxa" w:w="194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6. Reporting and sign off</w:t>
            </w:r>
          </w:p>
        </w:tc>
        <w:tc>
          <w:tcPr>
            <w:tcW w:type="dxa" w:w="45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Independent review, management response and publication decision.</w:t>
            </w:r>
          </w:p>
        </w:tc>
        <w:tc>
          <w:tcPr>
            <w:tcW w:type="dxa" w:w="280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Diagnostic report and implementation roadmap.</w:t>
            </w:r>
          </w:p>
        </w:tc>
      </w:tr>
    </w:tbl>
    <w:p>
      <w:pPr>
        <w:spacing w:after="0"/>
      </w:pPr>
    </w:p>
    <w:p>
      <w:pPr>
        <w:pStyle w:val="Heading2"/>
      </w:pPr>
      <w:r>
        <w:t>Indicative timetable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Week</w:t>
            </w:r>
          </w:p>
        </w:tc>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Work</w:t>
            </w:r>
          </w:p>
        </w:tc>
      </w:tr>
      <w:tr>
        <w:tc>
          <w:tcPr>
            <w:tcW w:type="dxa" w:w="11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1</w:t>
            </w:r>
          </w:p>
        </w:tc>
        <w:tc>
          <w:tcPr>
            <w:tcW w:type="dxa" w:w="80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Scope, stakeholder map, evidence request and respondent briefing.</w:t>
            </w:r>
          </w:p>
        </w:tc>
      </w:tr>
      <w:tr>
        <w:tc>
          <w:tcPr>
            <w:tcW w:type="dxa" w:w="11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2</w:t>
            </w:r>
          </w:p>
        </w:tc>
        <w:tc>
          <w:tcPr>
            <w:tcW w:type="dxa" w:w="80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Desk review and institutional self-assessment.</w:t>
            </w:r>
          </w:p>
        </w:tc>
      </w:tr>
      <w:tr>
        <w:tc>
          <w:tcPr>
            <w:tcW w:type="dxa" w:w="11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3</w:t>
            </w:r>
          </w:p>
        </w:tc>
        <w:tc>
          <w:tcPr>
            <w:tcW w:type="dxa" w:w="80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Interviews, workflow mapping and demonstrations.</w:t>
            </w:r>
          </w:p>
        </w:tc>
      </w:tr>
      <w:tr>
        <w:tc>
          <w:tcPr>
            <w:tcW w:type="dxa" w:w="11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4</w:t>
            </w:r>
          </w:p>
        </w:tc>
        <w:tc>
          <w:tcPr>
            <w:tcW w:type="dxa" w:w="80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Evidence reconciliation and provisional scoring.</w:t>
            </w:r>
          </w:p>
        </w:tc>
      </w:tr>
      <w:tr>
        <w:tc>
          <w:tcPr>
            <w:tcW w:type="dxa" w:w="11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5</w:t>
            </w:r>
          </w:p>
        </w:tc>
        <w:tc>
          <w:tcPr>
            <w:tcW w:type="dxa" w:w="80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Validation and priority-setting workshop.</w:t>
            </w:r>
          </w:p>
        </w:tc>
      </w:tr>
      <w:tr>
        <w:tc>
          <w:tcPr>
            <w:tcW w:type="dxa" w:w="115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6</w:t>
            </w:r>
          </w:p>
        </w:tc>
        <w:tc>
          <w:tcPr>
            <w:tcW w:type="dxa" w:w="80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Report, management response and implementation plan.</w:t>
            </w:r>
          </w:p>
        </w:tc>
      </w:tr>
    </w:tbl>
    <w:p>
      <w:pPr>
        <w:spacing w:after="0"/>
      </w:pPr>
    </w:p>
    <w:p>
      <w:pPr>
        <w:pStyle w:val="Heading2"/>
      </w:pPr>
      <w:r>
        <w:t>Assessment team</w:t>
      </w:r>
    </w:p>
    <w:p>
      <w:pPr>
        <w:pStyle w:val="ListBullet"/>
        <w:spacing w:after="50"/>
      </w:pPr>
      <w:r>
        <w:t>Lead official-statistics and institutional-capacity assessor.</w:t>
      </w:r>
    </w:p>
    <w:p>
      <w:pPr>
        <w:pStyle w:val="ListBullet"/>
        <w:spacing w:after="50"/>
      </w:pPr>
      <w:r>
        <w:t>Statistical methodology and quality specialist.</w:t>
      </w:r>
    </w:p>
    <w:p>
      <w:pPr>
        <w:pStyle w:val="ListBullet"/>
        <w:spacing w:after="50"/>
      </w:pPr>
      <w:r>
        <w:t>AI or data-science specialist.</w:t>
      </w:r>
    </w:p>
    <w:p>
      <w:pPr>
        <w:pStyle w:val="ListBullet"/>
        <w:spacing w:after="50"/>
      </w:pPr>
      <w:r>
        <w:t>Data governance, legal, confidentiality and security expertise.</w:t>
      </w:r>
    </w:p>
    <w:p>
      <w:pPr>
        <w:pStyle w:val="ListBullet"/>
        <w:spacing w:after="50"/>
      </w:pPr>
      <w:r>
        <w:t>Relevant domain specialist, beginning with agricultural statistics.</w:t>
      </w:r>
    </w:p>
    <w:p>
      <w:pPr>
        <w:pStyle w:val="ListBullet"/>
        <w:spacing w:after="50"/>
      </w:pPr>
      <w:r>
        <w:t>National counterparts representing the NSO and sector institutions.</w:t>
      </w:r>
    </w:p>
    <w:p>
      <w:r>
        <w:br w:type="page"/>
      </w:r>
    </w:p>
    <w:p>
      <w:pPr>
        <w:pStyle w:val="Heading1"/>
      </w:pPr>
      <w:r>
        <w:t>Reporting and prioritization</w:t>
      </w:r>
    </w:p>
    <w:p>
      <w:pPr>
        <w:pStyle w:val="Heading2"/>
      </w:pPr>
      <w:r>
        <w:t>Required diagnostic outputs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Output</w:t>
            </w:r>
          </w:p>
        </w:tc>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5"/>
              </w:rPr>
              <w:t>Content</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Ecosystem map</w:t>
            </w:r>
          </w:p>
        </w:tc>
        <w:tc>
          <w:tcPr>
            <w:tcW w:type="dxa" w:w="676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Institutions, mandates, systems, sources, users, flows and coordination relationships.</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Capability profile</w:t>
            </w:r>
          </w:p>
        </w:tc>
        <w:tc>
          <w:tcPr>
            <w:tcW w:type="dxa" w:w="676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Current and target level for each dimension and assessment unit.</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Evidence register</w:t>
            </w:r>
          </w:p>
        </w:tc>
        <w:tc>
          <w:tcPr>
            <w:tcW w:type="dxa" w:w="676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Source, date, owner, relevance, limitations and confidence.</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Readiness gate register</w:t>
            </w:r>
          </w:p>
        </w:tc>
        <w:tc>
          <w:tcPr>
            <w:tcW w:type="dxa" w:w="676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Pass, conditional pass or stop; control, owner and due date.</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Use case portfolio</w:t>
            </w:r>
          </w:p>
        </w:tc>
        <w:tc>
          <w:tcPr>
            <w:tcW w:type="dxa" w:w="676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Value, feasibility, risk class, prerequisites, benchmark and owner.</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Gap and dependency map</w:t>
            </w:r>
          </w:p>
        </w:tc>
        <w:tc>
          <w:tcPr>
            <w:tcW w:type="dxa" w:w="676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Actions required before higher-risk or production uses can proceed.</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5"/>
              </w:rPr>
              <w:t>Implementation roadmap</w:t>
            </w:r>
          </w:p>
        </w:tc>
        <w:tc>
          <w:tcPr>
            <w:tcW w:type="dxa" w:w="676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5"/>
              </w:rPr>
              <w:t>Priorities, timing, responsibilities, costs, dependencies and indicators.</w:t>
            </w:r>
          </w:p>
        </w:tc>
      </w:tr>
      <w:tr>
        <w:tc>
          <w:tcPr>
            <w:tcW w:type="dxa" w:w="244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5"/>
              </w:rPr>
              <w:t>Training implications</w:t>
            </w:r>
          </w:p>
        </w:tc>
        <w:tc>
          <w:tcPr>
            <w:tcW w:type="dxa" w:w="6768"/>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5"/>
              </w:rPr>
              <w:t>Cohort composition, modules, laboratories, mentoring and capstone options.</w:t>
            </w:r>
          </w:p>
        </w:tc>
      </w:tr>
    </w:tbl>
    <w:p>
      <w:pPr>
        <w:spacing w:after="0"/>
      </w:pPr>
    </w:p>
    <w:p>
      <w:pPr>
        <w:pStyle w:val="Heading2"/>
      </w:pPr>
      <w:r>
        <w:t>Priority method</w:t>
      </w:r>
    </w:p>
    <w:p>
      <w:r>
        <w:t>Actions are prioritized by statistical or public value, urgency, risk reduction, feasibility, dependency, sustainability and learning value. Critical legal, confidentiality, security and quality gaps take precedence over attractive but nonessential applications.</w:t>
      </w:r>
    </w:p>
    <w:p>
      <w:pPr>
        <w:pStyle w:val="Heading2"/>
      </w:pPr>
      <w:r>
        <w:t>Priority bands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Band</w:t>
            </w:r>
          </w:p>
        </w:tc>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Meaning</w:t>
            </w:r>
          </w:p>
        </w:tc>
      </w:tr>
      <w:tr>
        <w:tc>
          <w:tcPr>
            <w:tcW w:type="dxa" w:w="20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P0 Safeguard</w:t>
            </w:r>
          </w:p>
        </w:tc>
        <w:tc>
          <w:tcPr>
            <w:tcW w:type="dxa" w:w="720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Must be addressed before the affected activity proceeds.</w:t>
            </w:r>
          </w:p>
        </w:tc>
      </w:tr>
      <w:tr>
        <w:tc>
          <w:tcPr>
            <w:tcW w:type="dxa" w:w="20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P1 Foundation</w:t>
            </w:r>
          </w:p>
        </w:tc>
        <w:tc>
          <w:tcPr>
            <w:tcW w:type="dxa" w:w="720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Creates a dependency for several valuable use cases or programme components.</w:t>
            </w:r>
          </w:p>
        </w:tc>
      </w:tr>
      <w:tr>
        <w:tc>
          <w:tcPr>
            <w:tcW w:type="dxa" w:w="20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P2 Operational</w:t>
            </w:r>
          </w:p>
        </w:tc>
        <w:tc>
          <w:tcPr>
            <w:tcW w:type="dxa" w:w="720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Improves a specific production process with measurable value.</w:t>
            </w:r>
          </w:p>
        </w:tc>
      </w:tr>
      <w:tr>
        <w:tc>
          <w:tcPr>
            <w:tcW w:type="dxa" w:w="201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P3 Developmental</w:t>
            </w:r>
          </w:p>
        </w:tc>
        <w:tc>
          <w:tcPr>
            <w:tcW w:type="dxa" w:w="720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Builds longer-term capability, innovation or scale.</w:t>
            </w:r>
          </w:p>
        </w:tc>
      </w:tr>
    </w:tbl>
    <w:p>
      <w:pPr>
        <w:spacing w:after="0"/>
      </w:pPr>
    </w:p>
    <w:p>
      <w:pPr>
        <w:pStyle w:val="Heading2"/>
      </w:pPr>
      <w:r>
        <w:t>Management response</w:t>
      </w:r>
    </w:p>
    <w:p>
      <w:r>
        <w:t>The assessed institution should formally accept, qualify or reject each major finding and assign owners to agreed actions. Disagreements remain visible in the report. The diagnostic becomes actionable only when it is connected to budgeting, the national statistical strategy, sector plans or an approved institutional work programme.</w:t>
      </w:r>
    </w:p>
    <w:p>
      <w:r>
        <w:br w:type="page"/>
      </w:r>
    </w:p>
    <w:p>
      <w:pPr>
        <w:pStyle w:val="Heading1"/>
      </w:pPr>
      <w:r>
        <w:t>Agricultural statistics implementation lens</w:t>
      </w:r>
    </w:p>
    <w:p>
      <w:pPr>
        <w:pStyle w:val="Heading2"/>
      </w:pPr>
      <w:r>
        <w:t>Institutional coverage</w:t>
      </w:r>
    </w:p>
    <w:p>
      <w:pPr>
        <w:pStyle w:val="ListBullet"/>
        <w:spacing w:after="50"/>
      </w:pPr>
      <w:r>
        <w:t>National Statistical Office and agricultural census or survey functions.</w:t>
      </w:r>
    </w:p>
    <w:p>
      <w:pPr>
        <w:pStyle w:val="ListBullet"/>
        <w:spacing w:after="50"/>
      </w:pPr>
      <w:r>
        <w:t>Ministry of Agriculture statistical, planning, administrative and extension systems.</w:t>
      </w:r>
    </w:p>
    <w:p>
      <w:pPr>
        <w:pStyle w:val="ListBullet"/>
        <w:spacing w:after="50"/>
      </w:pPr>
      <w:r>
        <w:t>Food-security, fisheries, forestry, livestock and market-information institutions.</w:t>
      </w:r>
    </w:p>
    <w:p>
      <w:pPr>
        <w:pStyle w:val="ListBullet"/>
        <w:spacing w:after="50"/>
      </w:pPr>
      <w:r>
        <w:t>Agricultural research organizations, universities and laboratories.</w:t>
      </w:r>
    </w:p>
    <w:p>
      <w:pPr>
        <w:pStyle w:val="ListBullet"/>
        <w:spacing w:after="50"/>
      </w:pPr>
      <w:r>
        <w:t>Meteorological, land, mapping and Earth-observation institutions.</w:t>
      </w:r>
    </w:p>
    <w:p>
      <w:pPr>
        <w:pStyle w:val="ListBullet"/>
        <w:spacing w:after="50"/>
      </w:pPr>
      <w:r>
        <w:t>Customs, trade, finance, private agribusiness and farmer organizations where relevant.</w:t>
      </w:r>
    </w:p>
    <w:p>
      <w:pPr>
        <w:pStyle w:val="Heading2"/>
      </w:pPr>
      <w:r>
        <w:t>Priority workflows for diagnostic sampling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Workflow</w:t>
            </w:r>
          </w:p>
        </w:tc>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Why it is informative</w:t>
            </w:r>
          </w:p>
        </w:tc>
      </w:tr>
      <w:tr>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Agricultural census or major survey</w:t>
            </w:r>
          </w:p>
        </w:tc>
        <w:tc>
          <w:tcPr>
            <w:tcW w:type="dxa" w:w="63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Tests design, collection, processing, coding, quality, dissemination and institutional coordination.</w:t>
            </w:r>
          </w:p>
        </w:tc>
      </w:tr>
      <w:tr>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Annual crop production estimation</w:t>
            </w:r>
          </w:p>
        </w:tc>
        <w:tc>
          <w:tcPr>
            <w:tcW w:type="dxa" w:w="63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Tests survey, administrative, expert, research, weather and EO integration.</w:t>
            </w:r>
          </w:p>
        </w:tc>
      </w:tr>
      <w:tr>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Farm or holding register</w:t>
            </w:r>
          </w:p>
        </w:tc>
        <w:tc>
          <w:tcPr>
            <w:tcW w:type="dxa" w:w="63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Tests identifiers, administrative reuse, linkage, updating, confidentiality and governance.</w:t>
            </w:r>
          </w:p>
        </w:tc>
      </w:tr>
      <w:tr>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Market price information</w:t>
            </w:r>
          </w:p>
        </w:tc>
        <w:tc>
          <w:tcPr>
            <w:tcW w:type="dxa" w:w="63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Tests timeliness, classification, web or private data, validation and dissemination.</w:t>
            </w:r>
          </w:p>
        </w:tc>
      </w:tr>
      <w:tr>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Food security monitoring</w:t>
            </w:r>
          </w:p>
        </w:tc>
        <w:tc>
          <w:tcPr>
            <w:tcW w:type="dxa" w:w="63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Tests cross-sector sources, modelled indicators, evidence status and high-stakes communication.</w:t>
            </w:r>
          </w:p>
        </w:tc>
      </w:tr>
      <w:tr>
        <w:tc>
          <w:tcPr>
            <w:tcW w:type="dxa" w:w="28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Research station information</w:t>
            </w:r>
          </w:p>
        </w:tc>
        <w:tc>
          <w:tcPr>
            <w:tcW w:type="dxa" w:w="633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Tests scientific evidence, external validity, metadata and links to actual production statistics.</w:t>
            </w:r>
          </w:p>
        </w:tc>
      </w:tr>
    </w:tbl>
    <w:p>
      <w:pPr>
        <w:spacing w:after="0"/>
      </w:pPr>
    </w:p>
    <w:p>
      <w:pPr>
        <w:pStyle w:val="Heading2"/>
      </w:pPr>
      <w:r>
        <w:t>Pilot selection principle</w:t>
      </w:r>
    </w:p>
    <w:p>
      <w:r>
        <w:t>The diagnostic should map the whole relevant ecosystem but examine only a manageable sample of workflows in depth. One workflow should be mature and stable enough to provide a reliable benchmark; another may be selected because it exposes a high-value information gap or coordination problem.</w:t>
      </w:r>
    </w:p>
    <w:p>
      <w:r>
        <w:br w:type="page"/>
      </w:r>
    </w:p>
    <w:p>
      <w:pPr>
        <w:pStyle w:val="Heading1"/>
      </w:pPr>
      <w:r>
        <w:t>Quality assurance for the diagnostic</w:t>
      </w:r>
    </w:p>
    <w:p>
      <w:pPr>
        <w:pStyle w:val="Heading2"/>
      </w:pPr>
      <w:r>
        <w:t>Assessor controls</w:t>
      </w:r>
    </w:p>
    <w:p>
      <w:pPr>
        <w:pStyle w:val="ListBullet"/>
        <w:spacing w:after="50"/>
      </w:pPr>
      <w:r>
        <w:t>Use anchored questions and a common evidence dictionary.</w:t>
      </w:r>
    </w:p>
    <w:p>
      <w:pPr>
        <w:pStyle w:val="ListBullet"/>
        <w:spacing w:after="50"/>
      </w:pPr>
      <w:r>
        <w:t>Separate self-assessment from validation and independent challenge.</w:t>
      </w:r>
    </w:p>
    <w:p>
      <w:pPr>
        <w:pStyle w:val="ListBullet"/>
        <w:spacing w:after="50"/>
      </w:pPr>
      <w:r>
        <w:t>Record sources and reasoning for material scoring decisions.</w:t>
      </w:r>
    </w:p>
    <w:p>
      <w:pPr>
        <w:pStyle w:val="ListBullet"/>
        <w:spacing w:after="50"/>
      </w:pPr>
      <w:r>
        <w:t>Calibrate assessors using common fictional and real-world examples.</w:t>
      </w:r>
    </w:p>
    <w:p>
      <w:pPr>
        <w:pStyle w:val="ListBullet"/>
        <w:spacing w:after="50"/>
      </w:pPr>
      <w:r>
        <w:t>Test inter-rater agreement during the pilot and revise ambiguous criteria.</w:t>
      </w:r>
    </w:p>
    <w:p>
      <w:pPr>
        <w:pStyle w:val="ListBullet"/>
        <w:spacing w:after="50"/>
      </w:pPr>
      <w:r>
        <w:t>Protect sensitive institutional information and agree publication boundaries.</w:t>
      </w:r>
    </w:p>
    <w:p>
      <w:pPr>
        <w:pStyle w:val="ListBullet"/>
        <w:spacing w:after="50"/>
      </w:pPr>
      <w:r>
        <w:t>Disclose conflicts of interest, sponsor influence and material limitations.</w:t>
      </w:r>
    </w:p>
    <w:p>
      <w:pPr>
        <w:pStyle w:val="Heading2"/>
      </w:pPr>
      <w:r>
        <w:t>Diagnostic quality dimensions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Dimension</w:t>
            </w:r>
          </w:p>
        </w:tc>
        <w:tc>
          <w:tcPr>
            <w:tcW w:type="dxa" w:w="4997"/>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Control</w:t>
            </w:r>
          </w:p>
        </w:tc>
      </w:tr>
      <w:tr>
        <w:tc>
          <w:tcPr>
            <w:tcW w:type="dxa" w:w="216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Relevance</w:t>
            </w:r>
          </w:p>
        </w:tc>
        <w:tc>
          <w:tcPr>
            <w:tcW w:type="dxa" w:w="705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Scope and targets are agreed with country institutions and connected to actual decisions.</w:t>
            </w:r>
          </w:p>
        </w:tc>
      </w:tr>
      <w:tr>
        <w:tc>
          <w:tcPr>
            <w:tcW w:type="dxa" w:w="216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Accuracy and reliability</w:t>
            </w:r>
          </w:p>
        </w:tc>
        <w:tc>
          <w:tcPr>
            <w:tcW w:type="dxa" w:w="705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Claims are evidence based, triangulated and reviewed for consistency.</w:t>
            </w:r>
          </w:p>
        </w:tc>
      </w:tr>
      <w:tr>
        <w:tc>
          <w:tcPr>
            <w:tcW w:type="dxa" w:w="216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Comparability</w:t>
            </w:r>
          </w:p>
        </w:tc>
        <w:tc>
          <w:tcPr>
            <w:tcW w:type="dxa" w:w="705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Core definitions and anchors remain stable across assessments; context is preserved.</w:t>
            </w:r>
          </w:p>
        </w:tc>
      </w:tr>
      <w:tr>
        <w:tc>
          <w:tcPr>
            <w:tcW w:type="dxa" w:w="216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Timeliness</w:t>
            </w:r>
          </w:p>
        </w:tc>
        <w:tc>
          <w:tcPr>
            <w:tcW w:type="dxa" w:w="705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The six-week default is adapted where evidence or coordination requires more time.</w:t>
            </w:r>
          </w:p>
        </w:tc>
      </w:tr>
      <w:tr>
        <w:tc>
          <w:tcPr>
            <w:tcW w:type="dxa" w:w="216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Clarity</w:t>
            </w:r>
          </w:p>
        </w:tc>
        <w:tc>
          <w:tcPr>
            <w:tcW w:type="dxa" w:w="705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Scores are accompanied by findings, evidence, confidence and implications.</w:t>
            </w:r>
          </w:p>
        </w:tc>
      </w:tr>
      <w:tr>
        <w:tc>
          <w:tcPr>
            <w:tcW w:type="dxa" w:w="216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Impartiality</w:t>
            </w:r>
          </w:p>
        </w:tc>
        <w:tc>
          <w:tcPr>
            <w:tcW w:type="dxa" w:w="7056"/>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Assessors document conflicts, dissent and the distinction between findings and recommendations.</w:t>
            </w:r>
          </w:p>
        </w:tc>
      </w:tr>
    </w:tbl>
    <w:p>
      <w:pPr>
        <w:spacing w:after="0"/>
      </w:pPr>
    </w:p>
    <w:p>
      <w:pPr>
        <w:pStyle w:val="Heading2"/>
      </w:pPr>
      <w:r>
        <w:t>Pilot evaluation questions</w:t>
      </w:r>
    </w:p>
    <w:p>
      <w:pPr>
        <w:spacing w:after="50"/>
        <w:ind w:left="403" w:hanging="317"/>
      </w:pPr>
      <w:r>
        <w:rPr>
          <w:b/>
        </w:rPr>
        <w:t xml:space="preserve">1. </w:t>
      </w:r>
      <w:r>
        <w:t>Did respondents interpret questions consistently?</w:t>
      </w:r>
    </w:p>
    <w:p>
      <w:pPr>
        <w:spacing w:after="50"/>
        <w:ind w:left="403" w:hanging="317"/>
      </w:pPr>
      <w:r>
        <w:rPr>
          <w:b/>
        </w:rPr>
        <w:t xml:space="preserve">2. </w:t>
      </w:r>
      <w:r>
        <w:t>Did the evidence requirements distinguish aspiration from actual capability?</w:t>
      </w:r>
    </w:p>
    <w:p>
      <w:pPr>
        <w:spacing w:after="50"/>
        <w:ind w:left="403" w:hanging="317"/>
      </w:pPr>
      <w:r>
        <w:rPr>
          <w:b/>
        </w:rPr>
        <w:t xml:space="preserve">3. </w:t>
      </w:r>
      <w:r>
        <w:t>Did scores lead to credible priorities and target levels?</w:t>
      </w:r>
    </w:p>
    <w:p>
      <w:pPr>
        <w:spacing w:after="50"/>
        <w:ind w:left="403" w:hanging="317"/>
      </w:pPr>
      <w:r>
        <w:rPr>
          <w:b/>
        </w:rPr>
        <w:t xml:space="preserve">4. </w:t>
      </w:r>
      <w:r>
        <w:t>Were the readiness gates proportionate and operational?</w:t>
      </w:r>
    </w:p>
    <w:p>
      <w:pPr>
        <w:spacing w:after="50"/>
        <w:ind w:left="403" w:hanging="317"/>
      </w:pPr>
      <w:r>
        <w:rPr>
          <w:b/>
        </w:rPr>
        <w:t xml:space="preserve">5. </w:t>
      </w:r>
      <w:r>
        <w:t>Did the diagnostic change programme design or investment decisions?</w:t>
      </w:r>
    </w:p>
    <w:p>
      <w:pPr>
        <w:spacing w:after="50"/>
        <w:ind w:left="403" w:hanging="317"/>
      </w:pPr>
      <w:r>
        <w:rPr>
          <w:b/>
        </w:rPr>
        <w:t xml:space="preserve">6. </w:t>
      </w:r>
      <w:r>
        <w:t>Could another trained team reproduce the judgments from the evidence record?</w:t>
      </w:r>
    </w:p>
    <w:p>
      <w:r>
        <w:br w:type="page"/>
      </w:r>
    </w:p>
    <w:p>
      <w:pPr>
        <w:pStyle w:val="Heading1"/>
      </w:pPr>
      <w:r>
        <w:t>Next toolkit production sequence</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Package</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Next product</w:t>
            </w:r>
          </w:p>
        </w:tc>
        <w:tc>
          <w:tcPr>
            <w:tcW w:type="dxa" w:w="3331"/>
            <w:shd w:fill="17324D"/>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b/>
                <w:color w:val="FFFFFF"/>
                <w:sz w:val="16"/>
              </w:rPr>
              <w:t>Dependency</w:t>
            </w:r>
          </w:p>
        </w:tc>
      </w:tr>
      <w:tr>
        <w:tc>
          <w:tcPr>
            <w:tcW w:type="dxa" w:w="10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1</w:t>
            </w:r>
          </w:p>
        </w:tc>
        <w:tc>
          <w:tcPr>
            <w:tcW w:type="dxa" w:w="44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Institution and NSS readiness questionnaire</w:t>
            </w:r>
          </w:p>
        </w:tc>
        <w:tc>
          <w:tcPr>
            <w:tcW w:type="dxa" w:w="36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This diagnostic framework.</w:t>
            </w:r>
          </w:p>
        </w:tc>
      </w:tr>
      <w:tr>
        <w:tc>
          <w:tcPr>
            <w:tcW w:type="dxa" w:w="10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2</w:t>
            </w:r>
          </w:p>
        </w:tc>
        <w:tc>
          <w:tcPr>
            <w:tcW w:type="dxa" w:w="44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Management interview guide</w:t>
            </w:r>
          </w:p>
        </w:tc>
        <w:tc>
          <w:tcPr>
            <w:tcW w:type="dxa" w:w="36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Questionnaire dimensions and evidence gaps.</w:t>
            </w:r>
          </w:p>
        </w:tc>
      </w:tr>
      <w:tr>
        <w:tc>
          <w:tcPr>
            <w:tcW w:type="dxa" w:w="10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3</w:t>
            </w:r>
          </w:p>
        </w:tc>
        <w:tc>
          <w:tcPr>
            <w:tcW w:type="dxa" w:w="44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Staff competency baseline assessment</w:t>
            </w:r>
          </w:p>
        </w:tc>
        <w:tc>
          <w:tcPr>
            <w:tcW w:type="dxa" w:w="36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Role pathways and programme competency levels.</w:t>
            </w:r>
          </w:p>
        </w:tc>
      </w:tr>
      <w:tr>
        <w:tc>
          <w:tcPr>
            <w:tcW w:type="dxa" w:w="10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4</w:t>
            </w:r>
          </w:p>
        </w:tc>
        <w:tc>
          <w:tcPr>
            <w:tcW w:type="dxa" w:w="44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Information ecosystem mapping instrument</w:t>
            </w:r>
          </w:p>
        </w:tc>
        <w:tc>
          <w:tcPr>
            <w:tcW w:type="dxa" w:w="36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Institution, source, system and flow taxonomy.</w:t>
            </w:r>
          </w:p>
        </w:tc>
      </w:tr>
      <w:tr>
        <w:tc>
          <w:tcPr>
            <w:tcW w:type="dxa" w:w="10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5</w:t>
            </w:r>
          </w:p>
        </w:tc>
        <w:tc>
          <w:tcPr>
            <w:tcW w:type="dxa" w:w="44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Workflow and use case mapping templates</w:t>
            </w:r>
          </w:p>
        </w:tc>
        <w:tc>
          <w:tcPr>
            <w:tcW w:type="dxa" w:w="36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GSBPM-aligned process and quality fields.</w:t>
            </w:r>
          </w:p>
        </w:tc>
      </w:tr>
      <w:tr>
        <w:tc>
          <w:tcPr>
            <w:tcW w:type="dxa" w:w="10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6</w:t>
            </w:r>
          </w:p>
        </w:tc>
        <w:tc>
          <w:tcPr>
            <w:tcW w:type="dxa" w:w="44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Scoring workbook and heat map</w:t>
            </w:r>
          </w:p>
        </w:tc>
        <w:tc>
          <w:tcPr>
            <w:tcW w:type="dxa" w:w="36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Anchored questions, gates and aggregation rules.</w:t>
            </w:r>
          </w:p>
        </w:tc>
      </w:tr>
      <w:tr>
        <w:tc>
          <w:tcPr>
            <w:tcW w:type="dxa" w:w="10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b/>
                <w:color w:val="0B6B69"/>
                <w:sz w:val="16"/>
              </w:rPr>
              <w:t>7</w:t>
            </w:r>
          </w:p>
        </w:tc>
        <w:tc>
          <w:tcPr>
            <w:tcW w:type="dxa" w:w="44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Validation workshop package</w:t>
            </w:r>
          </w:p>
        </w:tc>
        <w:tc>
          <w:tcPr>
            <w:tcW w:type="dxa" w:w="36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shd w:fill="F2F6F7"/>
          </w:tcPr>
          <w:p>
            <w:pPr>
              <w:spacing w:after="0" w:line="240" w:lineRule="auto"/>
            </w:pPr>
            <w:r>
              <w:rPr>
                <w:sz w:val="16"/>
              </w:rPr>
              <w:t>Provisional findings and target-setting method.</w:t>
            </w:r>
          </w:p>
        </w:tc>
      </w:tr>
      <w:tr>
        <w:tc>
          <w:tcPr>
            <w:tcW w:type="dxa" w:w="1080"/>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b/>
                <w:color w:val="0B6B69"/>
                <w:sz w:val="16"/>
              </w:rPr>
              <w:t>8</w:t>
            </w:r>
          </w:p>
        </w:tc>
        <w:tc>
          <w:tcPr>
            <w:tcW w:type="dxa" w:w="4464"/>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Diagnostic report and roadmap template</w:t>
            </w:r>
          </w:p>
        </w:tc>
        <w:tc>
          <w:tcPr>
            <w:tcW w:type="dxa" w:w="3672"/>
            <w:tcMar>
              <w:top w:w="95" w:type="dxa"/>
              <w:start w:w="105" w:type="dxa"/>
              <w:bottom w:w="95" w:type="dxa"/>
              <w:end w:w="105"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spacing w:after="0" w:line="240" w:lineRule="auto"/>
            </w:pPr>
            <w:r>
              <w:rPr>
                <w:sz w:val="16"/>
              </w:rPr>
              <w:t>All prior tools and reporting requirements.</w:t>
            </w:r>
          </w:p>
        </w:tc>
      </w:tr>
    </w:tbl>
    <w:p>
      <w:pPr>
        <w:spacing w:after="0"/>
      </w:pPr>
    </w:p>
    <w:p>
      <w:pPr>
        <w:pStyle w:val="Heading2"/>
      </w:pPr>
      <w:r>
        <w:t>Immediate next product</w:t>
      </w:r>
    </w:p>
    <w:p>
      <w:r>
        <w:t>The next document should be the Institution and NSS Readiness Questionnaire. It will translate the twelve dimensions into precise questions, response anchors, required evidence, respondent roles and scoring keys. A separate implementation workbook will later automate profile and heat-map production without replacing assessor judgment.</w:t>
      </w:r>
    </w:p>
    <w:p>
      <w:pPr>
        <w:pStyle w:val="Heading2"/>
      </w:pPr>
      <w:r>
        <w:t>Version 1 validation</w:t>
      </w:r>
    </w:p>
    <w:p>
      <w:r>
        <w:t>Before external deployment, this framework should be reviewed by a small technical advisory group representing official-statistics management, agricultural statistics, statistical quality, AI or data science, data governance and a resource-constrained statistical system. The review should test both conceptual completeness and the practical burden placed on participating institutions.</w:t>
      </w:r>
    </w:p>
    <w:p>
      <w:r>
        <w:br w:type="page"/>
      </w:r>
    </w:p>
    <w:p>
      <w:pPr>
        <w:pStyle w:val="Heading1"/>
      </w:pPr>
      <w:r>
        <w:t>Reference frameworks</w:t>
      </w:r>
    </w:p>
    <w:p>
      <w:pPr>
        <w:spacing w:after="120"/>
      </w:pPr>
      <w:r>
        <w:rPr>
          <w:b/>
        </w:rPr>
        <w:t>PARIS21 Statistical Capacity Development 4.0</w:t>
      </w:r>
      <w:r>
        <w:rPr>
          <w:color w:val="0B6B69"/>
          <w:sz w:val="16"/>
        </w:rPr>
        <w:br/>
        <w:t>https://www.paris21.org/sites/default/files/inline-files/CD4.0-Framework_final.pdf</w:t>
      </w:r>
    </w:p>
    <w:p>
      <w:pPr>
        <w:spacing w:after="120"/>
      </w:pPr>
      <w:r>
        <w:rPr>
          <w:b/>
        </w:rPr>
        <w:t>United Nations Big Data Maturity Matrix</w:t>
      </w:r>
      <w:r>
        <w:rPr>
          <w:color w:val="0B6B69"/>
          <w:sz w:val="16"/>
        </w:rPr>
        <w:br/>
        <w:t>https://unstats.un.org/bigdata/task-teams/training/Big%20Data%20Maturity%20Matrix%20v1.0.pdf</w:t>
      </w:r>
    </w:p>
    <w:p>
      <w:pPr>
        <w:spacing w:after="120"/>
      </w:pPr>
      <w:r>
        <w:rPr>
          <w:b/>
        </w:rPr>
        <w:t>World Bank Statistical Performance Indicators</w:t>
      </w:r>
      <w:r>
        <w:rPr>
          <w:color w:val="0B6B69"/>
          <w:sz w:val="16"/>
        </w:rPr>
        <w:br/>
        <w:t>https://www.worldbank.org/en/programs/statistical-performance-indicators</w:t>
      </w:r>
    </w:p>
    <w:p>
      <w:pPr>
        <w:spacing w:after="120"/>
      </w:pPr>
      <w:r>
        <w:rPr>
          <w:b/>
        </w:rPr>
        <w:t>United Nations Fundamental Principles of Official Statistics</w:t>
      </w:r>
      <w:r>
        <w:rPr>
          <w:color w:val="0B6B69"/>
          <w:sz w:val="16"/>
        </w:rPr>
        <w:br/>
        <w:t>https://unstats.un.org/fpos/</w:t>
      </w:r>
    </w:p>
    <w:p>
      <w:pPr>
        <w:spacing w:after="120"/>
      </w:pPr>
      <w:r>
        <w:rPr>
          <w:b/>
        </w:rPr>
        <w:t>United Nations National Quality Assurance Frameworks Manual</w:t>
      </w:r>
      <w:r>
        <w:rPr>
          <w:color w:val="0B6B69"/>
          <w:sz w:val="16"/>
        </w:rPr>
        <w:br/>
        <w:t>https://unstats.un.org/UNSDWebsite/nqaf/Attachment%20B-UNNAQF%20Manual%20in%20PDF.pdf</w:t>
      </w:r>
    </w:p>
    <w:p>
      <w:pPr>
        <w:spacing w:after="120"/>
      </w:pPr>
      <w:r>
        <w:rPr>
          <w:b/>
        </w:rPr>
        <w:t>UNECE Generic Statistical Business Process Model</w:t>
      </w:r>
      <w:r>
        <w:rPr>
          <w:color w:val="0B6B69"/>
          <w:sz w:val="16"/>
        </w:rPr>
        <w:br/>
        <w:t>https://unece.org/statistics/gsbpm-v5.2</w:t>
      </w:r>
    </w:p>
    <w:p>
      <w:pPr>
        <w:spacing w:after="120"/>
      </w:pPr>
      <w:r>
        <w:rPr>
          <w:b/>
        </w:rPr>
        <w:t>PARIS21 National Strategy for the Development of Statistics Guidelines</w:t>
      </w:r>
      <w:r>
        <w:rPr>
          <w:color w:val="0B6B69"/>
          <w:sz w:val="16"/>
        </w:rPr>
        <w:br/>
        <w:t>https://nsdsguidelines.paris21.org/en</w:t>
      </w:r>
    </w:p>
    <w:p>
      <w:pPr>
        <w:spacing w:after="120"/>
      </w:pPr>
      <w:r>
        <w:rPr>
          <w:b/>
        </w:rPr>
        <w:t>FAO Statistics Quality Assurance Framework</w:t>
      </w:r>
      <w:r>
        <w:rPr>
          <w:color w:val="0B6B69"/>
          <w:sz w:val="16"/>
        </w:rPr>
        <w:br/>
        <w:t>https://www.fao.org/4/i3664e/i3664e.pdf</w:t>
      </w:r>
    </w:p>
    <w:p>
      <w:pPr>
        <w:pStyle w:val="Heading2"/>
      </w:pPr>
      <w:r>
        <w:t>Framework status</w:t>
      </w:r>
    </w:p>
    <w:p>
      <w:r>
        <w:t>This Version 1 establishes the methodology for programme development and pilot testing. It does not replace national law, official quality frameworks, cybersecurity standards or institution-specific authorization procedures. Those requirements remain controlling in each participating jurisdiction.</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972"/>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B6B69"/>
        <w:sz w:val="14"/>
      </w:rPr>
      <w:t>NATIONAL INFORMATION ECOSYSTEM AND AI READINESS DIAGNOSTIC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ptos" w:hAnsi="Apto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Information Ecosystem and AI Readiness Diagnostic Framework</dc:title>
  <dc:subject>Assessment architecture and maturity scoring manual for official statistics</dc:subject>
  <dc:creator>python-docx</dc:creator>
  <cp:keywords>official statistics, artificial intelligence, diagnostic, maturity, readiness, agricultural statistics</cp:keywords>
  <dc:description>generated by python-docx</dc:description>
  <cp:lastModifiedBy/>
  <cp:revision>1</cp:revision>
  <dcterms:created xsi:type="dcterms:W3CDTF">2013-12-23T23:15:00Z</dcterms:created>
  <dcterms:modified xsi:type="dcterms:W3CDTF">2013-12-23T23:15:00Z</dcterms:modified>
  <cp:category/>
</cp:coreProperties>
</file>