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tbl>
      <w:tblPr>
        <w:tblStyle w:val="TableGrid"/>
        <w:tblW w:type="auto" w:w="0"/>
        <w:jc w:val="left"/>
        <w:tblLook w:firstColumn="1" w:firstRow="1" w:lastColumn="0" w:lastRow="0" w:noHBand="0" w:noVBand="1" w:val="04A0"/>
      </w:tblPr>
      <w:tblGrid>
        <w:gridCol w:w="9994"/>
      </w:tblGrid>
      <w:tr>
        <w:tc>
          <w:tcPr>
            <w:tcW w:type="dxa" w:w="9994"/>
            <w:shd w:fill="0B6B69"/>
            <w:tcMar>
              <w:top w:w="100" w:type="dxa"/>
              <w:start w:w="150" w:type="dxa"/>
              <w:bottom w:w="100" w:type="dxa"/>
              <w:end w:w="150" w:type="dxa"/>
            </w:tcMar>
          </w:tcPr>
          <w:p>
            <w:r>
              <w:rPr>
                <w:b/>
                <w:color w:val="FFFFFF"/>
                <w:sz w:val="18"/>
              </w:rPr>
              <w:t>PROGRAMME DOCUMENT  |  VERSION 1  |  SEPTEMBER 2026</w:t>
            </w:r>
          </w:p>
        </w:tc>
      </w:tr>
    </w:tbl>
    <w:p>
      <w:pPr>
        <w:spacing w:after="360"/>
      </w:pPr>
    </w:p>
    <w:p>
      <w:pPr>
        <w:pStyle w:val="Title"/>
      </w:pPr>
      <w:r>
        <w:t>AI-Augmented Official Statistics</w:t>
      </w:r>
    </w:p>
    <w:p>
      <w:pPr>
        <w:pStyle w:val="Subtitle"/>
      </w:pPr>
      <w:r>
        <w:t>A National Information Ecosystem Map and Programme Architecture</w:t>
      </w:r>
    </w:p>
    <w:p>
      <w:pPr>
        <w:spacing w:after="280"/>
      </w:pPr>
    </w:p>
    <w:tbl>
      <w:tblPr>
        <w:tblStyle w:val="TableGrid"/>
        <w:tblW w:type="auto" w:w="0"/>
        <w:jc w:val="center"/>
        <w:tblLook w:firstColumn="1" w:firstRow="1" w:lastColumn="0" w:lastRow="0" w:noHBand="0" w:noVBand="1" w:val="04A0"/>
      </w:tblPr>
      <w:tblGrid>
        <w:gridCol w:w="9994"/>
      </w:tblGrid>
      <w:tr>
        <w:tc>
          <w:tcPr>
            <w:tcW w:type="dxa" w:w="9994"/>
            <w:shd w:fill="F8F1DF"/>
            <w:tcMar>
              <w:top w:w="150" w:type="dxa"/>
              <w:start w:w="180" w:type="dxa"/>
              <w:bottom w:w="150" w:type="dxa"/>
              <w:end w:w="180" w:type="dxa"/>
            </w:tcMar>
          </w:tcPr>
          <w:p>
            <w:pPr>
              <w:pStyle w:val="Callout"/>
              <w:ind w:left="0" w:right="0"/>
            </w:pPr>
            <w:r>
              <w:t>From statistical question to trusted public evidence: using AI productively while preserving quality, professional responsibility and public trust.</w:t>
            </w:r>
          </w:p>
        </w:tc>
      </w:tr>
    </w:tbl>
    <w:p>
      <w:pPr>
        <w:spacing w:after="0"/>
      </w:pPr>
    </w:p>
    <w:p>
      <w:pPr>
        <w:spacing w:after="800"/>
      </w:pPr>
    </w:p>
    <w:p>
      <w:pPr>
        <w:jc w:val="left"/>
      </w:pPr>
      <w:r>
        <w:rPr>
          <w:b/>
          <w:color w:val="D6A84B"/>
          <w:sz w:val="20"/>
        </w:rPr>
        <w:t>PURPOSE</w:t>
      </w:r>
    </w:p>
    <w:p>
      <w:r>
        <w:rPr>
          <w:sz w:val="24"/>
        </w:rPr>
        <w:t>To provide a coherent reference model for designing and implementing a serious, practice-based AI programme for official statisticians and the institutions of National Statistical Systems.</w:t>
      </w:r>
    </w:p>
    <w:p>
      <w:pPr>
        <w:spacing w:after="440"/>
      </w:pPr>
    </w:p>
    <w:p>
      <w:pPr>
        <w:pStyle w:val="Small"/>
      </w:pPr>
      <w:r>
        <w:t>Primary audiences: national statistical offices, sector ministries, central banks, statistical authorities, research institutions, international organizations and development partners.</w:t>
      </w:r>
    </w:p>
    <w:p>
      <w:r>
        <w:br w:type="page"/>
      </w:r>
    </w:p>
    <w:p>
      <w:pPr>
        <w:pStyle w:val="Heading1"/>
      </w:pPr>
      <w:r>
        <w:t>Document overview</w:t>
      </w:r>
    </w:p>
    <w:p>
      <w:r>
        <w:t>This Version 1 consolidates the programme logic developed through the initial design dialogue. It establishes the conceptual map, programme principles, institutional architecture and implementation sequence that will guide subsequent detailed curriculum development.</w:t>
      </w:r>
    </w:p>
    <w:p>
      <w:pPr>
        <w:pStyle w:val="Heading2"/>
      </w:pPr>
      <w:r>
        <w:t>Contents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8"/>
              </w:rPr>
              <w:t>Part</w:t>
            </w:r>
          </w:p>
        </w:tc>
        <w:tc>
          <w:tcPr>
            <w:tcW w:type="dxa" w:w="4997"/>
            <w:shd w:fill="17324D"/>
            <w:tcMar>
              <w:top w:w="90" w:type="dxa"/>
              <w:start w:w="100" w:type="dxa"/>
              <w:bottom w:w="90" w:type="dxa"/>
              <w:end w:w="100" w:type="dxa"/>
            </w:tcMar>
          </w:tcPr>
          <w:p>
            <w:pPr>
              <w:spacing w:after="0"/>
            </w:pPr>
            <w:r>
              <w:rPr>
                <w:b/>
                <w:color w:val="FFFFFF"/>
                <w:sz w:val="18"/>
              </w:rPr>
              <w:t>Subject</w:t>
            </w:r>
          </w:p>
        </w:tc>
      </w:tr>
      <w:tr>
        <w:tc>
          <w:tcPr>
            <w:tcW w:type="dxa" w:w="1008"/>
            <w:vAlign w:val="center"/>
            <w:tcMar>
              <w:top w:w="80" w:type="dxa"/>
              <w:start w:w="95" w:type="dxa"/>
              <w:bottom w:w="80" w:type="dxa"/>
              <w:end w:w="95" w:type="dxa"/>
            </w:tcMar>
            <w:shd w:fill="F3F6F8"/>
          </w:tcPr>
          <w:p>
            <w:pPr>
              <w:spacing w:after="0"/>
            </w:pPr>
            <w:r>
              <w:rPr>
                <w:b/>
                <w:color w:val="0B6B69"/>
                <w:sz w:val="18"/>
              </w:rPr>
              <w:t>I</w:t>
            </w:r>
          </w:p>
        </w:tc>
        <w:tc>
          <w:tcPr>
            <w:tcW w:type="dxa" w:w="8352"/>
            <w:vAlign w:val="center"/>
            <w:tcMar>
              <w:top w:w="80" w:type="dxa"/>
              <w:start w:w="95" w:type="dxa"/>
              <w:bottom w:w="80" w:type="dxa"/>
              <w:end w:w="95" w:type="dxa"/>
            </w:tcMar>
            <w:shd w:fill="F3F6F8"/>
          </w:tcPr>
          <w:p>
            <w:pPr>
              <w:spacing w:after="0"/>
            </w:pPr>
            <w:r>
              <w:rPr>
                <w:sz w:val="18"/>
              </w:rPr>
              <w:t>Strategic rationale and professional destination</w:t>
            </w:r>
          </w:p>
        </w:tc>
      </w:tr>
      <w:tr>
        <w:tc>
          <w:tcPr>
            <w:tcW w:type="dxa" w:w="1008"/>
            <w:vAlign w:val="center"/>
            <w:tcMar>
              <w:top w:w="80" w:type="dxa"/>
              <w:start w:w="95" w:type="dxa"/>
              <w:bottom w:w="80" w:type="dxa"/>
              <w:end w:w="95" w:type="dxa"/>
            </w:tcMar>
          </w:tcPr>
          <w:p>
            <w:pPr>
              <w:spacing w:after="0"/>
            </w:pPr>
            <w:r>
              <w:rPr>
                <w:b/>
                <w:color w:val="0B6B69"/>
                <w:sz w:val="18"/>
              </w:rPr>
              <w:t>II</w:t>
            </w:r>
          </w:p>
        </w:tc>
        <w:tc>
          <w:tcPr>
            <w:tcW w:type="dxa" w:w="8352"/>
            <w:vAlign w:val="center"/>
            <w:tcMar>
              <w:top w:w="80" w:type="dxa"/>
              <w:start w:w="95" w:type="dxa"/>
              <w:bottom w:w="80" w:type="dxa"/>
              <w:end w:w="95" w:type="dxa"/>
            </w:tcMar>
          </w:tcPr>
          <w:p>
            <w:pPr>
              <w:spacing w:after="0"/>
            </w:pPr>
            <w:r>
              <w:rPr>
                <w:sz w:val="18"/>
              </w:rPr>
              <w:t>The National Information Ecosystem Map</w:t>
            </w:r>
          </w:p>
        </w:tc>
      </w:tr>
      <w:tr>
        <w:tc>
          <w:tcPr>
            <w:tcW w:type="dxa" w:w="1008"/>
            <w:vAlign w:val="center"/>
            <w:tcMar>
              <w:top w:w="80" w:type="dxa"/>
              <w:start w:w="95" w:type="dxa"/>
              <w:bottom w:w="80" w:type="dxa"/>
              <w:end w:w="95" w:type="dxa"/>
            </w:tcMar>
            <w:shd w:fill="F3F6F8"/>
          </w:tcPr>
          <w:p>
            <w:pPr>
              <w:spacing w:after="0"/>
            </w:pPr>
            <w:r>
              <w:rPr>
                <w:b/>
                <w:color w:val="0B6B69"/>
                <w:sz w:val="18"/>
              </w:rPr>
              <w:t>III</w:t>
            </w:r>
          </w:p>
        </w:tc>
        <w:tc>
          <w:tcPr>
            <w:tcW w:type="dxa" w:w="8352"/>
            <w:vAlign w:val="center"/>
            <w:tcMar>
              <w:top w:w="80" w:type="dxa"/>
              <w:start w:w="95" w:type="dxa"/>
              <w:bottom w:w="80" w:type="dxa"/>
              <w:end w:w="95" w:type="dxa"/>
            </w:tcMar>
            <w:shd w:fill="F3F6F8"/>
          </w:tcPr>
          <w:p>
            <w:pPr>
              <w:spacing w:after="0"/>
            </w:pPr>
            <w:r>
              <w:rPr>
                <w:sz w:val="18"/>
              </w:rPr>
              <w:t>Data sources, evidence status and integration</w:t>
            </w:r>
          </w:p>
        </w:tc>
      </w:tr>
      <w:tr>
        <w:tc>
          <w:tcPr>
            <w:tcW w:type="dxa" w:w="1008"/>
            <w:vAlign w:val="center"/>
            <w:tcMar>
              <w:top w:w="80" w:type="dxa"/>
              <w:start w:w="95" w:type="dxa"/>
              <w:bottom w:w="80" w:type="dxa"/>
              <w:end w:w="95" w:type="dxa"/>
            </w:tcMar>
          </w:tcPr>
          <w:p>
            <w:pPr>
              <w:spacing w:after="0"/>
            </w:pPr>
            <w:r>
              <w:rPr>
                <w:b/>
                <w:color w:val="0B6B69"/>
                <w:sz w:val="18"/>
              </w:rPr>
              <w:t>IV</w:t>
            </w:r>
          </w:p>
        </w:tc>
        <w:tc>
          <w:tcPr>
            <w:tcW w:type="dxa" w:w="8352"/>
            <w:vAlign w:val="center"/>
            <w:tcMar>
              <w:top w:w="80" w:type="dxa"/>
              <w:start w:w="95" w:type="dxa"/>
              <w:bottom w:w="80" w:type="dxa"/>
              <w:end w:w="95" w:type="dxa"/>
            </w:tcMar>
          </w:tcPr>
          <w:p>
            <w:pPr>
              <w:spacing w:after="0"/>
            </w:pPr>
            <w:r>
              <w:rPr>
                <w:sz w:val="18"/>
              </w:rPr>
              <w:t>Quality, fitness for use and AI assurance</w:t>
            </w:r>
          </w:p>
        </w:tc>
      </w:tr>
      <w:tr>
        <w:tc>
          <w:tcPr>
            <w:tcW w:type="dxa" w:w="1008"/>
            <w:vAlign w:val="center"/>
            <w:tcMar>
              <w:top w:w="80" w:type="dxa"/>
              <w:start w:w="95" w:type="dxa"/>
              <w:bottom w:w="80" w:type="dxa"/>
              <w:end w:w="95" w:type="dxa"/>
            </w:tcMar>
            <w:shd w:fill="F3F6F8"/>
          </w:tcPr>
          <w:p>
            <w:pPr>
              <w:spacing w:after="0"/>
            </w:pPr>
            <w:r>
              <w:rPr>
                <w:b/>
                <w:color w:val="0B6B69"/>
                <w:sz w:val="18"/>
              </w:rPr>
              <w:t>V</w:t>
            </w:r>
          </w:p>
        </w:tc>
        <w:tc>
          <w:tcPr>
            <w:tcW w:type="dxa" w:w="8352"/>
            <w:vAlign w:val="center"/>
            <w:tcMar>
              <w:top w:w="80" w:type="dxa"/>
              <w:start w:w="95" w:type="dxa"/>
              <w:bottom w:w="80" w:type="dxa"/>
              <w:end w:w="95" w:type="dxa"/>
            </w:tcMar>
            <w:shd w:fill="F3F6F8"/>
          </w:tcPr>
          <w:p>
            <w:pPr>
              <w:spacing w:after="0"/>
            </w:pPr>
            <w:r>
              <w:rPr>
                <w:sz w:val="18"/>
              </w:rPr>
              <w:t>Institutions, National Statistical Systems and maturity</w:t>
            </w:r>
          </w:p>
        </w:tc>
      </w:tr>
      <w:tr>
        <w:tc>
          <w:tcPr>
            <w:tcW w:type="dxa" w:w="1008"/>
            <w:vAlign w:val="center"/>
            <w:tcMar>
              <w:top w:w="80" w:type="dxa"/>
              <w:start w:w="95" w:type="dxa"/>
              <w:bottom w:w="80" w:type="dxa"/>
              <w:end w:w="95" w:type="dxa"/>
            </w:tcMar>
          </w:tcPr>
          <w:p>
            <w:pPr>
              <w:spacing w:after="0"/>
            </w:pPr>
            <w:r>
              <w:rPr>
                <w:b/>
                <w:color w:val="0B6B69"/>
                <w:sz w:val="18"/>
              </w:rPr>
              <w:t>VI</w:t>
            </w:r>
          </w:p>
        </w:tc>
        <w:tc>
          <w:tcPr>
            <w:tcW w:type="dxa" w:w="8352"/>
            <w:vAlign w:val="center"/>
            <w:tcMar>
              <w:top w:w="80" w:type="dxa"/>
              <w:start w:w="95" w:type="dxa"/>
              <w:bottom w:w="80" w:type="dxa"/>
              <w:end w:w="95" w:type="dxa"/>
            </w:tcMar>
          </w:tcPr>
          <w:p>
            <w:pPr>
              <w:spacing w:after="0"/>
            </w:pPr>
            <w:r>
              <w:rPr>
                <w:sz w:val="18"/>
              </w:rPr>
              <w:t>Programme architecture and learning pathways</w:t>
            </w:r>
          </w:p>
        </w:tc>
      </w:tr>
      <w:tr>
        <w:tc>
          <w:tcPr>
            <w:tcW w:type="dxa" w:w="1008"/>
            <w:vAlign w:val="center"/>
            <w:tcMar>
              <w:top w:w="80" w:type="dxa"/>
              <w:start w:w="95" w:type="dxa"/>
              <w:bottom w:w="80" w:type="dxa"/>
              <w:end w:w="95" w:type="dxa"/>
            </w:tcMar>
            <w:shd w:fill="F3F6F8"/>
          </w:tcPr>
          <w:p>
            <w:pPr>
              <w:spacing w:after="0"/>
            </w:pPr>
            <w:r>
              <w:rPr>
                <w:b/>
                <w:color w:val="0B6B69"/>
                <w:sz w:val="18"/>
              </w:rPr>
              <w:t>VII</w:t>
            </w:r>
          </w:p>
        </w:tc>
        <w:tc>
          <w:tcPr>
            <w:tcW w:type="dxa" w:w="8352"/>
            <w:vAlign w:val="center"/>
            <w:tcMar>
              <w:top w:w="80" w:type="dxa"/>
              <w:start w:w="95" w:type="dxa"/>
              <w:bottom w:w="80" w:type="dxa"/>
              <w:end w:w="95" w:type="dxa"/>
            </w:tcMar>
            <w:shd w:fill="F3F6F8"/>
          </w:tcPr>
          <w:p>
            <w:pPr>
              <w:spacing w:after="0"/>
            </w:pPr>
            <w:r>
              <w:rPr>
                <w:sz w:val="18"/>
              </w:rPr>
              <w:t>Step-by-step implementation roadmap</w:t>
            </w:r>
          </w:p>
        </w:tc>
      </w:tr>
      <w:tr>
        <w:tc>
          <w:tcPr>
            <w:tcW w:type="dxa" w:w="1008"/>
            <w:vAlign w:val="center"/>
            <w:tcMar>
              <w:top w:w="80" w:type="dxa"/>
              <w:start w:w="95" w:type="dxa"/>
              <w:bottom w:w="80" w:type="dxa"/>
              <w:end w:w="95" w:type="dxa"/>
            </w:tcMar>
          </w:tcPr>
          <w:p>
            <w:pPr>
              <w:spacing w:after="0"/>
            </w:pPr>
            <w:r>
              <w:rPr>
                <w:b/>
                <w:color w:val="0B6B69"/>
                <w:sz w:val="18"/>
              </w:rPr>
              <w:t>Annexes</w:t>
            </w:r>
          </w:p>
        </w:tc>
        <w:tc>
          <w:tcPr>
            <w:tcW w:type="dxa" w:w="8352"/>
            <w:vAlign w:val="center"/>
            <w:tcMar>
              <w:top w:w="80" w:type="dxa"/>
              <w:start w:w="95" w:type="dxa"/>
              <w:bottom w:w="80" w:type="dxa"/>
              <w:end w:w="95" w:type="dxa"/>
            </w:tcMar>
          </w:tcPr>
          <w:p>
            <w:pPr>
              <w:spacing w:after="0"/>
            </w:pPr>
            <w:r>
              <w:rPr>
                <w:sz w:val="18"/>
              </w:rPr>
              <w:t>Diagnostic instruments, matrices and reference frameworks</w:t>
            </w:r>
          </w:p>
        </w:tc>
      </w:tr>
    </w:tbl>
    <w:p>
      <w:pPr>
        <w:spacing w:after="0"/>
      </w:pPr>
    </w:p>
    <w:p>
      <w:pPr>
        <w:pStyle w:val="Heading2"/>
      </w:pPr>
      <w:r>
        <w:t>How this document should be used</w:t>
      </w:r>
    </w:p>
    <w:p>
      <w:pPr>
        <w:pStyle w:val="ListBullet"/>
        <w:spacing w:after="50"/>
      </w:pPr>
      <w:r>
        <w:t>As the reference concept for consultations with NSOs, sector statistical agencies and international partners.</w:t>
      </w:r>
    </w:p>
    <w:p>
      <w:pPr>
        <w:pStyle w:val="ListBullet"/>
        <w:spacing w:after="50"/>
      </w:pPr>
      <w:r>
        <w:t>As the basis for a country and institutional readiness assessment.</w:t>
      </w:r>
    </w:p>
    <w:p>
      <w:pPr>
        <w:pStyle w:val="ListBullet"/>
        <w:spacing w:after="50"/>
      </w:pPr>
      <w:r>
        <w:t>As a design brief for detailed modules, exercises, datasets and certification requirements.</w:t>
      </w:r>
    </w:p>
    <w:p>
      <w:pPr>
        <w:pStyle w:val="ListBullet"/>
        <w:spacing w:after="50"/>
      </w:pPr>
      <w:r>
        <w:t>As a quality-control framework for deciding which AI applications may enter official statistical production.</w:t>
      </w:r>
    </w:p>
    <w:p>
      <w:pPr>
        <w:pStyle w:val="ListBullet"/>
        <w:spacing w:after="50"/>
      </w:pPr>
      <w:r>
        <w:t>As a living programme document to be refined through pilots and country experience.</w:t>
      </w:r>
    </w:p>
    <w:p>
      <w:pPr>
        <w:pStyle w:val="Heading2"/>
      </w:pPr>
      <w:r>
        <w:t>Central proposition</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pStyle w:val="Callout"/>
              <w:ind w:left="0" w:right="0"/>
            </w:pPr>
            <w:r>
              <w:t>One international programme model is possible. One identical curriculum for every domain, role, data source and country is not.</w:t>
            </w:r>
          </w:p>
        </w:tc>
      </w:tr>
    </w:tbl>
    <w:p>
      <w:pPr>
        <w:spacing w:after="0"/>
      </w:pPr>
    </w:p>
    <w:p>
      <w:r>
        <w:br w:type="page"/>
      </w:r>
    </w:p>
    <w:p>
      <w:pPr>
        <w:pStyle w:val="Heading1"/>
      </w:pPr>
      <w:r>
        <w:t>Executive summary</w:t>
      </w:r>
    </w:p>
    <w:p>
      <w:r>
        <w:t>Artificial intelligence can improve the speed, reach and analytical power of official statistics. It can also generate plausible falsehoods, weaken confidentiality, conceal methodological changes and accelerate poor-quality production. The appropriate response is neither uncritical adoption nor rejection. It is a disciplined professional system in which AI assists statisticians under explicit standards of evidence, quality and accountability.</w:t>
      </w:r>
    </w:p>
    <w:p>
      <w:r>
        <w:t>Official statistics is vast. It covers demographic, social, economic, agricultural, environmental, spatial and multidomain statistics. It draws on surveys, censuses, administrative records, research systems, geospatial observations, private-sector data, sensors and other sources. It is produced within National Statistical Systems that range from highly centralized to strongly decentralized and from resource-rich to severely constrained.</w:t>
      </w:r>
    </w:p>
    <w:p>
      <w:r>
        <w:t>The proposed programme therefore combines a common professional foundation with specialized pathways. It treats quality and fitness for use as the governing logic and recognizes the wider national information ecosystem in which official statistics operates.</w:t>
      </w:r>
    </w:p>
    <w:p>
      <w:pPr>
        <w:pStyle w:val="Heading2"/>
      </w:pPr>
      <w:r>
        <w:t>The programme in one view</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7"/>
              </w:rPr>
              <w:t>Element</w:t>
            </w:r>
          </w:p>
        </w:tc>
        <w:tc>
          <w:tcPr>
            <w:tcW w:type="dxa" w:w="4997"/>
            <w:shd w:fill="17324D"/>
            <w:tcMar>
              <w:top w:w="90" w:type="dxa"/>
              <w:start w:w="100" w:type="dxa"/>
              <w:bottom w:w="90" w:type="dxa"/>
              <w:end w:w="100" w:type="dxa"/>
            </w:tcMar>
          </w:tcPr>
          <w:p>
            <w:pPr>
              <w:spacing w:after="0"/>
            </w:pPr>
            <w:r>
              <w:rPr>
                <w:b/>
                <w:color w:val="FFFFFF"/>
                <w:sz w:val="17"/>
              </w:rPr>
              <w:t>Design response</w:t>
            </w:r>
          </w:p>
        </w:tc>
      </w:tr>
      <w:tr>
        <w:tc>
          <w:tcPr>
            <w:tcW w:type="dxa" w:w="1944"/>
            <w:vAlign w:val="center"/>
            <w:tcMar>
              <w:top w:w="80" w:type="dxa"/>
              <w:start w:w="95" w:type="dxa"/>
              <w:bottom w:w="80" w:type="dxa"/>
              <w:end w:w="95" w:type="dxa"/>
            </w:tcMar>
            <w:shd w:fill="F3F6F8"/>
          </w:tcPr>
          <w:p>
            <w:pPr>
              <w:spacing w:after="0"/>
            </w:pPr>
            <w:r>
              <w:rPr>
                <w:b/>
                <w:color w:val="0B6B69"/>
                <w:sz w:val="17"/>
              </w:rPr>
              <w:t>Common foundation</w:t>
            </w:r>
          </w:p>
        </w:tc>
        <w:tc>
          <w:tcPr>
            <w:tcW w:type="dxa" w:w="7416"/>
            <w:vAlign w:val="center"/>
            <w:tcMar>
              <w:top w:w="80" w:type="dxa"/>
              <w:start w:w="95" w:type="dxa"/>
              <w:bottom w:w="80" w:type="dxa"/>
              <w:end w:w="95" w:type="dxa"/>
            </w:tcMar>
            <w:shd w:fill="F3F6F8"/>
          </w:tcPr>
          <w:p>
            <w:pPr>
              <w:spacing w:after="0"/>
            </w:pPr>
            <w:r>
              <w:rPr>
                <w:sz w:val="17"/>
              </w:rPr>
              <w:t>AI literacy, statistical reasoning, verification, confidentiality, reproducibility and professional ethics.</w:t>
            </w:r>
          </w:p>
        </w:tc>
      </w:tr>
      <w:tr>
        <w:tc>
          <w:tcPr>
            <w:tcW w:type="dxa" w:w="1944"/>
            <w:vAlign w:val="center"/>
            <w:tcMar>
              <w:top w:w="80" w:type="dxa"/>
              <w:start w:w="95" w:type="dxa"/>
              <w:bottom w:w="80" w:type="dxa"/>
              <w:end w:w="95" w:type="dxa"/>
            </w:tcMar>
          </w:tcPr>
          <w:p>
            <w:pPr>
              <w:spacing w:after="0"/>
            </w:pPr>
            <w:r>
              <w:rPr>
                <w:b/>
                <w:color w:val="0B6B69"/>
                <w:sz w:val="17"/>
              </w:rPr>
              <w:t>Production core</w:t>
            </w:r>
          </w:p>
        </w:tc>
        <w:tc>
          <w:tcPr>
            <w:tcW w:type="dxa" w:w="7416"/>
            <w:vAlign w:val="center"/>
            <w:tcMar>
              <w:top w:w="80" w:type="dxa"/>
              <w:start w:w="95" w:type="dxa"/>
              <w:bottom w:w="80" w:type="dxa"/>
              <w:end w:w="95" w:type="dxa"/>
            </w:tcMar>
          </w:tcPr>
          <w:p>
            <w:pPr>
              <w:spacing w:after="0"/>
            </w:pPr>
            <w:r>
              <w:rPr>
                <w:sz w:val="17"/>
              </w:rPr>
              <w:t>Application across needs, design, build, collection, processing, analysis, dissemination and evaluation.</w:t>
            </w:r>
          </w:p>
        </w:tc>
      </w:tr>
      <w:tr>
        <w:tc>
          <w:tcPr>
            <w:tcW w:type="dxa" w:w="1944"/>
            <w:vAlign w:val="center"/>
            <w:tcMar>
              <w:top w:w="80" w:type="dxa"/>
              <w:start w:w="95" w:type="dxa"/>
              <w:bottom w:w="80" w:type="dxa"/>
              <w:end w:w="95" w:type="dxa"/>
            </w:tcMar>
            <w:shd w:fill="F3F6F8"/>
          </w:tcPr>
          <w:p>
            <w:pPr>
              <w:spacing w:after="0"/>
            </w:pPr>
            <w:r>
              <w:rPr>
                <w:b/>
                <w:color w:val="0B6B69"/>
                <w:sz w:val="17"/>
              </w:rPr>
              <w:t>Source laboratories</w:t>
            </w:r>
          </w:p>
        </w:tc>
        <w:tc>
          <w:tcPr>
            <w:tcW w:type="dxa" w:w="7416"/>
            <w:vAlign w:val="center"/>
            <w:tcMar>
              <w:top w:w="80" w:type="dxa"/>
              <w:start w:w="95" w:type="dxa"/>
              <w:bottom w:w="80" w:type="dxa"/>
              <w:end w:w="95" w:type="dxa"/>
            </w:tcMar>
            <w:shd w:fill="F3F6F8"/>
          </w:tcPr>
          <w:p>
            <w:pPr>
              <w:spacing w:after="0"/>
            </w:pPr>
            <w:r>
              <w:rPr>
                <w:sz w:val="17"/>
              </w:rPr>
              <w:t>Surveys/censuses, administrative records, research data, geospatial and alternative data, and multi-source integration.</w:t>
            </w:r>
          </w:p>
        </w:tc>
      </w:tr>
      <w:tr>
        <w:tc>
          <w:tcPr>
            <w:tcW w:type="dxa" w:w="1944"/>
            <w:vAlign w:val="center"/>
            <w:tcMar>
              <w:top w:w="80" w:type="dxa"/>
              <w:start w:w="95" w:type="dxa"/>
              <w:bottom w:w="80" w:type="dxa"/>
              <w:end w:w="95" w:type="dxa"/>
            </w:tcMar>
          </w:tcPr>
          <w:p>
            <w:pPr>
              <w:spacing w:after="0"/>
            </w:pPr>
            <w:r>
              <w:rPr>
                <w:b/>
                <w:color w:val="0B6B69"/>
                <w:sz w:val="17"/>
              </w:rPr>
              <w:t>Domain laboratories</w:t>
            </w:r>
          </w:p>
        </w:tc>
        <w:tc>
          <w:tcPr>
            <w:tcW w:type="dxa" w:w="7416"/>
            <w:vAlign w:val="center"/>
            <w:tcMar>
              <w:top w:w="80" w:type="dxa"/>
              <w:start w:w="95" w:type="dxa"/>
              <w:bottom w:w="80" w:type="dxa"/>
              <w:end w:w="95" w:type="dxa"/>
            </w:tcMar>
          </w:tcPr>
          <w:p>
            <w:pPr>
              <w:spacing w:after="0"/>
            </w:pPr>
            <w:r>
              <w:rPr>
                <w:sz w:val="17"/>
              </w:rPr>
              <w:t>Agriculture, health, population, prices, labour, national accounts, environment, habitat and other fields.</w:t>
            </w:r>
          </w:p>
        </w:tc>
      </w:tr>
      <w:tr>
        <w:tc>
          <w:tcPr>
            <w:tcW w:type="dxa" w:w="1944"/>
            <w:vAlign w:val="center"/>
            <w:tcMar>
              <w:top w:w="80" w:type="dxa"/>
              <w:start w:w="95" w:type="dxa"/>
              <w:bottom w:w="80" w:type="dxa"/>
              <w:end w:w="95" w:type="dxa"/>
            </w:tcMar>
            <w:shd w:fill="F3F6F8"/>
          </w:tcPr>
          <w:p>
            <w:pPr>
              <w:spacing w:after="0"/>
            </w:pPr>
            <w:r>
              <w:rPr>
                <w:b/>
                <w:color w:val="0B6B69"/>
                <w:sz w:val="17"/>
              </w:rPr>
              <w:t>Role pathways</w:t>
            </w:r>
          </w:p>
        </w:tc>
        <w:tc>
          <w:tcPr>
            <w:tcW w:type="dxa" w:w="7416"/>
            <w:vAlign w:val="center"/>
            <w:tcMar>
              <w:top w:w="80" w:type="dxa"/>
              <w:start w:w="95" w:type="dxa"/>
              <w:bottom w:w="80" w:type="dxa"/>
              <w:end w:w="95" w:type="dxa"/>
            </w:tcMar>
            <w:shd w:fill="F3F6F8"/>
          </w:tcPr>
          <w:p>
            <w:pPr>
              <w:spacing w:after="0"/>
            </w:pPr>
            <w:r>
              <w:rPr>
                <w:sz w:val="17"/>
              </w:rPr>
              <w:t>Subject specialists, methodologists, programmers, data scientists, managers, disseminators and trainers.</w:t>
            </w:r>
          </w:p>
        </w:tc>
      </w:tr>
      <w:tr>
        <w:tc>
          <w:tcPr>
            <w:tcW w:type="dxa" w:w="1944"/>
            <w:vAlign w:val="center"/>
            <w:tcMar>
              <w:top w:w="80" w:type="dxa"/>
              <w:start w:w="95" w:type="dxa"/>
              <w:bottom w:w="80" w:type="dxa"/>
              <w:end w:w="95" w:type="dxa"/>
            </w:tcMar>
          </w:tcPr>
          <w:p>
            <w:pPr>
              <w:spacing w:after="0"/>
            </w:pPr>
            <w:r>
              <w:rPr>
                <w:b/>
                <w:color w:val="0B6B69"/>
                <w:sz w:val="17"/>
              </w:rPr>
              <w:t>Institutional track</w:t>
            </w:r>
          </w:p>
        </w:tc>
        <w:tc>
          <w:tcPr>
            <w:tcW w:type="dxa" w:w="7416"/>
            <w:vAlign w:val="center"/>
            <w:tcMar>
              <w:top w:w="80" w:type="dxa"/>
              <w:start w:w="95" w:type="dxa"/>
              <w:bottom w:w="80" w:type="dxa"/>
              <w:end w:w="95" w:type="dxa"/>
            </w:tcMar>
          </w:tcPr>
          <w:p>
            <w:pPr>
              <w:spacing w:after="0"/>
            </w:pPr>
            <w:r>
              <w:rPr>
                <w:sz w:val="17"/>
              </w:rPr>
              <w:t>Governance, law, infrastructure, procurement, financing, coordination, workforce and public trust.</w:t>
            </w:r>
          </w:p>
        </w:tc>
      </w:tr>
      <w:tr>
        <w:tc>
          <w:tcPr>
            <w:tcW w:type="dxa" w:w="1944"/>
            <w:vAlign w:val="center"/>
            <w:tcMar>
              <w:top w:w="80" w:type="dxa"/>
              <w:start w:w="95" w:type="dxa"/>
              <w:bottom w:w="80" w:type="dxa"/>
              <w:end w:w="95" w:type="dxa"/>
            </w:tcMar>
            <w:shd w:fill="F3F6F8"/>
          </w:tcPr>
          <w:p>
            <w:pPr>
              <w:spacing w:after="0"/>
            </w:pPr>
            <w:r>
              <w:rPr>
                <w:b/>
                <w:color w:val="0B6B69"/>
                <w:sz w:val="17"/>
              </w:rPr>
              <w:t>Capstone</w:t>
            </w:r>
          </w:p>
        </w:tc>
        <w:tc>
          <w:tcPr>
            <w:tcW w:type="dxa" w:w="7416"/>
            <w:vAlign w:val="center"/>
            <w:tcMar>
              <w:top w:w="80" w:type="dxa"/>
              <w:start w:w="95" w:type="dxa"/>
              <w:bottom w:w="80" w:type="dxa"/>
              <w:end w:w="95" w:type="dxa"/>
            </w:tcMar>
            <w:shd w:fill="F3F6F8"/>
          </w:tcPr>
          <w:p>
            <w:pPr>
              <w:spacing w:after="0"/>
            </w:pPr>
            <w:r>
              <w:rPr>
                <w:sz w:val="17"/>
              </w:rPr>
              <w:t>A validated redesign of one real statistical production process.</w:t>
            </w:r>
          </w:p>
        </w:tc>
      </w:tr>
    </w:tbl>
    <w:p>
      <w:pPr>
        <w:spacing w:after="0"/>
      </w:pPr>
    </w:p>
    <w:p>
      <w:pPr>
        <w:pStyle w:val="Heading2"/>
      </w:pPr>
      <w:r>
        <w:t>Intended transformation</w:t>
      </w:r>
    </w:p>
    <w:p>
      <w:r>
        <w:t>Participants should progress from awareness to verified use, workflow integration and, for selected leaders, institutional stewardship. Countries should progress from uncontrolled experimentation to governed pilots, validated operational adoption and eventually coordinated NSS-wide capability.</w:t>
      </w:r>
    </w:p>
    <w:p>
      <w:r>
        <w:br w:type="page"/>
      </w:r>
    </w:p>
    <w:p>
      <w:pPr>
        <w:pStyle w:val="Heading1"/>
      </w:pPr>
      <w:r>
        <w:t>Part I. Strategic rationale and professional destination</w:t>
      </w:r>
    </w:p>
    <w:p>
      <w:pPr>
        <w:pStyle w:val="Heading2"/>
      </w:pPr>
      <w:r>
        <w:t>1. Why this programme is necessary</w:t>
      </w:r>
    </w:p>
    <w:p>
      <w:r>
        <w:t>Official statisticians are responsible for evidence that affects resource allocation, public services, legislation, national planning and people’s lives. Generic AI courses do not adequately address statistical concepts, sampling and nonsampling error, comparability, confidentiality, revisions, official release practices or institutional accountability.</w:t>
      </w:r>
    </w:p>
    <w:p>
      <w:r>
        <w:t>The programme must therefore be a professional transformation programme rather than a software demonstration. Its purpose is not to turn every statistician into a machine-learning engineer. Its purpose is to enable statisticians to use AI confidently, repeatedly and productively while retaining full responsibility for methods, data, interpretation and publication.</w:t>
      </w:r>
    </w:p>
    <w:p>
      <w:pPr>
        <w:pStyle w:val="Heading2"/>
      </w:pPr>
      <w:r>
        <w:t>2. Professional destination</w:t>
      </w:r>
    </w:p>
    <w:p>
      <w:r>
        <w:t>An AI-capable official statistician should be able to:</w:t>
      </w:r>
    </w:p>
    <w:p>
      <w:pPr>
        <w:pStyle w:val="ListNumber"/>
        <w:spacing w:after="60"/>
      </w:pPr>
      <w:r>
        <w:t>Recognize tasks where AI adds genuine statistical or operational value.</w:t>
      </w:r>
    </w:p>
    <w:p>
      <w:pPr>
        <w:pStyle w:val="ListNumber"/>
        <w:spacing w:after="60"/>
      </w:pPr>
      <w:r>
        <w:t>Distinguish generative AI, machine learning, automation and conventional statistical methods.</w:t>
      </w:r>
    </w:p>
    <w:p>
      <w:pPr>
        <w:pStyle w:val="ListNumber"/>
        <w:spacing w:after="60"/>
      </w:pPr>
      <w:r>
        <w:t>Specify statistical tasks precisely and create reusable, documented workflows.</w:t>
      </w:r>
    </w:p>
    <w:p>
      <w:pPr>
        <w:pStyle w:val="ListNumber"/>
        <w:spacing w:after="60"/>
      </w:pPr>
      <w:r>
        <w:t>Use AI with documents, spreadsheets, databases, code, microdata and metadata within approved controls.</w:t>
      </w:r>
    </w:p>
    <w:p>
      <w:pPr>
        <w:pStyle w:val="ListNumber"/>
        <w:spacing w:after="60"/>
      </w:pPr>
      <w:r>
        <w:t>Verify AI outputs systematically against authoritative sources and deterministic calculations.</w:t>
      </w:r>
    </w:p>
    <w:p>
      <w:pPr>
        <w:pStyle w:val="ListNumber"/>
        <w:spacing w:after="60"/>
      </w:pPr>
      <w:r>
        <w:t>Protect confidential, commercially sensitive and personally identifiable information.</w:t>
      </w:r>
    </w:p>
    <w:p>
      <w:pPr>
        <w:pStyle w:val="ListNumber"/>
        <w:spacing w:after="60"/>
      </w:pPr>
      <w:r>
        <w:t>Assess effects on bias, variance, coverage, classification error and comparability.</w:t>
      </w:r>
    </w:p>
    <w:p>
      <w:pPr>
        <w:pStyle w:val="ListNumber"/>
        <w:spacing w:after="60"/>
      </w:pPr>
      <w:r>
        <w:t>Document AI-assisted work so that it is reproducible, auditable and reviewable.</w:t>
      </w:r>
    </w:p>
    <w:p>
      <w:pPr>
        <w:pStyle w:val="ListNumber"/>
        <w:spacing w:after="60"/>
      </w:pPr>
      <w:r>
        <w:t>Know when AI should not be used and when specialist approval is required.</w:t>
      </w:r>
    </w:p>
    <w:p>
      <w:pPr>
        <w:pStyle w:val="ListNumber"/>
        <w:spacing w:after="60"/>
      </w:pPr>
      <w:r>
        <w:t>Redesign statistical workflows around effective human-AI collaboration.</w:t>
      </w:r>
    </w:p>
    <w:p>
      <w:pPr>
        <w:pStyle w:val="Heading2"/>
      </w:pPr>
      <w:r>
        <w:t>3. Competence progression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8"/>
              </w:rPr>
              <w:t>Level</w:t>
            </w:r>
          </w:p>
        </w:tc>
        <w:tc>
          <w:tcPr>
            <w:tcW w:type="dxa" w:w="4997"/>
            <w:shd w:fill="17324D"/>
            <w:tcMar>
              <w:top w:w="90" w:type="dxa"/>
              <w:start w:w="100" w:type="dxa"/>
              <w:bottom w:w="90" w:type="dxa"/>
              <w:end w:w="100" w:type="dxa"/>
            </w:tcMar>
          </w:tcPr>
          <w:p>
            <w:pPr>
              <w:spacing w:after="0"/>
            </w:pPr>
            <w:r>
              <w:rPr>
                <w:b/>
                <w:color w:val="FFFFFF"/>
                <w:sz w:val="18"/>
              </w:rPr>
              <w:t>Professional capability</w:t>
            </w:r>
          </w:p>
        </w:tc>
      </w:tr>
      <w:tr>
        <w:tc>
          <w:tcPr>
            <w:tcW w:type="dxa" w:w="2016"/>
            <w:vAlign w:val="center"/>
            <w:tcMar>
              <w:top w:w="80" w:type="dxa"/>
              <w:start w:w="95" w:type="dxa"/>
              <w:bottom w:w="80" w:type="dxa"/>
              <w:end w:w="95" w:type="dxa"/>
            </w:tcMar>
            <w:shd w:fill="F3F6F8"/>
          </w:tcPr>
          <w:p>
            <w:pPr>
              <w:spacing w:after="0"/>
            </w:pPr>
            <w:r>
              <w:rPr>
                <w:b/>
                <w:color w:val="0B6B69"/>
                <w:sz w:val="18"/>
              </w:rPr>
              <w:t>1. Awareness</w:t>
            </w:r>
          </w:p>
        </w:tc>
        <w:tc>
          <w:tcPr>
            <w:tcW w:type="dxa" w:w="7344"/>
            <w:vAlign w:val="center"/>
            <w:tcMar>
              <w:top w:w="80" w:type="dxa"/>
              <w:start w:w="95" w:type="dxa"/>
              <w:bottom w:w="80" w:type="dxa"/>
              <w:end w:w="95" w:type="dxa"/>
            </w:tcMar>
            <w:shd w:fill="F3F6F8"/>
          </w:tcPr>
          <w:p>
            <w:pPr>
              <w:spacing w:after="0"/>
            </w:pPr>
            <w:r>
              <w:rPr>
                <w:sz w:val="18"/>
              </w:rPr>
              <w:t>Explains what AI is, what it is not, and its principal risks in official statistics.</w:t>
            </w:r>
          </w:p>
        </w:tc>
      </w:tr>
      <w:tr>
        <w:tc>
          <w:tcPr>
            <w:tcW w:type="dxa" w:w="2016"/>
            <w:vAlign w:val="center"/>
            <w:tcMar>
              <w:top w:w="80" w:type="dxa"/>
              <w:start w:w="95" w:type="dxa"/>
              <w:bottom w:w="80" w:type="dxa"/>
              <w:end w:w="95" w:type="dxa"/>
            </w:tcMar>
          </w:tcPr>
          <w:p>
            <w:pPr>
              <w:spacing w:after="0"/>
            </w:pPr>
            <w:r>
              <w:rPr>
                <w:b/>
                <w:color w:val="0B6B69"/>
                <w:sz w:val="18"/>
              </w:rPr>
              <w:t>2. Assisted work</w:t>
            </w:r>
          </w:p>
        </w:tc>
        <w:tc>
          <w:tcPr>
            <w:tcW w:type="dxa" w:w="7344"/>
            <w:vAlign w:val="center"/>
            <w:tcMar>
              <w:top w:w="80" w:type="dxa"/>
              <w:start w:w="95" w:type="dxa"/>
              <w:bottom w:w="80" w:type="dxa"/>
              <w:end w:w="95" w:type="dxa"/>
            </w:tcMar>
          </w:tcPr>
          <w:p>
            <w:pPr>
              <w:spacing w:after="0"/>
            </w:pPr>
            <w:r>
              <w:rPr>
                <w:sz w:val="18"/>
              </w:rPr>
              <w:t>Uses approved tools for bounded, low-risk tasks with direct checking.</w:t>
            </w:r>
          </w:p>
        </w:tc>
      </w:tr>
      <w:tr>
        <w:tc>
          <w:tcPr>
            <w:tcW w:type="dxa" w:w="2016"/>
            <w:vAlign w:val="center"/>
            <w:tcMar>
              <w:top w:w="80" w:type="dxa"/>
              <w:start w:w="95" w:type="dxa"/>
              <w:bottom w:w="80" w:type="dxa"/>
              <w:end w:w="95" w:type="dxa"/>
            </w:tcMar>
            <w:shd w:fill="F3F6F8"/>
          </w:tcPr>
          <w:p>
            <w:pPr>
              <w:spacing w:after="0"/>
            </w:pPr>
            <w:r>
              <w:rPr>
                <w:b/>
                <w:color w:val="0B6B69"/>
                <w:sz w:val="18"/>
              </w:rPr>
              <w:t>3. Verified production</w:t>
            </w:r>
          </w:p>
        </w:tc>
        <w:tc>
          <w:tcPr>
            <w:tcW w:type="dxa" w:w="7344"/>
            <w:vAlign w:val="center"/>
            <w:tcMar>
              <w:top w:w="80" w:type="dxa"/>
              <w:start w:w="95" w:type="dxa"/>
              <w:bottom w:w="80" w:type="dxa"/>
              <w:end w:w="95" w:type="dxa"/>
            </w:tcMar>
            <w:shd w:fill="F3F6F8"/>
          </w:tcPr>
          <w:p>
            <w:pPr>
              <w:spacing w:after="0"/>
            </w:pPr>
            <w:r>
              <w:rPr>
                <w:sz w:val="18"/>
              </w:rPr>
              <w:t>Applies formal validation, documentation and human review.</w:t>
            </w:r>
          </w:p>
        </w:tc>
      </w:tr>
      <w:tr>
        <w:tc>
          <w:tcPr>
            <w:tcW w:type="dxa" w:w="2016"/>
            <w:vAlign w:val="center"/>
            <w:tcMar>
              <w:top w:w="80" w:type="dxa"/>
              <w:start w:w="95" w:type="dxa"/>
              <w:bottom w:w="80" w:type="dxa"/>
              <w:end w:w="95" w:type="dxa"/>
            </w:tcMar>
          </w:tcPr>
          <w:p>
            <w:pPr>
              <w:spacing w:after="0"/>
            </w:pPr>
            <w:r>
              <w:rPr>
                <w:b/>
                <w:color w:val="0B6B69"/>
                <w:sz w:val="18"/>
              </w:rPr>
              <w:t>4. Workflow integration</w:t>
            </w:r>
          </w:p>
        </w:tc>
        <w:tc>
          <w:tcPr>
            <w:tcW w:type="dxa" w:w="7344"/>
            <w:vAlign w:val="center"/>
            <w:tcMar>
              <w:top w:w="80" w:type="dxa"/>
              <w:start w:w="95" w:type="dxa"/>
              <w:bottom w:w="80" w:type="dxa"/>
              <w:end w:w="95" w:type="dxa"/>
            </w:tcMar>
          </w:tcPr>
          <w:p>
            <w:pPr>
              <w:spacing w:after="0"/>
            </w:pPr>
            <w:r>
              <w:rPr>
                <w:sz w:val="18"/>
              </w:rPr>
              <w:t>Builds repeatable AI-assisted statistical processes.</w:t>
            </w:r>
          </w:p>
        </w:tc>
      </w:tr>
      <w:tr>
        <w:tc>
          <w:tcPr>
            <w:tcW w:type="dxa" w:w="2016"/>
            <w:vAlign w:val="center"/>
            <w:tcMar>
              <w:top w:w="80" w:type="dxa"/>
              <w:start w:w="95" w:type="dxa"/>
              <w:bottom w:w="80" w:type="dxa"/>
              <w:end w:w="95" w:type="dxa"/>
            </w:tcMar>
            <w:shd w:fill="F3F6F8"/>
          </w:tcPr>
          <w:p>
            <w:pPr>
              <w:spacing w:after="0"/>
            </w:pPr>
            <w:r>
              <w:rPr>
                <w:b/>
                <w:color w:val="0B6B69"/>
                <w:sz w:val="18"/>
              </w:rPr>
              <w:t>5. Institutional leadership</w:t>
            </w:r>
          </w:p>
        </w:tc>
        <w:tc>
          <w:tcPr>
            <w:tcW w:type="dxa" w:w="7344"/>
            <w:vAlign w:val="center"/>
            <w:tcMar>
              <w:top w:w="80" w:type="dxa"/>
              <w:start w:w="95" w:type="dxa"/>
              <w:bottom w:w="80" w:type="dxa"/>
              <w:end w:w="95" w:type="dxa"/>
            </w:tcMar>
            <w:shd w:fill="F3F6F8"/>
          </w:tcPr>
          <w:p>
            <w:pPr>
              <w:spacing w:after="0"/>
            </w:pPr>
            <w:r>
              <w:rPr>
                <w:sz w:val="18"/>
              </w:rPr>
              <w:t>Establishes governance, standards, investment priorities and organizational adoption.</w:t>
            </w:r>
          </w:p>
        </w:tc>
      </w:tr>
    </w:tbl>
    <w:p>
      <w:pPr>
        <w:spacing w:after="0"/>
      </w:pP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pStyle w:val="Callout"/>
              <w:ind w:left="0" w:right="0"/>
            </w:pPr>
            <w:r>
              <w:t>AI may draft, classify, suggest, explain, translate and generate code. Evidence, approved methods and reproducible calculations determine the official result.</w:t>
            </w:r>
          </w:p>
        </w:tc>
      </w:tr>
    </w:tbl>
    <w:p>
      <w:pPr>
        <w:spacing w:after="0"/>
      </w:pPr>
    </w:p>
    <w:p>
      <w:r>
        <w:br w:type="page"/>
      </w:r>
    </w:p>
    <w:p>
      <w:pPr>
        <w:pStyle w:val="Heading1"/>
      </w:pPr>
      <w:r>
        <w:t>Part II. National Information Ecosystem Map</w:t>
      </w:r>
    </w:p>
    <w:p>
      <w:pPr>
        <w:pStyle w:val="Heading2"/>
      </w:pPr>
      <w:r>
        <w:t>4. From an NSO-centred view to a national ecosystem view</w:t>
      </w:r>
    </w:p>
    <w:p>
      <w:r>
        <w:t>The National Statistical Office is a central institution, but it is not the whole National Statistical System. The NSS may also include sector ministries, the central bank, customs and tax authorities, civil registration bodies, subnational agencies and other legally recognized producers of official statistics. Beyond the NSS lies a wider ecosystem of research, administrative, geospatial, monitoring, private-sector and community information systems.</w:t>
      </w:r>
    </w:p>
    <w:p>
      <w:r>
        <w:t>The ecosystem map is not intended to erase institutional mandates. It clarifies how different systems contribute evidence, where responsibilities lie and how information can be integrated without misrepresenting its status.</w:t>
      </w:r>
    </w:p>
    <w:p>
      <w:pPr>
        <w:pStyle w:val="Heading2"/>
      </w:pPr>
      <w:r>
        <w:t>5. Three concentric levels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6"/>
              </w:rPr>
              <w:t>Level</w:t>
            </w:r>
          </w:p>
        </w:tc>
        <w:tc>
          <w:tcPr>
            <w:tcW w:type="dxa" w:w="3331"/>
            <w:shd w:fill="17324D"/>
            <w:tcMar>
              <w:top w:w="90" w:type="dxa"/>
              <w:start w:w="100" w:type="dxa"/>
              <w:bottom w:w="90" w:type="dxa"/>
              <w:end w:w="100" w:type="dxa"/>
            </w:tcMar>
          </w:tcPr>
          <w:p>
            <w:pPr>
              <w:spacing w:after="0"/>
            </w:pPr>
            <w:r>
              <w:rPr>
                <w:b/>
                <w:color w:val="FFFFFF"/>
                <w:sz w:val="16"/>
              </w:rPr>
              <w:t>Components</w:t>
            </w:r>
          </w:p>
        </w:tc>
        <w:tc>
          <w:tcPr>
            <w:tcW w:type="dxa" w:w="3331"/>
            <w:shd w:fill="17324D"/>
            <w:tcMar>
              <w:top w:w="90" w:type="dxa"/>
              <w:start w:w="100" w:type="dxa"/>
              <w:bottom w:w="90" w:type="dxa"/>
              <w:end w:w="100" w:type="dxa"/>
            </w:tcMar>
          </w:tcPr>
          <w:p>
            <w:pPr>
              <w:spacing w:after="0"/>
            </w:pPr>
            <w:r>
              <w:rPr>
                <w:b/>
                <w:color w:val="FFFFFF"/>
                <w:sz w:val="16"/>
              </w:rPr>
              <w:t>Function</w:t>
            </w:r>
          </w:p>
        </w:tc>
      </w:tr>
      <w:tr>
        <w:tc>
          <w:tcPr>
            <w:tcW w:type="dxa" w:w="1800"/>
            <w:vAlign w:val="center"/>
            <w:tcMar>
              <w:top w:w="80" w:type="dxa"/>
              <w:start w:w="95" w:type="dxa"/>
              <w:bottom w:w="80" w:type="dxa"/>
              <w:end w:w="95" w:type="dxa"/>
            </w:tcMar>
            <w:shd w:fill="F3F6F8"/>
          </w:tcPr>
          <w:p>
            <w:pPr>
              <w:spacing w:after="0"/>
            </w:pPr>
            <w:r>
              <w:rPr>
                <w:b/>
                <w:color w:val="0B6B69"/>
                <w:sz w:val="16"/>
              </w:rPr>
              <w:t>1. Evidence sources</w:t>
            </w:r>
          </w:p>
        </w:tc>
        <w:tc>
          <w:tcPr>
            <w:tcW w:type="dxa" w:w="4680"/>
            <w:vAlign w:val="center"/>
            <w:tcMar>
              <w:top w:w="80" w:type="dxa"/>
              <w:start w:w="95" w:type="dxa"/>
              <w:bottom w:w="80" w:type="dxa"/>
              <w:end w:w="95" w:type="dxa"/>
            </w:tcMar>
            <w:shd w:fill="F3F6F8"/>
          </w:tcPr>
          <w:p>
            <w:pPr>
              <w:spacing w:after="0"/>
            </w:pPr>
            <w:r>
              <w:rPr>
                <w:sz w:val="16"/>
              </w:rPr>
              <w:t>Surveys, censuses, administrative records, research, Earth observation, sensors, transactions, documents and community observations.</w:t>
            </w:r>
          </w:p>
        </w:tc>
        <w:tc>
          <w:tcPr>
            <w:tcW w:type="dxa" w:w="3024"/>
            <w:vAlign w:val="center"/>
            <w:tcMar>
              <w:top w:w="80" w:type="dxa"/>
              <w:start w:w="95" w:type="dxa"/>
              <w:bottom w:w="80" w:type="dxa"/>
              <w:end w:w="95" w:type="dxa"/>
            </w:tcMar>
            <w:shd w:fill="F3F6F8"/>
          </w:tcPr>
          <w:p>
            <w:pPr>
              <w:spacing w:after="0"/>
            </w:pPr>
            <w:r>
              <w:rPr>
                <w:sz w:val="16"/>
              </w:rPr>
              <w:t>Generate observations, records, measurements and findings.</w:t>
            </w:r>
          </w:p>
        </w:tc>
      </w:tr>
      <w:tr>
        <w:tc>
          <w:tcPr>
            <w:tcW w:type="dxa" w:w="1800"/>
            <w:vAlign w:val="center"/>
            <w:tcMar>
              <w:top w:w="80" w:type="dxa"/>
              <w:start w:w="95" w:type="dxa"/>
              <w:bottom w:w="80" w:type="dxa"/>
              <w:end w:w="95" w:type="dxa"/>
            </w:tcMar>
          </w:tcPr>
          <w:p>
            <w:pPr>
              <w:spacing w:after="0"/>
            </w:pPr>
            <w:r>
              <w:rPr>
                <w:b/>
                <w:color w:val="0B6B69"/>
                <w:sz w:val="16"/>
              </w:rPr>
              <w:t>2. Information systems</w:t>
            </w:r>
          </w:p>
        </w:tc>
        <w:tc>
          <w:tcPr>
            <w:tcW w:type="dxa" w:w="4680"/>
            <w:vAlign w:val="center"/>
            <w:tcMar>
              <w:top w:w="80" w:type="dxa"/>
              <w:start w:w="95" w:type="dxa"/>
              <w:bottom w:w="80" w:type="dxa"/>
              <w:end w:w="95" w:type="dxa"/>
            </w:tcMar>
          </w:tcPr>
          <w:p>
            <w:pPr>
              <w:spacing w:after="0"/>
            </w:pPr>
            <w:r>
              <w:rPr>
                <w:sz w:val="16"/>
              </w:rPr>
              <w:t>Official statistical, administrative, research, M&amp;E, geospatial, market, early-warning and knowledge systems.</w:t>
            </w:r>
          </w:p>
        </w:tc>
        <w:tc>
          <w:tcPr>
            <w:tcW w:type="dxa" w:w="3024"/>
            <w:vAlign w:val="center"/>
            <w:tcMar>
              <w:top w:w="80" w:type="dxa"/>
              <w:start w:w="95" w:type="dxa"/>
              <w:bottom w:w="80" w:type="dxa"/>
              <w:end w:w="95" w:type="dxa"/>
            </w:tcMar>
          </w:tcPr>
          <w:p>
            <w:pPr>
              <w:spacing w:after="0"/>
            </w:pPr>
            <w:r>
              <w:rPr>
                <w:sz w:val="16"/>
              </w:rPr>
              <w:t>Organize information for defined institutional purposes.</w:t>
            </w:r>
          </w:p>
        </w:tc>
      </w:tr>
      <w:tr>
        <w:tc>
          <w:tcPr>
            <w:tcW w:type="dxa" w:w="1800"/>
            <w:vAlign w:val="center"/>
            <w:tcMar>
              <w:top w:w="80" w:type="dxa"/>
              <w:start w:w="95" w:type="dxa"/>
              <w:bottom w:w="80" w:type="dxa"/>
              <w:end w:w="95" w:type="dxa"/>
            </w:tcMar>
            <w:shd w:fill="F3F6F8"/>
          </w:tcPr>
          <w:p>
            <w:pPr>
              <w:spacing w:after="0"/>
            </w:pPr>
            <w:r>
              <w:rPr>
                <w:b/>
                <w:color w:val="0B6B69"/>
                <w:sz w:val="16"/>
              </w:rPr>
              <w:t>3. National ecosystem</w:t>
            </w:r>
          </w:p>
        </w:tc>
        <w:tc>
          <w:tcPr>
            <w:tcW w:type="dxa" w:w="4680"/>
            <w:vAlign w:val="center"/>
            <w:tcMar>
              <w:top w:w="80" w:type="dxa"/>
              <w:start w:w="95" w:type="dxa"/>
              <w:bottom w:w="80" w:type="dxa"/>
              <w:end w:w="95" w:type="dxa"/>
            </w:tcMar>
            <w:shd w:fill="F3F6F8"/>
          </w:tcPr>
          <w:p>
            <w:pPr>
              <w:spacing w:after="0"/>
            </w:pPr>
            <w:r>
              <w:rPr>
                <w:sz w:val="16"/>
              </w:rPr>
              <w:t>Institutions, laws, standards, infrastructure, financing, people, users and governance.</w:t>
            </w:r>
          </w:p>
        </w:tc>
        <w:tc>
          <w:tcPr>
            <w:tcW w:type="dxa" w:w="3024"/>
            <w:vAlign w:val="center"/>
            <w:tcMar>
              <w:top w:w="80" w:type="dxa"/>
              <w:start w:w="95" w:type="dxa"/>
              <w:bottom w:w="80" w:type="dxa"/>
              <w:end w:w="95" w:type="dxa"/>
            </w:tcMar>
            <w:shd w:fill="F3F6F8"/>
          </w:tcPr>
          <w:p>
            <w:pPr>
              <w:spacing w:after="0"/>
            </w:pPr>
            <w:r>
              <w:rPr>
                <w:sz w:val="16"/>
              </w:rPr>
              <w:t>Connect systems and turn evidence into trusted public value.</w:t>
            </w:r>
          </w:p>
        </w:tc>
      </w:tr>
    </w:tbl>
    <w:p>
      <w:pPr>
        <w:spacing w:after="0"/>
      </w:pPr>
    </w:p>
    <w:p>
      <w:pPr>
        <w:pStyle w:val="Heading2"/>
      </w:pPr>
      <w:r>
        <w:t>6. Constituent information systems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4"/>
              </w:rPr>
              <w:t>System</w:t>
            </w:r>
          </w:p>
        </w:tc>
        <w:tc>
          <w:tcPr>
            <w:tcW w:type="dxa" w:w="3331"/>
            <w:shd w:fill="17324D"/>
            <w:tcMar>
              <w:top w:w="90" w:type="dxa"/>
              <w:start w:w="100" w:type="dxa"/>
              <w:bottom w:w="90" w:type="dxa"/>
              <w:end w:w="100" w:type="dxa"/>
            </w:tcMar>
          </w:tcPr>
          <w:p>
            <w:pPr>
              <w:spacing w:after="0"/>
            </w:pPr>
            <w:r>
              <w:rPr>
                <w:b/>
                <w:color w:val="FFFFFF"/>
                <w:sz w:val="14"/>
              </w:rPr>
              <w:t>Primary purpose</w:t>
            </w:r>
          </w:p>
        </w:tc>
        <w:tc>
          <w:tcPr>
            <w:tcW w:type="dxa" w:w="3331"/>
            <w:shd w:fill="17324D"/>
            <w:tcMar>
              <w:top w:w="90" w:type="dxa"/>
              <w:start w:w="100" w:type="dxa"/>
              <w:bottom w:w="90" w:type="dxa"/>
              <w:end w:w="100" w:type="dxa"/>
            </w:tcMar>
          </w:tcPr>
          <w:p>
            <w:pPr>
              <w:spacing w:after="0"/>
            </w:pPr>
            <w:r>
              <w:rPr>
                <w:b/>
                <w:color w:val="FFFFFF"/>
                <w:sz w:val="14"/>
              </w:rPr>
              <w:t>Relationship to official statistics</w:t>
            </w:r>
          </w:p>
        </w:tc>
      </w:tr>
      <w:tr>
        <w:tc>
          <w:tcPr>
            <w:tcW w:type="dxa" w:w="2088"/>
            <w:vAlign w:val="center"/>
            <w:tcMar>
              <w:top w:w="80" w:type="dxa"/>
              <w:start w:w="95" w:type="dxa"/>
              <w:bottom w:w="80" w:type="dxa"/>
              <w:end w:w="95" w:type="dxa"/>
            </w:tcMar>
            <w:shd w:fill="F3F6F8"/>
          </w:tcPr>
          <w:p>
            <w:pPr>
              <w:spacing w:after="0"/>
            </w:pPr>
            <w:r>
              <w:rPr>
                <w:b/>
                <w:color w:val="0B6B69"/>
                <w:sz w:val="14"/>
              </w:rPr>
              <w:t>Official Statistical System</w:t>
            </w:r>
          </w:p>
        </w:tc>
        <w:tc>
          <w:tcPr>
            <w:tcW w:type="dxa" w:w="3528"/>
            <w:vAlign w:val="center"/>
            <w:tcMar>
              <w:top w:w="80" w:type="dxa"/>
              <w:start w:w="95" w:type="dxa"/>
              <w:bottom w:w="80" w:type="dxa"/>
              <w:end w:w="95" w:type="dxa"/>
            </w:tcMar>
            <w:shd w:fill="F3F6F8"/>
          </w:tcPr>
          <w:p>
            <w:pPr>
              <w:spacing w:after="0"/>
            </w:pPr>
            <w:r>
              <w:rPr>
                <w:sz w:val="14"/>
              </w:rPr>
              <w:t>Produce authoritative statistics for public use.</w:t>
            </w:r>
          </w:p>
        </w:tc>
        <w:tc>
          <w:tcPr>
            <w:tcW w:type="dxa" w:w="3888"/>
            <w:vAlign w:val="center"/>
            <w:tcMar>
              <w:top w:w="80" w:type="dxa"/>
              <w:start w:w="95" w:type="dxa"/>
              <w:bottom w:w="80" w:type="dxa"/>
              <w:end w:w="95" w:type="dxa"/>
            </w:tcMar>
            <w:shd w:fill="F3F6F8"/>
          </w:tcPr>
          <w:p>
            <w:pPr>
              <w:spacing w:after="0"/>
            </w:pPr>
            <w:r>
              <w:rPr>
                <w:sz w:val="14"/>
              </w:rPr>
              <w:t>Professional and accountability anchor.</w:t>
            </w:r>
          </w:p>
        </w:tc>
      </w:tr>
      <w:tr>
        <w:tc>
          <w:tcPr>
            <w:tcW w:type="dxa" w:w="2088"/>
            <w:vAlign w:val="center"/>
            <w:tcMar>
              <w:top w:w="80" w:type="dxa"/>
              <w:start w:w="95" w:type="dxa"/>
              <w:bottom w:w="80" w:type="dxa"/>
              <w:end w:w="95" w:type="dxa"/>
            </w:tcMar>
          </w:tcPr>
          <w:p>
            <w:pPr>
              <w:spacing w:after="0"/>
            </w:pPr>
            <w:r>
              <w:rPr>
                <w:b/>
                <w:color w:val="0B6B69"/>
                <w:sz w:val="14"/>
              </w:rPr>
              <w:t>Administrative Information Systems</w:t>
            </w:r>
          </w:p>
        </w:tc>
        <w:tc>
          <w:tcPr>
            <w:tcW w:type="dxa" w:w="3528"/>
            <w:vAlign w:val="center"/>
            <w:tcMar>
              <w:top w:w="80" w:type="dxa"/>
              <w:start w:w="95" w:type="dxa"/>
              <w:bottom w:w="80" w:type="dxa"/>
              <w:end w:w="95" w:type="dxa"/>
            </w:tcMar>
          </w:tcPr>
          <w:p>
            <w:pPr>
              <w:spacing w:after="0"/>
            </w:pPr>
            <w:r>
              <w:rPr>
                <w:sz w:val="14"/>
              </w:rPr>
              <w:t>Administer services, regulation, taxation and programmes.</w:t>
            </w:r>
          </w:p>
        </w:tc>
        <w:tc>
          <w:tcPr>
            <w:tcW w:type="dxa" w:w="3888"/>
            <w:vAlign w:val="center"/>
            <w:tcMar>
              <w:top w:w="80" w:type="dxa"/>
              <w:start w:w="95" w:type="dxa"/>
              <w:bottom w:w="80" w:type="dxa"/>
              <w:end w:w="95" w:type="dxa"/>
            </w:tcMar>
          </w:tcPr>
          <w:p>
            <w:pPr>
              <w:spacing w:after="0"/>
            </w:pPr>
            <w:r>
              <w:rPr>
                <w:sz w:val="14"/>
              </w:rPr>
              <w:t>Provide records that may be transformed for statistical use.</w:t>
            </w:r>
          </w:p>
        </w:tc>
      </w:tr>
      <w:tr>
        <w:tc>
          <w:tcPr>
            <w:tcW w:type="dxa" w:w="2088"/>
            <w:vAlign w:val="center"/>
            <w:tcMar>
              <w:top w:w="80" w:type="dxa"/>
              <w:start w:w="95" w:type="dxa"/>
              <w:bottom w:w="80" w:type="dxa"/>
              <w:end w:w="95" w:type="dxa"/>
            </w:tcMar>
            <w:shd w:fill="F3F6F8"/>
          </w:tcPr>
          <w:p>
            <w:pPr>
              <w:spacing w:after="0"/>
            </w:pPr>
            <w:r>
              <w:rPr>
                <w:b/>
                <w:color w:val="0B6B69"/>
                <w:sz w:val="14"/>
              </w:rPr>
              <w:t>Research and Scientific System</w:t>
            </w:r>
          </w:p>
        </w:tc>
        <w:tc>
          <w:tcPr>
            <w:tcW w:type="dxa" w:w="3528"/>
            <w:vAlign w:val="center"/>
            <w:tcMar>
              <w:top w:w="80" w:type="dxa"/>
              <w:start w:w="95" w:type="dxa"/>
              <w:bottom w:w="80" w:type="dxa"/>
              <w:end w:w="95" w:type="dxa"/>
            </w:tcMar>
            <w:shd w:fill="F3F6F8"/>
          </w:tcPr>
          <w:p>
            <w:pPr>
              <w:spacing w:after="0"/>
            </w:pPr>
            <w:r>
              <w:rPr>
                <w:sz w:val="14"/>
              </w:rPr>
              <w:t>Test hypotheses, technologies and causal relationships.</w:t>
            </w:r>
          </w:p>
        </w:tc>
        <w:tc>
          <w:tcPr>
            <w:tcW w:type="dxa" w:w="3888"/>
            <w:vAlign w:val="center"/>
            <w:tcMar>
              <w:top w:w="80" w:type="dxa"/>
              <w:start w:w="95" w:type="dxa"/>
              <w:bottom w:w="80" w:type="dxa"/>
              <w:end w:w="95" w:type="dxa"/>
            </w:tcMar>
            <w:shd w:fill="F3F6F8"/>
          </w:tcPr>
          <w:p>
            <w:pPr>
              <w:spacing w:after="0"/>
            </w:pPr>
            <w:r>
              <w:rPr>
                <w:sz w:val="14"/>
              </w:rPr>
              <w:t>Provides scientific evidence, parameters and validation knowledge.</w:t>
            </w:r>
          </w:p>
        </w:tc>
      </w:tr>
      <w:tr>
        <w:tc>
          <w:tcPr>
            <w:tcW w:type="dxa" w:w="2088"/>
            <w:vAlign w:val="center"/>
            <w:tcMar>
              <w:top w:w="80" w:type="dxa"/>
              <w:start w:w="95" w:type="dxa"/>
              <w:bottom w:w="80" w:type="dxa"/>
              <w:end w:w="95" w:type="dxa"/>
            </w:tcMar>
          </w:tcPr>
          <w:p>
            <w:pPr>
              <w:spacing w:after="0"/>
            </w:pPr>
            <w:r>
              <w:rPr>
                <w:b/>
                <w:color w:val="0B6B69"/>
                <w:sz w:val="14"/>
              </w:rPr>
              <w:t>Monitoring and Evaluation Systems</w:t>
            </w:r>
          </w:p>
        </w:tc>
        <w:tc>
          <w:tcPr>
            <w:tcW w:type="dxa" w:w="3528"/>
            <w:vAlign w:val="center"/>
            <w:tcMar>
              <w:top w:w="80" w:type="dxa"/>
              <w:start w:w="95" w:type="dxa"/>
              <w:bottom w:w="80" w:type="dxa"/>
              <w:end w:w="95" w:type="dxa"/>
            </w:tcMar>
          </w:tcPr>
          <w:p>
            <w:pPr>
              <w:spacing w:after="0"/>
            </w:pPr>
            <w:r>
              <w:rPr>
                <w:sz w:val="14"/>
              </w:rPr>
              <w:t>Track programmes, outputs, outcomes and performance.</w:t>
            </w:r>
          </w:p>
        </w:tc>
        <w:tc>
          <w:tcPr>
            <w:tcW w:type="dxa" w:w="3888"/>
            <w:vAlign w:val="center"/>
            <w:tcMar>
              <w:top w:w="80" w:type="dxa"/>
              <w:start w:w="95" w:type="dxa"/>
              <w:bottom w:w="80" w:type="dxa"/>
              <w:end w:w="95" w:type="dxa"/>
            </w:tcMar>
          </w:tcPr>
          <w:p>
            <w:pPr>
              <w:spacing w:after="0"/>
            </w:pPr>
            <w:r>
              <w:rPr>
                <w:sz w:val="14"/>
              </w:rPr>
              <w:t>Provides indicators that may complement, but not automatically qualify as, official statistics.</w:t>
            </w:r>
          </w:p>
        </w:tc>
      </w:tr>
      <w:tr>
        <w:tc>
          <w:tcPr>
            <w:tcW w:type="dxa" w:w="2088"/>
            <w:vAlign w:val="center"/>
            <w:tcMar>
              <w:top w:w="80" w:type="dxa"/>
              <w:start w:w="95" w:type="dxa"/>
              <w:bottom w:w="80" w:type="dxa"/>
              <w:end w:w="95" w:type="dxa"/>
            </w:tcMar>
            <w:shd w:fill="F3F6F8"/>
          </w:tcPr>
          <w:p>
            <w:pPr>
              <w:spacing w:after="0"/>
            </w:pPr>
            <w:r>
              <w:rPr>
                <w:b/>
                <w:color w:val="0B6B69"/>
                <w:sz w:val="14"/>
              </w:rPr>
              <w:t>Management Information Systems</w:t>
            </w:r>
          </w:p>
        </w:tc>
        <w:tc>
          <w:tcPr>
            <w:tcW w:type="dxa" w:w="3528"/>
            <w:vAlign w:val="center"/>
            <w:tcMar>
              <w:top w:w="80" w:type="dxa"/>
              <w:start w:w="95" w:type="dxa"/>
              <w:bottom w:w="80" w:type="dxa"/>
              <w:end w:w="95" w:type="dxa"/>
            </w:tcMar>
            <w:shd w:fill="F3F6F8"/>
          </w:tcPr>
          <w:p>
            <w:pPr>
              <w:spacing w:after="0"/>
            </w:pPr>
            <w:r>
              <w:rPr>
                <w:sz w:val="14"/>
              </w:rPr>
              <w:t>Support institutional operations and decisions.</w:t>
            </w:r>
          </w:p>
        </w:tc>
        <w:tc>
          <w:tcPr>
            <w:tcW w:type="dxa" w:w="3888"/>
            <w:vAlign w:val="center"/>
            <w:tcMar>
              <w:top w:w="80" w:type="dxa"/>
              <w:start w:w="95" w:type="dxa"/>
              <w:bottom w:w="80" w:type="dxa"/>
              <w:end w:w="95" w:type="dxa"/>
            </w:tcMar>
            <w:shd w:fill="F3F6F8"/>
          </w:tcPr>
          <w:p>
            <w:pPr>
              <w:spacing w:after="0"/>
            </w:pPr>
            <w:r>
              <w:rPr>
                <w:sz w:val="14"/>
              </w:rPr>
              <w:t>May provide operational records and process data.</w:t>
            </w:r>
          </w:p>
        </w:tc>
      </w:tr>
      <w:tr>
        <w:tc>
          <w:tcPr>
            <w:tcW w:type="dxa" w:w="2088"/>
            <w:vAlign w:val="center"/>
            <w:tcMar>
              <w:top w:w="80" w:type="dxa"/>
              <w:start w:w="95" w:type="dxa"/>
              <w:bottom w:w="80" w:type="dxa"/>
              <w:end w:w="95" w:type="dxa"/>
            </w:tcMar>
          </w:tcPr>
          <w:p>
            <w:pPr>
              <w:spacing w:after="0"/>
            </w:pPr>
            <w:r>
              <w:rPr>
                <w:b/>
                <w:color w:val="0B6B69"/>
                <w:sz w:val="14"/>
              </w:rPr>
              <w:t>Geospatial Information System</w:t>
            </w:r>
          </w:p>
        </w:tc>
        <w:tc>
          <w:tcPr>
            <w:tcW w:type="dxa" w:w="3528"/>
            <w:vAlign w:val="center"/>
            <w:tcMar>
              <w:top w:w="80" w:type="dxa"/>
              <w:start w:w="95" w:type="dxa"/>
              <w:bottom w:w="80" w:type="dxa"/>
              <w:end w:w="95" w:type="dxa"/>
            </w:tcMar>
          </w:tcPr>
          <w:p>
            <w:pPr>
              <w:spacing w:after="0"/>
            </w:pPr>
            <w:r>
              <w:rPr>
                <w:sz w:val="14"/>
              </w:rPr>
              <w:t>Manage location-based, mapping and Earth-observation information.</w:t>
            </w:r>
          </w:p>
        </w:tc>
        <w:tc>
          <w:tcPr>
            <w:tcW w:type="dxa" w:w="3888"/>
            <w:vAlign w:val="center"/>
            <w:tcMar>
              <w:top w:w="80" w:type="dxa"/>
              <w:start w:w="95" w:type="dxa"/>
              <w:bottom w:w="80" w:type="dxa"/>
              <w:end w:w="95" w:type="dxa"/>
            </w:tcMar>
          </w:tcPr>
          <w:p>
            <w:pPr>
              <w:spacing w:after="0"/>
            </w:pPr>
            <w:r>
              <w:rPr>
                <w:sz w:val="14"/>
              </w:rPr>
              <w:t>Supports frames, stratification, estimation and spatial analysis.</w:t>
            </w:r>
          </w:p>
        </w:tc>
      </w:tr>
      <w:tr>
        <w:tc>
          <w:tcPr>
            <w:tcW w:type="dxa" w:w="2088"/>
            <w:vAlign w:val="center"/>
            <w:tcMar>
              <w:top w:w="80" w:type="dxa"/>
              <w:start w:w="95" w:type="dxa"/>
              <w:bottom w:w="80" w:type="dxa"/>
              <w:end w:w="95" w:type="dxa"/>
            </w:tcMar>
            <w:shd w:fill="F3F6F8"/>
          </w:tcPr>
          <w:p>
            <w:pPr>
              <w:spacing w:after="0"/>
            </w:pPr>
            <w:r>
              <w:rPr>
                <w:b/>
                <w:color w:val="0B6B69"/>
                <w:sz w:val="14"/>
              </w:rPr>
              <w:t>Early-Warning System</w:t>
            </w:r>
          </w:p>
        </w:tc>
        <w:tc>
          <w:tcPr>
            <w:tcW w:type="dxa" w:w="3528"/>
            <w:vAlign w:val="center"/>
            <w:tcMar>
              <w:top w:w="80" w:type="dxa"/>
              <w:start w:w="95" w:type="dxa"/>
              <w:bottom w:w="80" w:type="dxa"/>
              <w:end w:w="95" w:type="dxa"/>
            </w:tcMar>
            <w:shd w:fill="F3F6F8"/>
          </w:tcPr>
          <w:p>
            <w:pPr>
              <w:spacing w:after="0"/>
            </w:pPr>
            <w:r>
              <w:rPr>
                <w:sz w:val="14"/>
              </w:rPr>
              <w:t>Detect emerging threats and support rapid response.</w:t>
            </w:r>
          </w:p>
        </w:tc>
        <w:tc>
          <w:tcPr>
            <w:tcW w:type="dxa" w:w="3888"/>
            <w:vAlign w:val="center"/>
            <w:tcMar>
              <w:top w:w="80" w:type="dxa"/>
              <w:start w:w="95" w:type="dxa"/>
              <w:bottom w:w="80" w:type="dxa"/>
              <w:end w:w="95" w:type="dxa"/>
            </w:tcMar>
            <w:shd w:fill="F3F6F8"/>
          </w:tcPr>
          <w:p>
            <w:pPr>
              <w:spacing w:after="0"/>
            </w:pPr>
            <w:r>
              <w:rPr>
                <w:sz w:val="14"/>
              </w:rPr>
              <w:t>Combines observations, models and forecasts with varying evidential status.</w:t>
            </w:r>
          </w:p>
        </w:tc>
      </w:tr>
      <w:tr>
        <w:tc>
          <w:tcPr>
            <w:tcW w:type="dxa" w:w="2088"/>
            <w:vAlign w:val="center"/>
            <w:tcMar>
              <w:top w:w="80" w:type="dxa"/>
              <w:start w:w="95" w:type="dxa"/>
              <w:bottom w:w="80" w:type="dxa"/>
              <w:end w:w="95" w:type="dxa"/>
            </w:tcMar>
          </w:tcPr>
          <w:p>
            <w:pPr>
              <w:spacing w:after="0"/>
            </w:pPr>
            <w:r>
              <w:rPr>
                <w:b/>
                <w:color w:val="0B6B69"/>
                <w:sz w:val="14"/>
              </w:rPr>
              <w:t>Market Information System</w:t>
            </w:r>
          </w:p>
        </w:tc>
        <w:tc>
          <w:tcPr>
            <w:tcW w:type="dxa" w:w="3528"/>
            <w:vAlign w:val="center"/>
            <w:tcMar>
              <w:top w:w="80" w:type="dxa"/>
              <w:start w:w="95" w:type="dxa"/>
              <w:bottom w:w="80" w:type="dxa"/>
              <w:end w:w="95" w:type="dxa"/>
            </w:tcMar>
          </w:tcPr>
          <w:p>
            <w:pPr>
              <w:spacing w:after="0"/>
            </w:pPr>
            <w:r>
              <w:rPr>
                <w:sz w:val="14"/>
              </w:rPr>
              <w:t>Monitor prices, supplies, demand and flows.</w:t>
            </w:r>
          </w:p>
        </w:tc>
        <w:tc>
          <w:tcPr>
            <w:tcW w:type="dxa" w:w="3888"/>
            <w:vAlign w:val="center"/>
            <w:tcMar>
              <w:top w:w="80" w:type="dxa"/>
              <w:start w:w="95" w:type="dxa"/>
              <w:bottom w:w="80" w:type="dxa"/>
              <w:end w:w="95" w:type="dxa"/>
            </w:tcMar>
          </w:tcPr>
          <w:p>
            <w:pPr>
              <w:spacing w:after="0"/>
            </w:pPr>
            <w:r>
              <w:rPr>
                <w:sz w:val="14"/>
              </w:rPr>
              <w:t>May feed price, trade, food-security and agricultural statistics.</w:t>
            </w:r>
          </w:p>
        </w:tc>
      </w:tr>
      <w:tr>
        <w:tc>
          <w:tcPr>
            <w:tcW w:type="dxa" w:w="2088"/>
            <w:vAlign w:val="center"/>
            <w:tcMar>
              <w:top w:w="80" w:type="dxa"/>
              <w:start w:w="95" w:type="dxa"/>
              <w:bottom w:w="80" w:type="dxa"/>
              <w:end w:w="95" w:type="dxa"/>
            </w:tcMar>
            <w:shd w:fill="F3F6F8"/>
          </w:tcPr>
          <w:p>
            <w:pPr>
              <w:spacing w:after="0"/>
            </w:pPr>
            <w:r>
              <w:rPr>
                <w:b/>
                <w:color w:val="0B6B69"/>
                <w:sz w:val="14"/>
              </w:rPr>
              <w:t>Knowledge and Extension System</w:t>
            </w:r>
          </w:p>
        </w:tc>
        <w:tc>
          <w:tcPr>
            <w:tcW w:type="dxa" w:w="3528"/>
            <w:vAlign w:val="center"/>
            <w:tcMar>
              <w:top w:w="80" w:type="dxa"/>
              <w:start w:w="95" w:type="dxa"/>
              <w:bottom w:w="80" w:type="dxa"/>
              <w:end w:w="95" w:type="dxa"/>
            </w:tcMar>
            <w:shd w:fill="F3F6F8"/>
          </w:tcPr>
          <w:p>
            <w:pPr>
              <w:spacing w:after="0"/>
            </w:pPr>
            <w:r>
              <w:rPr>
                <w:sz w:val="14"/>
              </w:rPr>
              <w:t>Translate evidence into guidance and practice.</w:t>
            </w:r>
          </w:p>
        </w:tc>
        <w:tc>
          <w:tcPr>
            <w:tcW w:type="dxa" w:w="3888"/>
            <w:vAlign w:val="center"/>
            <w:tcMar>
              <w:top w:w="80" w:type="dxa"/>
              <w:start w:w="95" w:type="dxa"/>
              <w:bottom w:w="80" w:type="dxa"/>
              <w:end w:w="95" w:type="dxa"/>
            </w:tcMar>
            <w:shd w:fill="F3F6F8"/>
          </w:tcPr>
          <w:p>
            <w:pPr>
              <w:spacing w:after="0"/>
            </w:pPr>
            <w:r>
              <w:rPr>
                <w:sz w:val="14"/>
              </w:rPr>
              <w:t>Disseminates research and statistical insights to practitioners.</w:t>
            </w:r>
          </w:p>
        </w:tc>
      </w:tr>
      <w:tr>
        <w:tc>
          <w:tcPr>
            <w:tcW w:type="dxa" w:w="2088"/>
            <w:vAlign w:val="center"/>
            <w:tcMar>
              <w:top w:w="80" w:type="dxa"/>
              <w:start w:w="95" w:type="dxa"/>
              <w:bottom w:w="80" w:type="dxa"/>
              <w:end w:w="95" w:type="dxa"/>
            </w:tcMar>
          </w:tcPr>
          <w:p>
            <w:pPr>
              <w:spacing w:after="0"/>
            </w:pPr>
            <w:r>
              <w:rPr>
                <w:b/>
                <w:color w:val="0B6B69"/>
                <w:sz w:val="14"/>
              </w:rPr>
              <w:t>Private and Community Systems</w:t>
            </w:r>
          </w:p>
        </w:tc>
        <w:tc>
          <w:tcPr>
            <w:tcW w:type="dxa" w:w="3528"/>
            <w:vAlign w:val="center"/>
            <w:tcMar>
              <w:top w:w="80" w:type="dxa"/>
              <w:start w:w="95" w:type="dxa"/>
              <w:bottom w:w="80" w:type="dxa"/>
              <w:end w:w="95" w:type="dxa"/>
            </w:tcMar>
          </w:tcPr>
          <w:p>
            <w:pPr>
              <w:spacing w:after="0"/>
            </w:pPr>
            <w:r>
              <w:rPr>
                <w:sz w:val="14"/>
              </w:rPr>
              <w:t>Generate commercial, transactional or citizen-supplied information.</w:t>
            </w:r>
          </w:p>
        </w:tc>
        <w:tc>
          <w:tcPr>
            <w:tcW w:type="dxa" w:w="3888"/>
            <w:vAlign w:val="center"/>
            <w:tcMar>
              <w:top w:w="80" w:type="dxa"/>
              <w:start w:w="95" w:type="dxa"/>
              <w:bottom w:w="80" w:type="dxa"/>
              <w:end w:w="95" w:type="dxa"/>
            </w:tcMar>
          </w:tcPr>
          <w:p>
            <w:pPr>
              <w:spacing w:after="0"/>
            </w:pPr>
            <w:r>
              <w:rPr>
                <w:sz w:val="14"/>
              </w:rPr>
              <w:t>Potential supplementary sources requiring legal and quality assessment.</w:t>
            </w:r>
          </w:p>
        </w:tc>
      </w:tr>
    </w:tbl>
    <w:p>
      <w:pPr>
        <w:spacing w:after="0"/>
      </w:pPr>
    </w:p>
    <w:p>
      <w:r>
        <w:br w:type="page"/>
      </w:r>
    </w:p>
    <w:p>
      <w:pPr>
        <w:pStyle w:val="Heading2"/>
      </w:pPr>
      <w:r>
        <w:t>7. Illustrative national food and agriculture ecosystem</w:t>
      </w:r>
    </w:p>
    <w:p>
      <w:r>
        <w:t>A national food and agriculture information system may connect the following producers and sources: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Institution or system</w:t>
            </w:r>
          </w:p>
        </w:tc>
        <w:tc>
          <w:tcPr>
            <w:tcW w:type="dxa" w:w="4997"/>
            <w:shd w:fill="17324D"/>
            <w:tcMar>
              <w:top w:w="90" w:type="dxa"/>
              <w:start w:w="100" w:type="dxa"/>
              <w:bottom w:w="90" w:type="dxa"/>
              <w:end w:w="100" w:type="dxa"/>
            </w:tcMar>
          </w:tcPr>
          <w:p>
            <w:pPr>
              <w:spacing w:after="0"/>
            </w:pPr>
            <w:r>
              <w:rPr>
                <w:b/>
                <w:color w:val="FFFFFF"/>
                <w:sz w:val="16"/>
              </w:rPr>
              <w:t>Illustrative information</w:t>
            </w:r>
          </w:p>
        </w:tc>
      </w:tr>
      <w:tr>
        <w:tc>
          <w:tcPr>
            <w:tcW w:type="dxa" w:w="2592"/>
            <w:vAlign w:val="center"/>
            <w:tcMar>
              <w:top w:w="80" w:type="dxa"/>
              <w:start w:w="95" w:type="dxa"/>
              <w:bottom w:w="80" w:type="dxa"/>
              <w:end w:w="95" w:type="dxa"/>
            </w:tcMar>
            <w:shd w:fill="F3F6F8"/>
          </w:tcPr>
          <w:p>
            <w:pPr>
              <w:spacing w:after="0"/>
            </w:pPr>
            <w:r>
              <w:rPr>
                <w:b/>
                <w:color w:val="0B6B69"/>
                <w:sz w:val="16"/>
              </w:rPr>
              <w:t>National Statistical Office</w:t>
            </w:r>
          </w:p>
        </w:tc>
        <w:tc>
          <w:tcPr>
            <w:tcW w:type="dxa" w:w="6912"/>
            <w:vAlign w:val="center"/>
            <w:tcMar>
              <w:top w:w="80" w:type="dxa"/>
              <w:start w:w="95" w:type="dxa"/>
              <w:bottom w:w="80" w:type="dxa"/>
              <w:end w:w="95" w:type="dxa"/>
            </w:tcMar>
            <w:shd w:fill="F3F6F8"/>
          </w:tcPr>
          <w:p>
            <w:pPr>
              <w:spacing w:after="0"/>
            </w:pPr>
            <w:r>
              <w:rPr>
                <w:sz w:val="16"/>
              </w:rPr>
              <w:t>Agricultural census, household surveys, labour data, prices, national accounts and trade statistics.</w:t>
            </w:r>
          </w:p>
        </w:tc>
      </w:tr>
      <w:tr>
        <w:tc>
          <w:tcPr>
            <w:tcW w:type="dxa" w:w="2592"/>
            <w:vAlign w:val="center"/>
            <w:tcMar>
              <w:top w:w="80" w:type="dxa"/>
              <w:start w:w="95" w:type="dxa"/>
              <w:bottom w:w="80" w:type="dxa"/>
              <w:end w:w="95" w:type="dxa"/>
            </w:tcMar>
          </w:tcPr>
          <w:p>
            <w:pPr>
              <w:spacing w:after="0"/>
            </w:pPr>
            <w:r>
              <w:rPr>
                <w:b/>
                <w:color w:val="0B6B69"/>
                <w:sz w:val="16"/>
              </w:rPr>
              <w:t>Ministry of Agriculture</w:t>
            </w:r>
          </w:p>
        </w:tc>
        <w:tc>
          <w:tcPr>
            <w:tcW w:type="dxa" w:w="6912"/>
            <w:vAlign w:val="center"/>
            <w:tcMar>
              <w:top w:w="80" w:type="dxa"/>
              <w:start w:w="95" w:type="dxa"/>
              <w:bottom w:w="80" w:type="dxa"/>
              <w:end w:w="95" w:type="dxa"/>
            </w:tcMar>
          </w:tcPr>
          <w:p>
            <w:pPr>
              <w:spacing w:after="0"/>
            </w:pPr>
            <w:r>
              <w:rPr>
                <w:sz w:val="16"/>
              </w:rPr>
              <w:t>Crop and livestock surveys, extension records, input programmes, farm registers and administrative monitoring.</w:t>
            </w:r>
          </w:p>
        </w:tc>
      </w:tr>
      <w:tr>
        <w:tc>
          <w:tcPr>
            <w:tcW w:type="dxa" w:w="2592"/>
            <w:vAlign w:val="center"/>
            <w:tcMar>
              <w:top w:w="80" w:type="dxa"/>
              <w:start w:w="95" w:type="dxa"/>
              <w:bottom w:w="80" w:type="dxa"/>
              <w:end w:w="95" w:type="dxa"/>
            </w:tcMar>
            <w:shd w:fill="F3F6F8"/>
          </w:tcPr>
          <w:p>
            <w:pPr>
              <w:spacing w:after="0"/>
            </w:pPr>
            <w:r>
              <w:rPr>
                <w:b/>
                <w:color w:val="0B6B69"/>
                <w:sz w:val="16"/>
              </w:rPr>
              <w:t>Research institutions</w:t>
            </w:r>
          </w:p>
        </w:tc>
        <w:tc>
          <w:tcPr>
            <w:tcW w:type="dxa" w:w="6912"/>
            <w:vAlign w:val="center"/>
            <w:tcMar>
              <w:top w:w="80" w:type="dxa"/>
              <w:start w:w="95" w:type="dxa"/>
              <w:bottom w:w="80" w:type="dxa"/>
              <w:end w:w="95" w:type="dxa"/>
            </w:tcMar>
            <w:shd w:fill="F3F6F8"/>
          </w:tcPr>
          <w:p>
            <w:pPr>
              <w:spacing w:after="0"/>
            </w:pPr>
            <w:r>
              <w:rPr>
                <w:sz w:val="16"/>
              </w:rPr>
              <w:t>Variety trials, fertilizer response, soils, livestock performance, pest resistance and post-harvest research.</w:t>
            </w:r>
          </w:p>
        </w:tc>
      </w:tr>
      <w:tr>
        <w:tc>
          <w:tcPr>
            <w:tcW w:type="dxa" w:w="2592"/>
            <w:vAlign w:val="center"/>
            <w:tcMar>
              <w:top w:w="80" w:type="dxa"/>
              <w:start w:w="95" w:type="dxa"/>
              <w:bottom w:w="80" w:type="dxa"/>
              <w:end w:w="95" w:type="dxa"/>
            </w:tcMar>
          </w:tcPr>
          <w:p>
            <w:pPr>
              <w:spacing w:after="0"/>
            </w:pPr>
            <w:r>
              <w:rPr>
                <w:b/>
                <w:color w:val="0B6B69"/>
                <w:sz w:val="16"/>
              </w:rPr>
              <w:t>Food-security institutions</w:t>
            </w:r>
          </w:p>
        </w:tc>
        <w:tc>
          <w:tcPr>
            <w:tcW w:type="dxa" w:w="6912"/>
            <w:vAlign w:val="center"/>
            <w:tcMar>
              <w:top w:w="80" w:type="dxa"/>
              <w:start w:w="95" w:type="dxa"/>
              <w:bottom w:w="80" w:type="dxa"/>
              <w:end w:w="95" w:type="dxa"/>
            </w:tcMar>
          </w:tcPr>
          <w:p>
            <w:pPr>
              <w:spacing w:after="0"/>
            </w:pPr>
            <w:r>
              <w:rPr>
                <w:sz w:val="16"/>
              </w:rPr>
              <w:t>Vulnerability assessments, food access, food consumption and early-warning indicators.</w:t>
            </w:r>
          </w:p>
        </w:tc>
      </w:tr>
      <w:tr>
        <w:tc>
          <w:tcPr>
            <w:tcW w:type="dxa" w:w="2592"/>
            <w:vAlign w:val="center"/>
            <w:tcMar>
              <w:top w:w="80" w:type="dxa"/>
              <w:start w:w="95" w:type="dxa"/>
              <w:bottom w:w="80" w:type="dxa"/>
              <w:end w:w="95" w:type="dxa"/>
            </w:tcMar>
            <w:shd w:fill="F3F6F8"/>
          </w:tcPr>
          <w:p>
            <w:pPr>
              <w:spacing w:after="0"/>
            </w:pPr>
            <w:r>
              <w:rPr>
                <w:b/>
                <w:color w:val="0B6B69"/>
                <w:sz w:val="16"/>
              </w:rPr>
              <w:t>Fisheries and forestry agencies</w:t>
            </w:r>
          </w:p>
        </w:tc>
        <w:tc>
          <w:tcPr>
            <w:tcW w:type="dxa" w:w="6912"/>
            <w:vAlign w:val="center"/>
            <w:tcMar>
              <w:top w:w="80" w:type="dxa"/>
              <w:start w:w="95" w:type="dxa"/>
              <w:bottom w:w="80" w:type="dxa"/>
              <w:end w:w="95" w:type="dxa"/>
            </w:tcMar>
            <w:shd w:fill="F3F6F8"/>
          </w:tcPr>
          <w:p>
            <w:pPr>
              <w:spacing w:after="0"/>
            </w:pPr>
            <w:r>
              <w:rPr>
                <w:sz w:val="16"/>
              </w:rPr>
              <w:t>Licensing, catches, aquaculture, forest inventories and resource monitoring.</w:t>
            </w:r>
          </w:p>
        </w:tc>
      </w:tr>
      <w:tr>
        <w:tc>
          <w:tcPr>
            <w:tcW w:type="dxa" w:w="2592"/>
            <w:vAlign w:val="center"/>
            <w:tcMar>
              <w:top w:w="80" w:type="dxa"/>
              <w:start w:w="95" w:type="dxa"/>
              <w:bottom w:w="80" w:type="dxa"/>
              <w:end w:w="95" w:type="dxa"/>
            </w:tcMar>
          </w:tcPr>
          <w:p>
            <w:pPr>
              <w:spacing w:after="0"/>
            </w:pPr>
            <w:r>
              <w:rPr>
                <w:b/>
                <w:color w:val="0B6B69"/>
                <w:sz w:val="16"/>
              </w:rPr>
              <w:t>Meteorological service</w:t>
            </w:r>
          </w:p>
        </w:tc>
        <w:tc>
          <w:tcPr>
            <w:tcW w:type="dxa" w:w="6912"/>
            <w:vAlign w:val="center"/>
            <w:tcMar>
              <w:top w:w="80" w:type="dxa"/>
              <w:start w:w="95" w:type="dxa"/>
              <w:bottom w:w="80" w:type="dxa"/>
              <w:end w:w="95" w:type="dxa"/>
            </w:tcMar>
          </w:tcPr>
          <w:p>
            <w:pPr>
              <w:spacing w:after="0"/>
            </w:pPr>
            <w:r>
              <w:rPr>
                <w:sz w:val="16"/>
              </w:rPr>
              <w:t>Rainfall, temperature, drought and seasonal outlooks.</w:t>
            </w:r>
          </w:p>
        </w:tc>
      </w:tr>
      <w:tr>
        <w:tc>
          <w:tcPr>
            <w:tcW w:type="dxa" w:w="2592"/>
            <w:vAlign w:val="center"/>
            <w:tcMar>
              <w:top w:w="80" w:type="dxa"/>
              <w:start w:w="95" w:type="dxa"/>
              <w:bottom w:w="80" w:type="dxa"/>
              <w:end w:w="95" w:type="dxa"/>
            </w:tcMar>
            <w:shd w:fill="F3F6F8"/>
          </w:tcPr>
          <w:p>
            <w:pPr>
              <w:spacing w:after="0"/>
            </w:pPr>
            <w:r>
              <w:rPr>
                <w:b/>
                <w:color w:val="0B6B69"/>
                <w:sz w:val="16"/>
              </w:rPr>
              <w:t>Land and mapping authorities</w:t>
            </w:r>
          </w:p>
        </w:tc>
        <w:tc>
          <w:tcPr>
            <w:tcW w:type="dxa" w:w="6912"/>
            <w:vAlign w:val="center"/>
            <w:tcMar>
              <w:top w:w="80" w:type="dxa"/>
              <w:start w:w="95" w:type="dxa"/>
              <w:bottom w:w="80" w:type="dxa"/>
              <w:end w:w="95" w:type="dxa"/>
            </w:tcMar>
            <w:shd w:fill="F3F6F8"/>
          </w:tcPr>
          <w:p>
            <w:pPr>
              <w:spacing w:after="0"/>
            </w:pPr>
            <w:r>
              <w:rPr>
                <w:sz w:val="16"/>
              </w:rPr>
              <w:t>Cadastre, land use, boundaries, imagery and geographic identifiers.</w:t>
            </w:r>
          </w:p>
        </w:tc>
      </w:tr>
      <w:tr>
        <w:tc>
          <w:tcPr>
            <w:tcW w:type="dxa" w:w="2592"/>
            <w:vAlign w:val="center"/>
            <w:tcMar>
              <w:top w:w="80" w:type="dxa"/>
              <w:start w:w="95" w:type="dxa"/>
              <w:bottom w:w="80" w:type="dxa"/>
              <w:end w:w="95" w:type="dxa"/>
            </w:tcMar>
          </w:tcPr>
          <w:p>
            <w:pPr>
              <w:spacing w:after="0"/>
            </w:pPr>
            <w:r>
              <w:rPr>
                <w:b/>
                <w:color w:val="0B6B69"/>
                <w:sz w:val="16"/>
              </w:rPr>
              <w:t>Customs and market systems</w:t>
            </w:r>
          </w:p>
        </w:tc>
        <w:tc>
          <w:tcPr>
            <w:tcW w:type="dxa" w:w="6912"/>
            <w:vAlign w:val="center"/>
            <w:tcMar>
              <w:top w:w="80" w:type="dxa"/>
              <w:start w:w="95" w:type="dxa"/>
              <w:bottom w:w="80" w:type="dxa"/>
              <w:end w:w="95" w:type="dxa"/>
            </w:tcMar>
          </w:tcPr>
          <w:p>
            <w:pPr>
              <w:spacing w:after="0"/>
            </w:pPr>
            <w:r>
              <w:rPr>
                <w:sz w:val="16"/>
              </w:rPr>
              <w:t>Imports, exports, wholesale and retail prices, market arrivals and commodity flows.</w:t>
            </w:r>
          </w:p>
        </w:tc>
      </w:tr>
      <w:tr>
        <w:tc>
          <w:tcPr>
            <w:tcW w:type="dxa" w:w="2592"/>
            <w:vAlign w:val="center"/>
            <w:tcMar>
              <w:top w:w="80" w:type="dxa"/>
              <w:start w:w="95" w:type="dxa"/>
              <w:bottom w:w="80" w:type="dxa"/>
              <w:end w:w="95" w:type="dxa"/>
            </w:tcMar>
            <w:shd w:fill="F3F6F8"/>
          </w:tcPr>
          <w:p>
            <w:pPr>
              <w:spacing w:after="0"/>
            </w:pPr>
            <w:r>
              <w:rPr>
                <w:b/>
                <w:color w:val="0B6B69"/>
                <w:sz w:val="16"/>
              </w:rPr>
              <w:t>Health and nutrition systems</w:t>
            </w:r>
          </w:p>
        </w:tc>
        <w:tc>
          <w:tcPr>
            <w:tcW w:type="dxa" w:w="6912"/>
            <w:vAlign w:val="center"/>
            <w:tcMar>
              <w:top w:w="80" w:type="dxa"/>
              <w:start w:w="95" w:type="dxa"/>
              <w:bottom w:w="80" w:type="dxa"/>
              <w:end w:w="95" w:type="dxa"/>
            </w:tcMar>
            <w:shd w:fill="F3F6F8"/>
          </w:tcPr>
          <w:p>
            <w:pPr>
              <w:spacing w:after="0"/>
            </w:pPr>
            <w:r>
              <w:rPr>
                <w:sz w:val="16"/>
              </w:rPr>
              <w:t>Nutrition outcomes, food composition, disease and service access.</w:t>
            </w:r>
          </w:p>
        </w:tc>
      </w:tr>
      <w:tr>
        <w:tc>
          <w:tcPr>
            <w:tcW w:type="dxa" w:w="2592"/>
            <w:vAlign w:val="center"/>
            <w:tcMar>
              <w:top w:w="80" w:type="dxa"/>
              <w:start w:w="95" w:type="dxa"/>
              <w:bottom w:w="80" w:type="dxa"/>
              <w:end w:w="95" w:type="dxa"/>
            </w:tcMar>
          </w:tcPr>
          <w:p>
            <w:pPr>
              <w:spacing w:after="0"/>
            </w:pPr>
            <w:r>
              <w:rPr>
                <w:b/>
                <w:color w:val="0B6B69"/>
                <w:sz w:val="16"/>
              </w:rPr>
              <w:t>Private sector and farmer organizations</w:t>
            </w:r>
          </w:p>
        </w:tc>
        <w:tc>
          <w:tcPr>
            <w:tcW w:type="dxa" w:w="6912"/>
            <w:vAlign w:val="center"/>
            <w:tcMar>
              <w:top w:w="80" w:type="dxa"/>
              <w:start w:w="95" w:type="dxa"/>
              <w:bottom w:w="80" w:type="dxa"/>
              <w:end w:w="95" w:type="dxa"/>
            </w:tcMar>
          </w:tcPr>
          <w:p>
            <w:pPr>
              <w:spacing w:after="0"/>
            </w:pPr>
            <w:r>
              <w:rPr>
                <w:sz w:val="16"/>
              </w:rPr>
              <w:t>Transactions, logistics, seed and input data, procurement and local knowledge.</w:t>
            </w:r>
          </w:p>
        </w:tc>
      </w:tr>
    </w:tbl>
    <w:p>
      <w:pPr>
        <w:spacing w:after="0"/>
      </w:pPr>
    </w:p>
    <w:p>
      <w:pPr>
        <w:pStyle w:val="Heading2"/>
      </w:pPr>
      <w:r>
        <w:t>8. What integration means</w:t>
      </w:r>
    </w:p>
    <w:p>
      <w:r>
        <w:t>Integration does not mean placing every dataset into one database. It means enabling responsible connection through common definitions, identifiers, classifications, metadata, access rules, quality information and traceable transformations.</w:t>
      </w:r>
    </w:p>
    <w:p>
      <w:pPr>
        <w:pStyle w:val="ListBullet"/>
        <w:spacing w:after="50"/>
      </w:pPr>
      <w:r>
        <w:rPr>
          <w:b/>
        </w:rPr>
        <w:t xml:space="preserve">Conceptual interoperability: </w:t>
      </w:r>
      <w:r>
        <w:t>aligned definitions, units, classifications and reference periods.</w:t>
      </w:r>
    </w:p>
    <w:p>
      <w:pPr>
        <w:pStyle w:val="ListBullet"/>
        <w:spacing w:after="50"/>
      </w:pPr>
      <w:r>
        <w:rPr>
          <w:b/>
        </w:rPr>
        <w:t xml:space="preserve">Technical interoperability: </w:t>
      </w:r>
      <w:r>
        <w:t>exchange formats, APIs, identifiers and secure infrastructure.</w:t>
      </w:r>
    </w:p>
    <w:p>
      <w:pPr>
        <w:pStyle w:val="ListBullet"/>
        <w:spacing w:after="50"/>
      </w:pPr>
      <w:r>
        <w:rPr>
          <w:b/>
        </w:rPr>
        <w:t xml:space="preserve">Organizational interoperability: </w:t>
      </w:r>
      <w:r>
        <w:t>clear mandates, agreements, responsibilities and escalation paths.</w:t>
      </w:r>
    </w:p>
    <w:p>
      <w:pPr>
        <w:pStyle w:val="ListBullet"/>
        <w:spacing w:after="50"/>
      </w:pPr>
      <w:r>
        <w:rPr>
          <w:b/>
        </w:rPr>
        <w:t xml:space="preserve">Legal interoperability: </w:t>
      </w:r>
      <w:r>
        <w:t>lawful access, purpose limitation, confidentiality and data-sharing authority.</w:t>
      </w:r>
    </w:p>
    <w:p>
      <w:pPr>
        <w:pStyle w:val="ListBullet"/>
        <w:spacing w:after="50"/>
      </w:pPr>
      <w:r>
        <w:rPr>
          <w:b/>
        </w:rPr>
        <w:t xml:space="preserve">Statistical interoperability: </w:t>
      </w:r>
      <w:r>
        <w:t>known coverage, error structures, estimation implications and comparability.</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pStyle w:val="Callout"/>
              <w:ind w:left="0" w:right="0"/>
            </w:pPr>
            <w:r>
              <w:t>Technical matching cannot repair unresolved conceptual differences. AI may discover candidate links, but statisticians must establish their meaning.</w:t>
            </w:r>
          </w:p>
        </w:tc>
      </w:tr>
    </w:tbl>
    <w:p>
      <w:pPr>
        <w:spacing w:after="0"/>
      </w:pPr>
    </w:p>
    <w:p>
      <w:r>
        <w:br w:type="page"/>
      </w:r>
    </w:p>
    <w:p>
      <w:pPr>
        <w:pStyle w:val="Heading1"/>
      </w:pPr>
      <w:r>
        <w:t>Part III. Data sources, evidence status and integration</w:t>
      </w:r>
    </w:p>
    <w:p>
      <w:pPr>
        <w:pStyle w:val="Heading2"/>
      </w:pPr>
      <w:r>
        <w:t>9. Principal source families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5"/>
              </w:rPr>
              <w:t>Source family</w:t>
            </w:r>
          </w:p>
        </w:tc>
        <w:tc>
          <w:tcPr>
            <w:tcW w:type="dxa" w:w="3331"/>
            <w:shd w:fill="17324D"/>
            <w:tcMar>
              <w:top w:w="90" w:type="dxa"/>
              <w:start w:w="100" w:type="dxa"/>
              <w:bottom w:w="90" w:type="dxa"/>
              <w:end w:w="100" w:type="dxa"/>
            </w:tcMar>
          </w:tcPr>
          <w:p>
            <w:pPr>
              <w:spacing w:after="0"/>
            </w:pPr>
            <w:r>
              <w:rPr>
                <w:b/>
                <w:color w:val="FFFFFF"/>
                <w:sz w:val="15"/>
              </w:rPr>
              <w:t>Examples</w:t>
            </w:r>
          </w:p>
        </w:tc>
        <w:tc>
          <w:tcPr>
            <w:tcW w:type="dxa" w:w="3331"/>
            <w:shd w:fill="17324D"/>
            <w:tcMar>
              <w:top w:w="90" w:type="dxa"/>
              <w:start w:w="100" w:type="dxa"/>
              <w:bottom w:w="90" w:type="dxa"/>
              <w:end w:w="100" w:type="dxa"/>
            </w:tcMar>
          </w:tcPr>
          <w:p>
            <w:pPr>
              <w:spacing w:after="0"/>
            </w:pPr>
            <w:r>
              <w:rPr>
                <w:b/>
                <w:color w:val="FFFFFF"/>
                <w:sz w:val="15"/>
              </w:rPr>
              <w:t>Principal quality concerns</w:t>
            </w:r>
          </w:p>
        </w:tc>
      </w:tr>
      <w:tr>
        <w:tc>
          <w:tcPr>
            <w:tcW w:type="dxa" w:w="1800"/>
            <w:vAlign w:val="center"/>
            <w:tcMar>
              <w:top w:w="80" w:type="dxa"/>
              <w:start w:w="95" w:type="dxa"/>
              <w:bottom w:w="80" w:type="dxa"/>
              <w:end w:w="95" w:type="dxa"/>
            </w:tcMar>
            <w:shd w:fill="F3F6F8"/>
          </w:tcPr>
          <w:p>
            <w:pPr>
              <w:spacing w:after="0"/>
            </w:pPr>
            <w:r>
              <w:rPr>
                <w:b/>
                <w:color w:val="0B6B69"/>
                <w:sz w:val="15"/>
              </w:rPr>
              <w:t>Surveys and censuses</w:t>
            </w:r>
          </w:p>
        </w:tc>
        <w:tc>
          <w:tcPr>
            <w:tcW w:type="dxa" w:w="3816"/>
            <w:vAlign w:val="center"/>
            <w:tcMar>
              <w:top w:w="80" w:type="dxa"/>
              <w:start w:w="95" w:type="dxa"/>
              <w:bottom w:w="80" w:type="dxa"/>
              <w:end w:w="95" w:type="dxa"/>
            </w:tcMar>
            <w:shd w:fill="F3F6F8"/>
          </w:tcPr>
          <w:p>
            <w:pPr>
              <w:spacing w:after="0"/>
            </w:pPr>
            <w:r>
              <w:rPr>
                <w:sz w:val="15"/>
              </w:rPr>
              <w:t>Household, establishment, agricultural and population collections.</w:t>
            </w:r>
          </w:p>
        </w:tc>
        <w:tc>
          <w:tcPr>
            <w:tcW w:type="dxa" w:w="3888"/>
            <w:vAlign w:val="center"/>
            <w:tcMar>
              <w:top w:w="80" w:type="dxa"/>
              <w:start w:w="95" w:type="dxa"/>
              <w:bottom w:w="80" w:type="dxa"/>
              <w:end w:w="95" w:type="dxa"/>
            </w:tcMar>
            <w:shd w:fill="F3F6F8"/>
          </w:tcPr>
          <w:p>
            <w:pPr>
              <w:spacing w:after="0"/>
            </w:pPr>
            <w:r>
              <w:rPr>
                <w:sz w:val="15"/>
              </w:rPr>
              <w:t>Coverage, sampling, nonresponse, measurement and processing error.</w:t>
            </w:r>
          </w:p>
        </w:tc>
      </w:tr>
      <w:tr>
        <w:tc>
          <w:tcPr>
            <w:tcW w:type="dxa" w:w="1800"/>
            <w:vAlign w:val="center"/>
            <w:tcMar>
              <w:top w:w="80" w:type="dxa"/>
              <w:start w:w="95" w:type="dxa"/>
              <w:bottom w:w="80" w:type="dxa"/>
              <w:end w:w="95" w:type="dxa"/>
            </w:tcMar>
          </w:tcPr>
          <w:p>
            <w:pPr>
              <w:spacing w:after="0"/>
            </w:pPr>
            <w:r>
              <w:rPr>
                <w:b/>
                <w:color w:val="0B6B69"/>
                <w:sz w:val="15"/>
              </w:rPr>
              <w:t>Administrative records</w:t>
            </w:r>
          </w:p>
        </w:tc>
        <w:tc>
          <w:tcPr>
            <w:tcW w:type="dxa" w:w="3816"/>
            <w:vAlign w:val="center"/>
            <w:tcMar>
              <w:top w:w="80" w:type="dxa"/>
              <w:start w:w="95" w:type="dxa"/>
              <w:bottom w:w="80" w:type="dxa"/>
              <w:end w:w="95" w:type="dxa"/>
            </w:tcMar>
          </w:tcPr>
          <w:p>
            <w:pPr>
              <w:spacing w:after="0"/>
            </w:pPr>
            <w:r>
              <w:rPr>
                <w:sz w:val="15"/>
              </w:rPr>
              <w:t>Tax, customs, health, education, land, licensing and programme records.</w:t>
            </w:r>
          </w:p>
        </w:tc>
        <w:tc>
          <w:tcPr>
            <w:tcW w:type="dxa" w:w="3888"/>
            <w:vAlign w:val="center"/>
            <w:tcMar>
              <w:top w:w="80" w:type="dxa"/>
              <w:start w:w="95" w:type="dxa"/>
              <w:bottom w:w="80" w:type="dxa"/>
              <w:end w:w="95" w:type="dxa"/>
            </w:tcMar>
          </w:tcPr>
          <w:p>
            <w:pPr>
              <w:spacing w:after="0"/>
            </w:pPr>
            <w:r>
              <w:rPr>
                <w:sz w:val="15"/>
              </w:rPr>
              <w:t>Concept mismatch, policy-driven breaks, coverage and access.</w:t>
            </w:r>
          </w:p>
        </w:tc>
      </w:tr>
      <w:tr>
        <w:tc>
          <w:tcPr>
            <w:tcW w:type="dxa" w:w="1800"/>
            <w:vAlign w:val="center"/>
            <w:tcMar>
              <w:top w:w="80" w:type="dxa"/>
              <w:start w:w="95" w:type="dxa"/>
              <w:bottom w:w="80" w:type="dxa"/>
              <w:end w:w="95" w:type="dxa"/>
            </w:tcMar>
            <w:shd w:fill="F3F6F8"/>
          </w:tcPr>
          <w:p>
            <w:pPr>
              <w:spacing w:after="0"/>
            </w:pPr>
            <w:r>
              <w:rPr>
                <w:b/>
                <w:color w:val="0B6B69"/>
                <w:sz w:val="15"/>
              </w:rPr>
              <w:t>Research information</w:t>
            </w:r>
          </w:p>
        </w:tc>
        <w:tc>
          <w:tcPr>
            <w:tcW w:type="dxa" w:w="3816"/>
            <w:vAlign w:val="center"/>
            <w:tcMar>
              <w:top w:w="80" w:type="dxa"/>
              <w:start w:w="95" w:type="dxa"/>
              <w:bottom w:w="80" w:type="dxa"/>
              <w:end w:w="95" w:type="dxa"/>
            </w:tcMar>
            <w:shd w:fill="F3F6F8"/>
          </w:tcPr>
          <w:p>
            <w:pPr>
              <w:spacing w:after="0"/>
            </w:pPr>
            <w:r>
              <w:rPr>
                <w:sz w:val="15"/>
              </w:rPr>
              <w:t>Station trials, laboratories, universities, experimental farms and participatory trials.</w:t>
            </w:r>
          </w:p>
        </w:tc>
        <w:tc>
          <w:tcPr>
            <w:tcW w:type="dxa" w:w="3888"/>
            <w:vAlign w:val="center"/>
            <w:tcMar>
              <w:top w:w="80" w:type="dxa"/>
              <w:start w:w="95" w:type="dxa"/>
              <w:bottom w:w="80" w:type="dxa"/>
              <w:end w:w="95" w:type="dxa"/>
            </w:tcMar>
            <w:shd w:fill="F3F6F8"/>
          </w:tcPr>
          <w:p>
            <w:pPr>
              <w:spacing w:after="0"/>
            </w:pPr>
            <w:r>
              <w:rPr>
                <w:sz w:val="15"/>
              </w:rPr>
              <w:t>Design, reproducibility, external validity and representativeness.</w:t>
            </w:r>
          </w:p>
        </w:tc>
      </w:tr>
      <w:tr>
        <w:tc>
          <w:tcPr>
            <w:tcW w:type="dxa" w:w="1800"/>
            <w:vAlign w:val="center"/>
            <w:tcMar>
              <w:top w:w="80" w:type="dxa"/>
              <w:start w:w="95" w:type="dxa"/>
              <w:bottom w:w="80" w:type="dxa"/>
              <w:end w:w="95" w:type="dxa"/>
            </w:tcMar>
          </w:tcPr>
          <w:p>
            <w:pPr>
              <w:spacing w:after="0"/>
            </w:pPr>
            <w:r>
              <w:rPr>
                <w:b/>
                <w:color w:val="0B6B69"/>
                <w:sz w:val="15"/>
              </w:rPr>
              <w:t>Geospatial and Earth observation</w:t>
            </w:r>
          </w:p>
        </w:tc>
        <w:tc>
          <w:tcPr>
            <w:tcW w:type="dxa" w:w="3816"/>
            <w:vAlign w:val="center"/>
            <w:tcMar>
              <w:top w:w="80" w:type="dxa"/>
              <w:start w:w="95" w:type="dxa"/>
              <w:bottom w:w="80" w:type="dxa"/>
              <w:end w:w="95" w:type="dxa"/>
            </w:tcMar>
          </w:tcPr>
          <w:p>
            <w:pPr>
              <w:spacing w:after="0"/>
            </w:pPr>
            <w:r>
              <w:rPr>
                <w:sz w:val="15"/>
              </w:rPr>
              <w:t>Satellite, aerial, drone, GPS, maps and land-cover data.</w:t>
            </w:r>
          </w:p>
        </w:tc>
        <w:tc>
          <w:tcPr>
            <w:tcW w:type="dxa" w:w="3888"/>
            <w:vAlign w:val="center"/>
            <w:tcMar>
              <w:top w:w="80" w:type="dxa"/>
              <w:start w:w="95" w:type="dxa"/>
              <w:bottom w:w="80" w:type="dxa"/>
              <w:end w:w="95" w:type="dxa"/>
            </w:tcMar>
          </w:tcPr>
          <w:p>
            <w:pPr>
              <w:spacing w:after="0"/>
            </w:pPr>
            <w:r>
              <w:rPr>
                <w:sz w:val="15"/>
              </w:rPr>
              <w:t>Resolution, classification error, cloud cover, ground truth and change over time.</w:t>
            </w:r>
          </w:p>
        </w:tc>
      </w:tr>
      <w:tr>
        <w:tc>
          <w:tcPr>
            <w:tcW w:type="dxa" w:w="1800"/>
            <w:vAlign w:val="center"/>
            <w:tcMar>
              <w:top w:w="80" w:type="dxa"/>
              <w:start w:w="95" w:type="dxa"/>
              <w:bottom w:w="80" w:type="dxa"/>
              <w:end w:w="95" w:type="dxa"/>
            </w:tcMar>
            <w:shd w:fill="F3F6F8"/>
          </w:tcPr>
          <w:p>
            <w:pPr>
              <w:spacing w:after="0"/>
            </w:pPr>
            <w:r>
              <w:rPr>
                <w:b/>
                <w:color w:val="0B6B69"/>
                <w:sz w:val="15"/>
              </w:rPr>
              <w:t>Sensors and machine data</w:t>
            </w:r>
          </w:p>
        </w:tc>
        <w:tc>
          <w:tcPr>
            <w:tcW w:type="dxa" w:w="3816"/>
            <w:vAlign w:val="center"/>
            <w:tcMar>
              <w:top w:w="80" w:type="dxa"/>
              <w:start w:w="95" w:type="dxa"/>
              <w:bottom w:w="80" w:type="dxa"/>
              <w:end w:w="95" w:type="dxa"/>
            </w:tcMar>
            <w:shd w:fill="F3F6F8"/>
          </w:tcPr>
          <w:p>
            <w:pPr>
              <w:spacing w:after="0"/>
            </w:pPr>
            <w:r>
              <w:rPr>
                <w:sz w:val="15"/>
              </w:rPr>
              <w:t>Weather stations, smart meters, traffic counters and agricultural sensors.</w:t>
            </w:r>
          </w:p>
        </w:tc>
        <w:tc>
          <w:tcPr>
            <w:tcW w:type="dxa" w:w="3888"/>
            <w:vAlign w:val="center"/>
            <w:tcMar>
              <w:top w:w="80" w:type="dxa"/>
              <w:start w:w="95" w:type="dxa"/>
              <w:bottom w:w="80" w:type="dxa"/>
              <w:end w:w="95" w:type="dxa"/>
            </w:tcMar>
            <w:shd w:fill="F3F6F8"/>
          </w:tcPr>
          <w:p>
            <w:pPr>
              <w:spacing w:after="0"/>
            </w:pPr>
            <w:r>
              <w:rPr>
                <w:sz w:val="15"/>
              </w:rPr>
              <w:t>Calibration, drift, missingness, ownership and infrastructure.</w:t>
            </w:r>
          </w:p>
        </w:tc>
      </w:tr>
      <w:tr>
        <w:tc>
          <w:tcPr>
            <w:tcW w:type="dxa" w:w="1800"/>
            <w:vAlign w:val="center"/>
            <w:tcMar>
              <w:top w:w="80" w:type="dxa"/>
              <w:start w:w="95" w:type="dxa"/>
              <w:bottom w:w="80" w:type="dxa"/>
              <w:end w:w="95" w:type="dxa"/>
            </w:tcMar>
          </w:tcPr>
          <w:p>
            <w:pPr>
              <w:spacing w:after="0"/>
            </w:pPr>
            <w:r>
              <w:rPr>
                <w:b/>
                <w:color w:val="0B6B69"/>
                <w:sz w:val="15"/>
              </w:rPr>
              <w:t>Commercial and private data</w:t>
            </w:r>
          </w:p>
        </w:tc>
        <w:tc>
          <w:tcPr>
            <w:tcW w:type="dxa" w:w="3816"/>
            <w:vAlign w:val="center"/>
            <w:tcMar>
              <w:top w:w="80" w:type="dxa"/>
              <w:start w:w="95" w:type="dxa"/>
              <w:bottom w:w="80" w:type="dxa"/>
              <w:end w:w="95" w:type="dxa"/>
            </w:tcMar>
          </w:tcPr>
          <w:p>
            <w:pPr>
              <w:spacing w:after="0"/>
            </w:pPr>
            <w:r>
              <w:rPr>
                <w:sz w:val="15"/>
              </w:rPr>
              <w:t>Scanner, transaction, telecom, logistics and platform data.</w:t>
            </w:r>
          </w:p>
        </w:tc>
        <w:tc>
          <w:tcPr>
            <w:tcW w:type="dxa" w:w="3888"/>
            <w:vAlign w:val="center"/>
            <w:tcMar>
              <w:top w:w="80" w:type="dxa"/>
              <w:start w:w="95" w:type="dxa"/>
              <w:bottom w:w="80" w:type="dxa"/>
              <w:end w:w="95" w:type="dxa"/>
            </w:tcMar>
          </w:tcPr>
          <w:p>
            <w:pPr>
              <w:spacing w:after="0"/>
            </w:pPr>
            <w:r>
              <w:rPr>
                <w:sz w:val="15"/>
              </w:rPr>
              <w:t>Selection, continuity, commercial dependence, access and transparency.</w:t>
            </w:r>
          </w:p>
        </w:tc>
      </w:tr>
      <w:tr>
        <w:tc>
          <w:tcPr>
            <w:tcW w:type="dxa" w:w="1800"/>
            <w:vAlign w:val="center"/>
            <w:tcMar>
              <w:top w:w="80" w:type="dxa"/>
              <w:start w:w="95" w:type="dxa"/>
              <w:bottom w:w="80" w:type="dxa"/>
              <w:end w:w="95" w:type="dxa"/>
            </w:tcMar>
            <w:shd w:fill="F3F6F8"/>
          </w:tcPr>
          <w:p>
            <w:pPr>
              <w:spacing w:after="0"/>
            </w:pPr>
            <w:r>
              <w:rPr>
                <w:b/>
                <w:color w:val="0B6B69"/>
                <w:sz w:val="15"/>
              </w:rPr>
              <w:t>Web and documents</w:t>
            </w:r>
          </w:p>
        </w:tc>
        <w:tc>
          <w:tcPr>
            <w:tcW w:type="dxa" w:w="3816"/>
            <w:vAlign w:val="center"/>
            <w:tcMar>
              <w:top w:w="80" w:type="dxa"/>
              <w:start w:w="95" w:type="dxa"/>
              <w:bottom w:w="80" w:type="dxa"/>
              <w:end w:w="95" w:type="dxa"/>
            </w:tcMar>
            <w:shd w:fill="F3F6F8"/>
          </w:tcPr>
          <w:p>
            <w:pPr>
              <w:spacing w:after="0"/>
            </w:pPr>
            <w:r>
              <w:rPr>
                <w:sz w:val="15"/>
              </w:rPr>
              <w:t>Online prices, vacancies, permits, certificates, reports and forms.</w:t>
            </w:r>
          </w:p>
        </w:tc>
        <w:tc>
          <w:tcPr>
            <w:tcW w:type="dxa" w:w="3888"/>
            <w:vAlign w:val="center"/>
            <w:tcMar>
              <w:top w:w="80" w:type="dxa"/>
              <w:start w:w="95" w:type="dxa"/>
              <w:bottom w:w="80" w:type="dxa"/>
              <w:end w:w="95" w:type="dxa"/>
            </w:tcMar>
            <w:shd w:fill="F3F6F8"/>
          </w:tcPr>
          <w:p>
            <w:pPr>
              <w:spacing w:after="0"/>
            </w:pPr>
            <w:r>
              <w:rPr>
                <w:sz w:val="15"/>
              </w:rPr>
              <w:t>Volatility, legal conditions, extraction error and provenance.</w:t>
            </w:r>
          </w:p>
        </w:tc>
      </w:tr>
      <w:tr>
        <w:tc>
          <w:tcPr>
            <w:tcW w:type="dxa" w:w="1800"/>
            <w:vAlign w:val="center"/>
            <w:tcMar>
              <w:top w:w="80" w:type="dxa"/>
              <w:start w:w="95" w:type="dxa"/>
              <w:bottom w:w="80" w:type="dxa"/>
              <w:end w:w="95" w:type="dxa"/>
            </w:tcMar>
          </w:tcPr>
          <w:p>
            <w:pPr>
              <w:spacing w:after="0"/>
            </w:pPr>
            <w:r>
              <w:rPr>
                <w:b/>
                <w:color w:val="0B6B69"/>
                <w:sz w:val="15"/>
              </w:rPr>
              <w:t>Citizen/community data</w:t>
            </w:r>
          </w:p>
        </w:tc>
        <w:tc>
          <w:tcPr>
            <w:tcW w:type="dxa" w:w="3816"/>
            <w:vAlign w:val="center"/>
            <w:tcMar>
              <w:top w:w="80" w:type="dxa"/>
              <w:start w:w="95" w:type="dxa"/>
              <w:bottom w:w="80" w:type="dxa"/>
              <w:end w:w="95" w:type="dxa"/>
            </w:tcMar>
          </w:tcPr>
          <w:p>
            <w:pPr>
              <w:spacing w:after="0"/>
            </w:pPr>
            <w:r>
              <w:rPr>
                <w:sz w:val="15"/>
              </w:rPr>
              <w:t>Participatory mapping, community monitoring and crowdsourced observations.</w:t>
            </w:r>
          </w:p>
        </w:tc>
        <w:tc>
          <w:tcPr>
            <w:tcW w:type="dxa" w:w="3888"/>
            <w:vAlign w:val="center"/>
            <w:tcMar>
              <w:top w:w="80" w:type="dxa"/>
              <w:start w:w="95" w:type="dxa"/>
              <w:bottom w:w="80" w:type="dxa"/>
              <w:end w:w="95" w:type="dxa"/>
            </w:tcMar>
          </w:tcPr>
          <w:p>
            <w:pPr>
              <w:spacing w:after="0"/>
            </w:pPr>
            <w:r>
              <w:rPr>
                <w:sz w:val="15"/>
              </w:rPr>
              <w:t>Selection, validation, inclusion and informed participation.</w:t>
            </w:r>
          </w:p>
        </w:tc>
      </w:tr>
    </w:tbl>
    <w:p>
      <w:pPr>
        <w:spacing w:after="0"/>
      </w:pPr>
    </w:p>
    <w:p>
      <w:pPr>
        <w:pStyle w:val="Heading2"/>
      </w:pPr>
      <w:r>
        <w:t>10. Research information as a distinct evidence source</w:t>
      </w:r>
    </w:p>
    <w:p>
      <w:r>
        <w:t>Research-station data and official statistics have different purposes. Experimental research may estimate biological or technical potential under controlled conditions, whereas official statistics usually describe actual conditions in a defined population. AI must not collapse experimental yield, attainable yield, predicted yield and officially estimated actual yield into one concept.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7"/>
              </w:rPr>
              <w:t>Research evidence</w:t>
            </w:r>
          </w:p>
        </w:tc>
        <w:tc>
          <w:tcPr>
            <w:tcW w:type="dxa" w:w="4997"/>
            <w:shd w:fill="17324D"/>
            <w:tcMar>
              <w:top w:w="90" w:type="dxa"/>
              <w:start w:w="100" w:type="dxa"/>
              <w:bottom w:w="90" w:type="dxa"/>
              <w:end w:w="100" w:type="dxa"/>
            </w:tcMar>
          </w:tcPr>
          <w:p>
            <w:pPr>
              <w:spacing w:after="0"/>
            </w:pPr>
            <w:r>
              <w:rPr>
                <w:b/>
                <w:color w:val="FFFFFF"/>
                <w:sz w:val="17"/>
              </w:rPr>
              <w:t>Official statistical evidence</w:t>
            </w:r>
          </w:p>
        </w:tc>
      </w:tr>
      <w:tr>
        <w:tc>
          <w:tcPr>
            <w:tcW w:type="dxa" w:w="4680"/>
            <w:vAlign w:val="center"/>
            <w:tcMar>
              <w:top w:w="80" w:type="dxa"/>
              <w:start w:w="95" w:type="dxa"/>
              <w:bottom w:w="80" w:type="dxa"/>
              <w:end w:w="95" w:type="dxa"/>
            </w:tcMar>
            <w:shd w:fill="F3F6F8"/>
          </w:tcPr>
          <w:p>
            <w:pPr>
              <w:spacing w:after="0"/>
            </w:pPr>
            <w:r>
              <w:rPr>
                <w:b/>
                <w:color w:val="0B6B69"/>
                <w:sz w:val="17"/>
              </w:rPr>
              <w:t>Tests hypotheses or technologies.</w:t>
            </w:r>
          </w:p>
        </w:tc>
        <w:tc>
          <w:tcPr>
            <w:tcW w:type="dxa" w:w="4680"/>
            <w:vAlign w:val="center"/>
            <w:tcMar>
              <w:top w:w="80" w:type="dxa"/>
              <w:start w:w="95" w:type="dxa"/>
              <w:bottom w:w="80" w:type="dxa"/>
              <w:end w:w="95" w:type="dxa"/>
            </w:tcMar>
            <w:shd w:fill="F3F6F8"/>
          </w:tcPr>
          <w:p>
            <w:pPr>
              <w:spacing w:after="0"/>
            </w:pPr>
            <w:r>
              <w:rPr>
                <w:sz w:val="17"/>
              </w:rPr>
              <w:t>Describes a population or phenomenon.</w:t>
            </w:r>
          </w:p>
        </w:tc>
      </w:tr>
      <w:tr>
        <w:tc>
          <w:tcPr>
            <w:tcW w:type="dxa" w:w="4680"/>
            <w:vAlign w:val="center"/>
            <w:tcMar>
              <w:top w:w="80" w:type="dxa"/>
              <w:start w:w="95" w:type="dxa"/>
              <w:bottom w:w="80" w:type="dxa"/>
              <w:end w:w="95" w:type="dxa"/>
            </w:tcMar>
          </w:tcPr>
          <w:p>
            <w:pPr>
              <w:spacing w:after="0"/>
            </w:pPr>
            <w:r>
              <w:rPr>
                <w:b/>
                <w:color w:val="0B6B69"/>
                <w:sz w:val="17"/>
              </w:rPr>
              <w:t>Often uses controlled or selected sites.</w:t>
            </w:r>
          </w:p>
        </w:tc>
        <w:tc>
          <w:tcPr>
            <w:tcW w:type="dxa" w:w="4680"/>
            <w:vAlign w:val="center"/>
            <w:tcMar>
              <w:top w:w="80" w:type="dxa"/>
              <w:start w:w="95" w:type="dxa"/>
              <w:bottom w:w="80" w:type="dxa"/>
              <w:end w:w="95" w:type="dxa"/>
            </w:tcMar>
          </w:tcPr>
          <w:p>
            <w:pPr>
              <w:spacing w:after="0"/>
            </w:pPr>
            <w:r>
              <w:rPr>
                <w:sz w:val="17"/>
              </w:rPr>
              <w:t>Requires defined coverage and population inference.</w:t>
            </w:r>
          </w:p>
        </w:tc>
      </w:tr>
      <w:tr>
        <w:tc>
          <w:tcPr>
            <w:tcW w:type="dxa" w:w="4680"/>
            <w:vAlign w:val="center"/>
            <w:tcMar>
              <w:top w:w="80" w:type="dxa"/>
              <w:start w:w="95" w:type="dxa"/>
              <w:bottom w:w="80" w:type="dxa"/>
              <w:end w:w="95" w:type="dxa"/>
            </w:tcMar>
            <w:shd w:fill="F3F6F8"/>
          </w:tcPr>
          <w:p>
            <w:pPr>
              <w:spacing w:after="0"/>
            </w:pPr>
            <w:r>
              <w:rPr>
                <w:b/>
                <w:color w:val="0B6B69"/>
                <w:sz w:val="17"/>
              </w:rPr>
              <w:t>May prioritize internal validity.</w:t>
            </w:r>
          </w:p>
        </w:tc>
        <w:tc>
          <w:tcPr>
            <w:tcW w:type="dxa" w:w="4680"/>
            <w:vAlign w:val="center"/>
            <w:tcMar>
              <w:top w:w="80" w:type="dxa"/>
              <w:start w:w="95" w:type="dxa"/>
              <w:bottom w:w="80" w:type="dxa"/>
              <w:end w:w="95" w:type="dxa"/>
            </w:tcMar>
            <w:shd w:fill="F3F6F8"/>
          </w:tcPr>
          <w:p>
            <w:pPr>
              <w:spacing w:after="0"/>
            </w:pPr>
            <w:r>
              <w:rPr>
                <w:sz w:val="17"/>
              </w:rPr>
              <w:t>Must also address external validity and representativeness.</w:t>
            </w:r>
          </w:p>
        </w:tc>
      </w:tr>
      <w:tr>
        <w:tc>
          <w:tcPr>
            <w:tcW w:type="dxa" w:w="4680"/>
            <w:vAlign w:val="center"/>
            <w:tcMar>
              <w:top w:w="80" w:type="dxa"/>
              <w:start w:w="95" w:type="dxa"/>
              <w:bottom w:w="80" w:type="dxa"/>
              <w:end w:w="95" w:type="dxa"/>
            </w:tcMar>
          </w:tcPr>
          <w:p>
            <w:pPr>
              <w:spacing w:after="0"/>
            </w:pPr>
            <w:r>
              <w:rPr>
                <w:b/>
                <w:color w:val="0B6B69"/>
                <w:sz w:val="17"/>
              </w:rPr>
              <w:t>May use small experimental samples.</w:t>
            </w:r>
          </w:p>
        </w:tc>
        <w:tc>
          <w:tcPr>
            <w:tcW w:type="dxa" w:w="4680"/>
            <w:vAlign w:val="center"/>
            <w:tcMar>
              <w:top w:w="80" w:type="dxa"/>
              <w:start w:w="95" w:type="dxa"/>
              <w:bottom w:w="80" w:type="dxa"/>
              <w:end w:w="95" w:type="dxa"/>
            </w:tcMar>
          </w:tcPr>
          <w:p>
            <w:pPr>
              <w:spacing w:after="0"/>
            </w:pPr>
            <w:r>
              <w:rPr>
                <w:sz w:val="17"/>
              </w:rPr>
              <w:t>Uses censuses, probability samples or assessed alternative sources.</w:t>
            </w:r>
          </w:p>
        </w:tc>
      </w:tr>
      <w:tr>
        <w:tc>
          <w:tcPr>
            <w:tcW w:type="dxa" w:w="4680"/>
            <w:vAlign w:val="center"/>
            <w:tcMar>
              <w:top w:w="80" w:type="dxa"/>
              <w:start w:w="95" w:type="dxa"/>
              <w:bottom w:w="80" w:type="dxa"/>
              <w:end w:w="95" w:type="dxa"/>
            </w:tcMar>
            <w:shd w:fill="F3F6F8"/>
          </w:tcPr>
          <w:p>
            <w:pPr>
              <w:spacing w:after="0"/>
            </w:pPr>
            <w:r>
              <w:rPr>
                <w:b/>
                <w:color w:val="0B6B69"/>
                <w:sz w:val="17"/>
              </w:rPr>
              <w:t>Produces scientific findings.</w:t>
            </w:r>
          </w:p>
        </w:tc>
        <w:tc>
          <w:tcPr>
            <w:tcW w:type="dxa" w:w="4680"/>
            <w:vAlign w:val="center"/>
            <w:tcMar>
              <w:top w:w="80" w:type="dxa"/>
              <w:start w:w="95" w:type="dxa"/>
              <w:bottom w:w="80" w:type="dxa"/>
              <w:end w:w="95" w:type="dxa"/>
            </w:tcMar>
            <w:shd w:fill="F3F6F8"/>
          </w:tcPr>
          <w:p>
            <w:pPr>
              <w:spacing w:after="0"/>
            </w:pPr>
            <w:r>
              <w:rPr>
                <w:sz w:val="17"/>
              </w:rPr>
              <w:t>Produces outputs under an official mandate and release framework.</w:t>
            </w:r>
          </w:p>
        </w:tc>
      </w:tr>
    </w:tbl>
    <w:p>
      <w:pPr>
        <w:spacing w:after="0"/>
      </w:pPr>
    </w:p>
    <w:p>
      <w:r>
        <w:t>Research evidence can nevertheless strengthen questionnaire design, plausible-value rules, crop models, yield-gap analysis, remote-sensing calibration, forecasting and interpretation—provided its purpose, design and limits remain visible.</w:t>
      </w:r>
    </w:p>
    <w:p>
      <w:r>
        <w:br w:type="page"/>
      </w:r>
    </w:p>
    <w:p>
      <w:pPr>
        <w:pStyle w:val="Heading2"/>
      </w:pPr>
      <w:r>
        <w:t>11. Evidence-status classification</w:t>
      </w:r>
    </w:p>
    <w:p>
      <w:r>
        <w:t>Because AI can combine information seamlessly, every output should retain an explicit evidence status.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Status</w:t>
            </w:r>
          </w:p>
        </w:tc>
        <w:tc>
          <w:tcPr>
            <w:tcW w:type="dxa" w:w="4997"/>
            <w:shd w:fill="17324D"/>
            <w:tcMar>
              <w:top w:w="90" w:type="dxa"/>
              <w:start w:w="100" w:type="dxa"/>
              <w:bottom w:w="90" w:type="dxa"/>
              <w:end w:w="100" w:type="dxa"/>
            </w:tcMar>
          </w:tcPr>
          <w:p>
            <w:pPr>
              <w:spacing w:after="0"/>
            </w:pPr>
            <w:r>
              <w:rPr>
                <w:b/>
                <w:color w:val="FFFFFF"/>
                <w:sz w:val="16"/>
              </w:rPr>
              <w:t>Meaning</w:t>
            </w:r>
          </w:p>
        </w:tc>
      </w:tr>
      <w:tr>
        <w:tc>
          <w:tcPr>
            <w:tcW w:type="dxa" w:w="2664"/>
            <w:vAlign w:val="center"/>
            <w:tcMar>
              <w:top w:w="80" w:type="dxa"/>
              <w:start w:w="95" w:type="dxa"/>
              <w:bottom w:w="80" w:type="dxa"/>
              <w:end w:w="95" w:type="dxa"/>
            </w:tcMar>
            <w:shd w:fill="F3F6F8"/>
          </w:tcPr>
          <w:p>
            <w:pPr>
              <w:spacing w:after="0"/>
            </w:pPr>
            <w:r>
              <w:rPr>
                <w:b/>
                <w:color w:val="0B6B69"/>
                <w:sz w:val="16"/>
              </w:rPr>
              <w:t>Official statistic</w:t>
            </w:r>
          </w:p>
        </w:tc>
        <w:tc>
          <w:tcPr>
            <w:tcW w:type="dxa" w:w="6696"/>
            <w:vAlign w:val="center"/>
            <w:tcMar>
              <w:top w:w="80" w:type="dxa"/>
              <w:start w:w="95" w:type="dxa"/>
              <w:bottom w:w="80" w:type="dxa"/>
              <w:end w:w="95" w:type="dxa"/>
            </w:tcMar>
            <w:shd w:fill="F3F6F8"/>
          </w:tcPr>
          <w:p>
            <w:pPr>
              <w:spacing w:after="0"/>
            </w:pPr>
            <w:r>
              <w:rPr>
                <w:sz w:val="16"/>
              </w:rPr>
              <w:t>Produced and released under an official statistical mandate.</w:t>
            </w:r>
          </w:p>
        </w:tc>
      </w:tr>
      <w:tr>
        <w:tc>
          <w:tcPr>
            <w:tcW w:type="dxa" w:w="2664"/>
            <w:vAlign w:val="center"/>
            <w:tcMar>
              <w:top w:w="80" w:type="dxa"/>
              <w:start w:w="95" w:type="dxa"/>
              <w:bottom w:w="80" w:type="dxa"/>
              <w:end w:w="95" w:type="dxa"/>
            </w:tcMar>
          </w:tcPr>
          <w:p>
            <w:pPr>
              <w:spacing w:after="0"/>
            </w:pPr>
            <w:r>
              <w:rPr>
                <w:b/>
                <w:color w:val="0B6B69"/>
                <w:sz w:val="16"/>
              </w:rPr>
              <w:t>Experimental statistic</w:t>
            </w:r>
          </w:p>
        </w:tc>
        <w:tc>
          <w:tcPr>
            <w:tcW w:type="dxa" w:w="6696"/>
            <w:vAlign w:val="center"/>
            <w:tcMar>
              <w:top w:w="80" w:type="dxa"/>
              <w:start w:w="95" w:type="dxa"/>
              <w:bottom w:w="80" w:type="dxa"/>
              <w:end w:w="95" w:type="dxa"/>
            </w:tcMar>
          </w:tcPr>
          <w:p>
            <w:pPr>
              <w:spacing w:after="0"/>
            </w:pPr>
            <w:r>
              <w:rPr>
                <w:sz w:val="16"/>
              </w:rPr>
              <w:t>Produced through a new source or method and still under evaluation.</w:t>
            </w:r>
          </w:p>
        </w:tc>
      </w:tr>
      <w:tr>
        <w:tc>
          <w:tcPr>
            <w:tcW w:type="dxa" w:w="2664"/>
            <w:vAlign w:val="center"/>
            <w:tcMar>
              <w:top w:w="80" w:type="dxa"/>
              <w:start w:w="95" w:type="dxa"/>
              <w:bottom w:w="80" w:type="dxa"/>
              <w:end w:w="95" w:type="dxa"/>
            </w:tcMar>
            <w:shd w:fill="F3F6F8"/>
          </w:tcPr>
          <w:p>
            <w:pPr>
              <w:spacing w:after="0"/>
            </w:pPr>
            <w:r>
              <w:rPr>
                <w:b/>
                <w:color w:val="0B6B69"/>
                <w:sz w:val="16"/>
              </w:rPr>
              <w:t>Administrative indicator</w:t>
            </w:r>
          </w:p>
        </w:tc>
        <w:tc>
          <w:tcPr>
            <w:tcW w:type="dxa" w:w="6696"/>
            <w:vAlign w:val="center"/>
            <w:tcMar>
              <w:top w:w="80" w:type="dxa"/>
              <w:start w:w="95" w:type="dxa"/>
              <w:bottom w:w="80" w:type="dxa"/>
              <w:end w:w="95" w:type="dxa"/>
            </w:tcMar>
            <w:shd w:fill="F3F6F8"/>
          </w:tcPr>
          <w:p>
            <w:pPr>
              <w:spacing w:after="0"/>
            </w:pPr>
            <w:r>
              <w:rPr>
                <w:sz w:val="16"/>
              </w:rPr>
              <w:t>Derived from operational records and potentially limited by programme coverage.</w:t>
            </w:r>
          </w:p>
        </w:tc>
      </w:tr>
      <w:tr>
        <w:tc>
          <w:tcPr>
            <w:tcW w:type="dxa" w:w="2664"/>
            <w:vAlign w:val="center"/>
            <w:tcMar>
              <w:top w:w="80" w:type="dxa"/>
              <w:start w:w="95" w:type="dxa"/>
              <w:bottom w:w="80" w:type="dxa"/>
              <w:end w:w="95" w:type="dxa"/>
            </w:tcMar>
          </w:tcPr>
          <w:p>
            <w:pPr>
              <w:spacing w:after="0"/>
            </w:pPr>
            <w:r>
              <w:rPr>
                <w:b/>
                <w:color w:val="0B6B69"/>
                <w:sz w:val="16"/>
              </w:rPr>
              <w:t>Research finding</w:t>
            </w:r>
          </w:p>
        </w:tc>
        <w:tc>
          <w:tcPr>
            <w:tcW w:type="dxa" w:w="6696"/>
            <w:vAlign w:val="center"/>
            <w:tcMar>
              <w:top w:w="80" w:type="dxa"/>
              <w:start w:w="95" w:type="dxa"/>
              <w:bottom w:w="80" w:type="dxa"/>
              <w:end w:w="95" w:type="dxa"/>
            </w:tcMar>
          </w:tcPr>
          <w:p>
            <w:pPr>
              <w:spacing w:after="0"/>
            </w:pPr>
            <w:r>
              <w:rPr>
                <w:sz w:val="16"/>
              </w:rPr>
              <w:t>Result of a scientific or experimental investigation.</w:t>
            </w:r>
          </w:p>
        </w:tc>
      </w:tr>
      <w:tr>
        <w:tc>
          <w:tcPr>
            <w:tcW w:type="dxa" w:w="2664"/>
            <w:vAlign w:val="center"/>
            <w:tcMar>
              <w:top w:w="80" w:type="dxa"/>
              <w:start w:w="95" w:type="dxa"/>
              <w:bottom w:w="80" w:type="dxa"/>
              <w:end w:w="95" w:type="dxa"/>
            </w:tcMar>
            <w:shd w:fill="F3F6F8"/>
          </w:tcPr>
          <w:p>
            <w:pPr>
              <w:spacing w:after="0"/>
            </w:pPr>
            <w:r>
              <w:rPr>
                <w:b/>
                <w:color w:val="0B6B69"/>
                <w:sz w:val="16"/>
              </w:rPr>
              <w:t>Modelled estimate</w:t>
            </w:r>
          </w:p>
        </w:tc>
        <w:tc>
          <w:tcPr>
            <w:tcW w:type="dxa" w:w="6696"/>
            <w:vAlign w:val="center"/>
            <w:tcMar>
              <w:top w:w="80" w:type="dxa"/>
              <w:start w:w="95" w:type="dxa"/>
              <w:bottom w:w="80" w:type="dxa"/>
              <w:end w:w="95" w:type="dxa"/>
            </w:tcMar>
            <w:shd w:fill="F3F6F8"/>
          </w:tcPr>
          <w:p>
            <w:pPr>
              <w:spacing w:after="0"/>
            </w:pPr>
            <w:r>
              <w:rPr>
                <w:sz w:val="16"/>
              </w:rPr>
              <w:t>Generated through an explicit statistical or computational model.</w:t>
            </w:r>
          </w:p>
        </w:tc>
      </w:tr>
      <w:tr>
        <w:tc>
          <w:tcPr>
            <w:tcW w:type="dxa" w:w="2664"/>
            <w:vAlign w:val="center"/>
            <w:tcMar>
              <w:top w:w="80" w:type="dxa"/>
              <w:start w:w="95" w:type="dxa"/>
              <w:bottom w:w="80" w:type="dxa"/>
              <w:end w:w="95" w:type="dxa"/>
            </w:tcMar>
          </w:tcPr>
          <w:p>
            <w:pPr>
              <w:spacing w:after="0"/>
            </w:pPr>
            <w:r>
              <w:rPr>
                <w:b/>
                <w:color w:val="0B6B69"/>
                <w:sz w:val="16"/>
              </w:rPr>
              <w:t>Forecast</w:t>
            </w:r>
          </w:p>
        </w:tc>
        <w:tc>
          <w:tcPr>
            <w:tcW w:type="dxa" w:w="6696"/>
            <w:vAlign w:val="center"/>
            <w:tcMar>
              <w:top w:w="80" w:type="dxa"/>
              <w:start w:w="95" w:type="dxa"/>
              <w:bottom w:w="80" w:type="dxa"/>
              <w:end w:w="95" w:type="dxa"/>
            </w:tcMar>
          </w:tcPr>
          <w:p>
            <w:pPr>
              <w:spacing w:after="0"/>
            </w:pPr>
            <w:r>
              <w:rPr>
                <w:sz w:val="16"/>
              </w:rPr>
              <w:t>Statement about a future or not-yet-observed condition.</w:t>
            </w:r>
          </w:p>
        </w:tc>
      </w:tr>
      <w:tr>
        <w:tc>
          <w:tcPr>
            <w:tcW w:type="dxa" w:w="2664"/>
            <w:vAlign w:val="center"/>
            <w:tcMar>
              <w:top w:w="80" w:type="dxa"/>
              <w:start w:w="95" w:type="dxa"/>
              <w:bottom w:w="80" w:type="dxa"/>
              <w:end w:w="95" w:type="dxa"/>
            </w:tcMar>
            <w:shd w:fill="F3F6F8"/>
          </w:tcPr>
          <w:p>
            <w:pPr>
              <w:spacing w:after="0"/>
            </w:pPr>
            <w:r>
              <w:rPr>
                <w:b/>
                <w:color w:val="0B6B69"/>
                <w:sz w:val="16"/>
              </w:rPr>
              <w:t>Operational information</w:t>
            </w:r>
          </w:p>
        </w:tc>
        <w:tc>
          <w:tcPr>
            <w:tcW w:type="dxa" w:w="6696"/>
            <w:vAlign w:val="center"/>
            <w:tcMar>
              <w:top w:w="80" w:type="dxa"/>
              <w:start w:w="95" w:type="dxa"/>
              <w:bottom w:w="80" w:type="dxa"/>
              <w:end w:w="95" w:type="dxa"/>
            </w:tcMar>
            <w:shd w:fill="F3F6F8"/>
          </w:tcPr>
          <w:p>
            <w:pPr>
              <w:spacing w:after="0"/>
            </w:pPr>
            <w:r>
              <w:rPr>
                <w:sz w:val="16"/>
              </w:rPr>
              <w:t>Used for programme or service management.</w:t>
            </w:r>
          </w:p>
        </w:tc>
      </w:tr>
      <w:tr>
        <w:tc>
          <w:tcPr>
            <w:tcW w:type="dxa" w:w="2664"/>
            <w:vAlign w:val="center"/>
            <w:tcMar>
              <w:top w:w="80" w:type="dxa"/>
              <w:start w:w="95" w:type="dxa"/>
              <w:bottom w:w="80" w:type="dxa"/>
              <w:end w:w="95" w:type="dxa"/>
            </w:tcMar>
          </w:tcPr>
          <w:p>
            <w:pPr>
              <w:spacing w:after="0"/>
            </w:pPr>
            <w:r>
              <w:rPr>
                <w:b/>
                <w:color w:val="0B6B69"/>
                <w:sz w:val="16"/>
              </w:rPr>
              <w:t>Community-generated information</w:t>
            </w:r>
          </w:p>
        </w:tc>
        <w:tc>
          <w:tcPr>
            <w:tcW w:type="dxa" w:w="6696"/>
            <w:vAlign w:val="center"/>
            <w:tcMar>
              <w:top w:w="80" w:type="dxa"/>
              <w:start w:w="95" w:type="dxa"/>
              <w:bottom w:w="80" w:type="dxa"/>
              <w:end w:w="95" w:type="dxa"/>
            </w:tcMar>
          </w:tcPr>
          <w:p>
            <w:pPr>
              <w:spacing w:after="0"/>
            </w:pPr>
            <w:r>
              <w:rPr>
                <w:sz w:val="16"/>
              </w:rPr>
              <w:t>Supplied through participatory or non-official mechanisms.</w:t>
            </w:r>
          </w:p>
        </w:tc>
      </w:tr>
      <w:tr>
        <w:tc>
          <w:tcPr>
            <w:tcW w:type="dxa" w:w="2664"/>
            <w:vAlign w:val="center"/>
            <w:tcMar>
              <w:top w:w="80" w:type="dxa"/>
              <w:start w:w="95" w:type="dxa"/>
              <w:bottom w:w="80" w:type="dxa"/>
              <w:end w:w="95" w:type="dxa"/>
            </w:tcMar>
            <w:shd w:fill="F3F6F8"/>
          </w:tcPr>
          <w:p>
            <w:pPr>
              <w:spacing w:after="0"/>
            </w:pPr>
            <w:r>
              <w:rPr>
                <w:b/>
                <w:color w:val="0B6B69"/>
                <w:sz w:val="16"/>
              </w:rPr>
              <w:t>Private-sector information</w:t>
            </w:r>
          </w:p>
        </w:tc>
        <w:tc>
          <w:tcPr>
            <w:tcW w:type="dxa" w:w="6696"/>
            <w:vAlign w:val="center"/>
            <w:tcMar>
              <w:top w:w="80" w:type="dxa"/>
              <w:start w:w="95" w:type="dxa"/>
              <w:bottom w:w="80" w:type="dxa"/>
              <w:end w:w="95" w:type="dxa"/>
            </w:tcMar>
            <w:shd w:fill="F3F6F8"/>
          </w:tcPr>
          <w:p>
            <w:pPr>
              <w:spacing w:after="0"/>
            </w:pPr>
            <w:r>
              <w:rPr>
                <w:sz w:val="16"/>
              </w:rPr>
              <w:t>Produced by a commercial entity for operational or business purposes.</w:t>
            </w:r>
          </w:p>
        </w:tc>
      </w:tr>
    </w:tbl>
    <w:p>
      <w:pPr>
        <w:spacing w:after="0"/>
      </w:pPr>
    </w:p>
    <w:p>
      <w:pPr>
        <w:pStyle w:val="Heading2"/>
      </w:pPr>
      <w:r>
        <w:t>12. AI opportunities by source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5"/>
              </w:rPr>
              <w:t>Source</w:t>
            </w:r>
          </w:p>
        </w:tc>
        <w:tc>
          <w:tcPr>
            <w:tcW w:type="dxa" w:w="3331"/>
            <w:shd w:fill="17324D"/>
            <w:tcMar>
              <w:top w:w="90" w:type="dxa"/>
              <w:start w:w="100" w:type="dxa"/>
              <w:bottom w:w="90" w:type="dxa"/>
              <w:end w:w="100" w:type="dxa"/>
            </w:tcMar>
          </w:tcPr>
          <w:p>
            <w:pPr>
              <w:spacing w:after="0"/>
            </w:pPr>
            <w:r>
              <w:rPr>
                <w:b/>
                <w:color w:val="FFFFFF"/>
                <w:sz w:val="15"/>
              </w:rPr>
              <w:t>High-value applications</w:t>
            </w:r>
          </w:p>
        </w:tc>
        <w:tc>
          <w:tcPr>
            <w:tcW w:type="dxa" w:w="3331"/>
            <w:shd w:fill="17324D"/>
            <w:tcMar>
              <w:top w:w="90" w:type="dxa"/>
              <w:start w:w="100" w:type="dxa"/>
              <w:bottom w:w="90" w:type="dxa"/>
              <w:end w:w="100" w:type="dxa"/>
            </w:tcMar>
          </w:tcPr>
          <w:p>
            <w:pPr>
              <w:spacing w:after="0"/>
            </w:pPr>
            <w:r>
              <w:rPr>
                <w:b/>
                <w:color w:val="FFFFFF"/>
                <w:sz w:val="15"/>
              </w:rPr>
              <w:t>Controls required</w:t>
            </w:r>
          </w:p>
        </w:tc>
      </w:tr>
      <w:tr>
        <w:tc>
          <w:tcPr>
            <w:tcW w:type="dxa" w:w="1800"/>
            <w:vAlign w:val="center"/>
            <w:tcMar>
              <w:top w:w="80" w:type="dxa"/>
              <w:start w:w="95" w:type="dxa"/>
              <w:bottom w:w="80" w:type="dxa"/>
              <w:end w:w="95" w:type="dxa"/>
            </w:tcMar>
            <w:shd w:fill="F3F6F8"/>
          </w:tcPr>
          <w:p>
            <w:pPr>
              <w:spacing w:after="0"/>
            </w:pPr>
            <w:r>
              <w:rPr>
                <w:b/>
                <w:color w:val="0B6B69"/>
                <w:sz w:val="15"/>
              </w:rPr>
              <w:t>Surveys/censuses</w:t>
            </w:r>
          </w:p>
        </w:tc>
        <w:tc>
          <w:tcPr>
            <w:tcW w:type="dxa" w:w="3960"/>
            <w:vAlign w:val="center"/>
            <w:tcMar>
              <w:top w:w="80" w:type="dxa"/>
              <w:start w:w="95" w:type="dxa"/>
              <w:bottom w:w="80" w:type="dxa"/>
              <w:end w:w="95" w:type="dxa"/>
            </w:tcMar>
            <w:shd w:fill="F3F6F8"/>
          </w:tcPr>
          <w:p>
            <w:pPr>
              <w:spacing w:after="0"/>
            </w:pPr>
            <w:r>
              <w:rPr>
                <w:sz w:val="15"/>
              </w:rPr>
              <w:t>Questionnaire review, routing, interviewer support, coding, editing, paradata analysis and report drafting.</w:t>
            </w:r>
          </w:p>
        </w:tc>
        <w:tc>
          <w:tcPr>
            <w:tcW w:type="dxa" w:w="3600"/>
            <w:vAlign w:val="center"/>
            <w:tcMar>
              <w:top w:w="80" w:type="dxa"/>
              <w:start w:w="95" w:type="dxa"/>
              <w:bottom w:w="80" w:type="dxa"/>
              <w:end w:w="95" w:type="dxa"/>
            </w:tcMar>
            <w:shd w:fill="F3F6F8"/>
          </w:tcPr>
          <w:p>
            <w:pPr>
              <w:spacing w:after="0"/>
            </w:pPr>
            <w:r>
              <w:rPr>
                <w:sz w:val="15"/>
              </w:rPr>
              <w:t>Measurement testing, benchmark coding, impact on estimates and human review.</w:t>
            </w:r>
          </w:p>
        </w:tc>
      </w:tr>
      <w:tr>
        <w:tc>
          <w:tcPr>
            <w:tcW w:type="dxa" w:w="1800"/>
            <w:vAlign w:val="center"/>
            <w:tcMar>
              <w:top w:w="80" w:type="dxa"/>
              <w:start w:w="95" w:type="dxa"/>
              <w:bottom w:w="80" w:type="dxa"/>
              <w:end w:w="95" w:type="dxa"/>
            </w:tcMar>
          </w:tcPr>
          <w:p>
            <w:pPr>
              <w:spacing w:after="0"/>
            </w:pPr>
            <w:r>
              <w:rPr>
                <w:b/>
                <w:color w:val="0B6B69"/>
                <w:sz w:val="15"/>
              </w:rPr>
              <w:t>Administrative records</w:t>
            </w:r>
          </w:p>
        </w:tc>
        <w:tc>
          <w:tcPr>
            <w:tcW w:type="dxa" w:w="3960"/>
            <w:vAlign w:val="center"/>
            <w:tcMar>
              <w:top w:w="80" w:type="dxa"/>
              <w:start w:w="95" w:type="dxa"/>
              <w:bottom w:w="80" w:type="dxa"/>
              <w:end w:w="95" w:type="dxa"/>
            </w:tcMar>
          </w:tcPr>
          <w:p>
            <w:pPr>
              <w:spacing w:after="0"/>
            </w:pPr>
            <w:r>
              <w:rPr>
                <w:sz w:val="15"/>
              </w:rPr>
              <w:t>Documentation extraction, mapping, standardization, linkage, anomaly detection and change monitoring.</w:t>
            </w:r>
          </w:p>
        </w:tc>
        <w:tc>
          <w:tcPr>
            <w:tcW w:type="dxa" w:w="3600"/>
            <w:vAlign w:val="center"/>
            <w:tcMar>
              <w:top w:w="80" w:type="dxa"/>
              <w:start w:w="95" w:type="dxa"/>
              <w:bottom w:w="80" w:type="dxa"/>
              <w:end w:w="95" w:type="dxa"/>
            </w:tcMar>
          </w:tcPr>
          <w:p>
            <w:pPr>
              <w:spacing w:after="0"/>
            </w:pPr>
            <w:r>
              <w:rPr>
                <w:sz w:val="15"/>
              </w:rPr>
              <w:t>Legal access, coverage assessment, linkage quality and policy-break detection.</w:t>
            </w:r>
          </w:p>
        </w:tc>
      </w:tr>
      <w:tr>
        <w:tc>
          <w:tcPr>
            <w:tcW w:type="dxa" w:w="1800"/>
            <w:vAlign w:val="center"/>
            <w:tcMar>
              <w:top w:w="80" w:type="dxa"/>
              <w:start w:w="95" w:type="dxa"/>
              <w:bottom w:w="80" w:type="dxa"/>
              <w:end w:w="95" w:type="dxa"/>
            </w:tcMar>
            <w:shd w:fill="F3F6F8"/>
          </w:tcPr>
          <w:p>
            <w:pPr>
              <w:spacing w:after="0"/>
            </w:pPr>
            <w:r>
              <w:rPr>
                <w:b/>
                <w:color w:val="0B6B69"/>
                <w:sz w:val="15"/>
              </w:rPr>
              <w:t>Research information</w:t>
            </w:r>
          </w:p>
        </w:tc>
        <w:tc>
          <w:tcPr>
            <w:tcW w:type="dxa" w:w="3960"/>
            <w:vAlign w:val="center"/>
            <w:tcMar>
              <w:top w:w="80" w:type="dxa"/>
              <w:start w:w="95" w:type="dxa"/>
              <w:bottom w:w="80" w:type="dxa"/>
              <w:end w:w="95" w:type="dxa"/>
            </w:tcMar>
            <w:shd w:fill="F3F6F8"/>
          </w:tcPr>
          <w:p>
            <w:pPr>
              <w:spacing w:after="0"/>
            </w:pPr>
            <w:r>
              <w:rPr>
                <w:sz w:val="15"/>
              </w:rPr>
              <w:t>Evidence retrieval, structured extraction, synthesis and connection with field observations.</w:t>
            </w:r>
          </w:p>
        </w:tc>
        <w:tc>
          <w:tcPr>
            <w:tcW w:type="dxa" w:w="3600"/>
            <w:vAlign w:val="center"/>
            <w:tcMar>
              <w:top w:w="80" w:type="dxa"/>
              <w:start w:w="95" w:type="dxa"/>
              <w:bottom w:w="80" w:type="dxa"/>
              <w:end w:w="95" w:type="dxa"/>
            </w:tcMar>
            <w:shd w:fill="F3F6F8"/>
          </w:tcPr>
          <w:p>
            <w:pPr>
              <w:spacing w:after="0"/>
            </w:pPr>
            <w:r>
              <w:rPr>
                <w:sz w:val="15"/>
              </w:rPr>
              <w:t>Protocol review, provenance, external validity and scientific interpretation.</w:t>
            </w:r>
          </w:p>
        </w:tc>
      </w:tr>
      <w:tr>
        <w:tc>
          <w:tcPr>
            <w:tcW w:type="dxa" w:w="1800"/>
            <w:vAlign w:val="center"/>
            <w:tcMar>
              <w:top w:w="80" w:type="dxa"/>
              <w:start w:w="95" w:type="dxa"/>
              <w:bottom w:w="80" w:type="dxa"/>
              <w:end w:w="95" w:type="dxa"/>
            </w:tcMar>
          </w:tcPr>
          <w:p>
            <w:pPr>
              <w:spacing w:after="0"/>
            </w:pPr>
            <w:r>
              <w:rPr>
                <w:b/>
                <w:color w:val="0B6B69"/>
                <w:sz w:val="15"/>
              </w:rPr>
              <w:t>Geospatial data</w:t>
            </w:r>
          </w:p>
        </w:tc>
        <w:tc>
          <w:tcPr>
            <w:tcW w:type="dxa" w:w="3960"/>
            <w:vAlign w:val="center"/>
            <w:tcMar>
              <w:top w:w="80" w:type="dxa"/>
              <w:start w:w="95" w:type="dxa"/>
              <w:bottom w:w="80" w:type="dxa"/>
              <w:end w:w="95" w:type="dxa"/>
            </w:tcMar>
          </w:tcPr>
          <w:p>
            <w:pPr>
              <w:spacing w:after="0"/>
            </w:pPr>
            <w:r>
              <w:rPr>
                <w:sz w:val="15"/>
              </w:rPr>
              <w:t>Crop mapping, field delineation, land-cover classification and frame improvement.</w:t>
            </w:r>
          </w:p>
        </w:tc>
        <w:tc>
          <w:tcPr>
            <w:tcW w:type="dxa" w:w="3600"/>
            <w:vAlign w:val="center"/>
            <w:tcMar>
              <w:top w:w="80" w:type="dxa"/>
              <w:start w:w="95" w:type="dxa"/>
              <w:bottom w:w="80" w:type="dxa"/>
              <w:end w:w="95" w:type="dxa"/>
            </w:tcMar>
          </w:tcPr>
          <w:p>
            <w:pPr>
              <w:spacing w:after="0"/>
            </w:pPr>
            <w:r>
              <w:rPr>
                <w:sz w:val="15"/>
              </w:rPr>
              <w:t>Ground truth, spatial validation, resolution and uncertainty.</w:t>
            </w:r>
          </w:p>
        </w:tc>
      </w:tr>
      <w:tr>
        <w:tc>
          <w:tcPr>
            <w:tcW w:type="dxa" w:w="1800"/>
            <w:vAlign w:val="center"/>
            <w:tcMar>
              <w:top w:w="80" w:type="dxa"/>
              <w:start w:w="95" w:type="dxa"/>
              <w:bottom w:w="80" w:type="dxa"/>
              <w:end w:w="95" w:type="dxa"/>
            </w:tcMar>
            <w:shd w:fill="F3F6F8"/>
          </w:tcPr>
          <w:p>
            <w:pPr>
              <w:spacing w:after="0"/>
            </w:pPr>
            <w:r>
              <w:rPr>
                <w:b/>
                <w:color w:val="0B6B69"/>
                <w:sz w:val="15"/>
              </w:rPr>
              <w:t>Private/web data</w:t>
            </w:r>
          </w:p>
        </w:tc>
        <w:tc>
          <w:tcPr>
            <w:tcW w:type="dxa" w:w="3960"/>
            <w:vAlign w:val="center"/>
            <w:tcMar>
              <w:top w:w="80" w:type="dxa"/>
              <w:start w:w="95" w:type="dxa"/>
              <w:bottom w:w="80" w:type="dxa"/>
              <w:end w:w="95" w:type="dxa"/>
            </w:tcMar>
            <w:shd w:fill="F3F6F8"/>
          </w:tcPr>
          <w:p>
            <w:pPr>
              <w:spacing w:after="0"/>
            </w:pPr>
            <w:r>
              <w:rPr>
                <w:sz w:val="15"/>
              </w:rPr>
              <w:t>Product classification, price extraction and emerging-indicator production.</w:t>
            </w:r>
          </w:p>
        </w:tc>
        <w:tc>
          <w:tcPr>
            <w:tcW w:type="dxa" w:w="3600"/>
            <w:vAlign w:val="center"/>
            <w:tcMar>
              <w:top w:w="80" w:type="dxa"/>
              <w:start w:w="95" w:type="dxa"/>
              <w:bottom w:w="80" w:type="dxa"/>
              <w:end w:w="95" w:type="dxa"/>
            </w:tcMar>
            <w:shd w:fill="F3F6F8"/>
          </w:tcPr>
          <w:p>
            <w:pPr>
              <w:spacing w:after="0"/>
            </w:pPr>
            <w:r>
              <w:rPr>
                <w:sz w:val="15"/>
              </w:rPr>
              <w:t>Selection bias, continuity, legal conditions and supplier dependence.</w:t>
            </w:r>
          </w:p>
        </w:tc>
      </w:tr>
    </w:tbl>
    <w:p>
      <w:pPr>
        <w:spacing w:after="0"/>
      </w:pPr>
    </w:p>
    <w:p>
      <w:r>
        <w:br w:type="page"/>
      </w:r>
    </w:p>
    <w:p>
      <w:pPr>
        <w:pStyle w:val="Heading1"/>
      </w:pPr>
      <w:r>
        <w:t>Part IV. Quality, fitness for use and AI assurance</w:t>
      </w:r>
    </w:p>
    <w:p>
      <w:pPr>
        <w:pStyle w:val="Heading2"/>
      </w:pPr>
      <w:r>
        <w:t>13. Quality as the governing logic</w:t>
      </w:r>
    </w:p>
    <w:p>
      <w:r>
        <w:t>Data quality is not an end-stage compliance exercise. It must govern problem selection, source assessment, method design, model evaluation, publication and review. A statistical product is fit for use when it satisfies the requirements of its intended users sufficiently well across multiple quality dimensions.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Dimension</w:t>
            </w:r>
          </w:p>
        </w:tc>
        <w:tc>
          <w:tcPr>
            <w:tcW w:type="dxa" w:w="4997"/>
            <w:shd w:fill="17324D"/>
            <w:tcMar>
              <w:top w:w="90" w:type="dxa"/>
              <w:start w:w="100" w:type="dxa"/>
              <w:bottom w:w="90" w:type="dxa"/>
              <w:end w:w="100" w:type="dxa"/>
            </w:tcMar>
          </w:tcPr>
          <w:p>
            <w:pPr>
              <w:spacing w:after="0"/>
            </w:pPr>
            <w:r>
              <w:rPr>
                <w:b/>
                <w:color w:val="FFFFFF"/>
                <w:sz w:val="16"/>
              </w:rPr>
              <w:t>Core question</w:t>
            </w:r>
          </w:p>
        </w:tc>
      </w:tr>
      <w:tr>
        <w:tc>
          <w:tcPr>
            <w:tcW w:type="dxa" w:w="3024"/>
            <w:vAlign w:val="center"/>
            <w:tcMar>
              <w:top w:w="80" w:type="dxa"/>
              <w:start w:w="95" w:type="dxa"/>
              <w:bottom w:w="80" w:type="dxa"/>
              <w:end w:w="95" w:type="dxa"/>
            </w:tcMar>
            <w:shd w:fill="F3F6F8"/>
          </w:tcPr>
          <w:p>
            <w:pPr>
              <w:spacing w:after="0"/>
            </w:pPr>
            <w:r>
              <w:rPr>
                <w:b/>
                <w:color w:val="0B6B69"/>
                <w:sz w:val="16"/>
              </w:rPr>
              <w:t>Relevance</w:t>
            </w:r>
          </w:p>
        </w:tc>
        <w:tc>
          <w:tcPr>
            <w:tcW w:type="dxa" w:w="6336"/>
            <w:vAlign w:val="center"/>
            <w:tcMar>
              <w:top w:w="80" w:type="dxa"/>
              <w:start w:w="95" w:type="dxa"/>
              <w:bottom w:w="80" w:type="dxa"/>
              <w:end w:w="95" w:type="dxa"/>
            </w:tcMar>
            <w:shd w:fill="F3F6F8"/>
          </w:tcPr>
          <w:p>
            <w:pPr>
              <w:spacing w:after="0"/>
            </w:pPr>
            <w:r>
              <w:rPr>
                <w:sz w:val="16"/>
              </w:rPr>
              <w:t>Does the information address important user and policy needs?</w:t>
            </w:r>
          </w:p>
        </w:tc>
      </w:tr>
      <w:tr>
        <w:tc>
          <w:tcPr>
            <w:tcW w:type="dxa" w:w="3024"/>
            <w:vAlign w:val="center"/>
            <w:tcMar>
              <w:top w:w="80" w:type="dxa"/>
              <w:start w:w="95" w:type="dxa"/>
              <w:bottom w:w="80" w:type="dxa"/>
              <w:end w:w="95" w:type="dxa"/>
            </w:tcMar>
          </w:tcPr>
          <w:p>
            <w:pPr>
              <w:spacing w:after="0"/>
            </w:pPr>
            <w:r>
              <w:rPr>
                <w:b/>
                <w:color w:val="0B6B69"/>
                <w:sz w:val="16"/>
              </w:rPr>
              <w:t>Accuracy and reliability</w:t>
            </w:r>
          </w:p>
        </w:tc>
        <w:tc>
          <w:tcPr>
            <w:tcW w:type="dxa" w:w="6336"/>
            <w:vAlign w:val="center"/>
            <w:tcMar>
              <w:top w:w="80" w:type="dxa"/>
              <w:start w:w="95" w:type="dxa"/>
              <w:bottom w:w="80" w:type="dxa"/>
              <w:end w:w="95" w:type="dxa"/>
            </w:tcMar>
          </w:tcPr>
          <w:p>
            <w:pPr>
              <w:spacing w:after="0"/>
            </w:pPr>
            <w:r>
              <w:rPr>
                <w:sz w:val="16"/>
              </w:rPr>
              <w:t>How close are estimates to accepted values, and how dependable is the process?</w:t>
            </w:r>
          </w:p>
        </w:tc>
      </w:tr>
      <w:tr>
        <w:tc>
          <w:tcPr>
            <w:tcW w:type="dxa" w:w="3024"/>
            <w:vAlign w:val="center"/>
            <w:tcMar>
              <w:top w:w="80" w:type="dxa"/>
              <w:start w:w="95" w:type="dxa"/>
              <w:bottom w:w="80" w:type="dxa"/>
              <w:end w:w="95" w:type="dxa"/>
            </w:tcMar>
            <w:shd w:fill="F3F6F8"/>
          </w:tcPr>
          <w:p>
            <w:pPr>
              <w:spacing w:after="0"/>
            </w:pPr>
            <w:r>
              <w:rPr>
                <w:b/>
                <w:color w:val="0B6B69"/>
                <w:sz w:val="16"/>
              </w:rPr>
              <w:t>Timeliness and punctuality</w:t>
            </w:r>
          </w:p>
        </w:tc>
        <w:tc>
          <w:tcPr>
            <w:tcW w:type="dxa" w:w="6336"/>
            <w:vAlign w:val="center"/>
            <w:tcMar>
              <w:top w:w="80" w:type="dxa"/>
              <w:start w:w="95" w:type="dxa"/>
              <w:bottom w:w="80" w:type="dxa"/>
              <w:end w:w="95" w:type="dxa"/>
            </w:tcMar>
            <w:shd w:fill="F3F6F8"/>
          </w:tcPr>
          <w:p>
            <w:pPr>
              <w:spacing w:after="0"/>
            </w:pPr>
            <w:r>
              <w:rPr>
                <w:sz w:val="16"/>
              </w:rPr>
              <w:t>Is information available when needed and according to schedule?</w:t>
            </w:r>
          </w:p>
        </w:tc>
      </w:tr>
      <w:tr>
        <w:tc>
          <w:tcPr>
            <w:tcW w:type="dxa" w:w="3024"/>
            <w:vAlign w:val="center"/>
            <w:tcMar>
              <w:top w:w="80" w:type="dxa"/>
              <w:start w:w="95" w:type="dxa"/>
              <w:bottom w:w="80" w:type="dxa"/>
              <w:end w:w="95" w:type="dxa"/>
            </w:tcMar>
          </w:tcPr>
          <w:p>
            <w:pPr>
              <w:spacing w:after="0"/>
            </w:pPr>
            <w:r>
              <w:rPr>
                <w:b/>
                <w:color w:val="0B6B69"/>
                <w:sz w:val="16"/>
              </w:rPr>
              <w:t>Accessibility and clarity</w:t>
            </w:r>
          </w:p>
        </w:tc>
        <w:tc>
          <w:tcPr>
            <w:tcW w:type="dxa" w:w="6336"/>
            <w:vAlign w:val="center"/>
            <w:tcMar>
              <w:top w:w="80" w:type="dxa"/>
              <w:start w:w="95" w:type="dxa"/>
              <w:bottom w:w="80" w:type="dxa"/>
              <w:end w:w="95" w:type="dxa"/>
            </w:tcMar>
          </w:tcPr>
          <w:p>
            <w:pPr>
              <w:spacing w:after="0"/>
            </w:pPr>
            <w:r>
              <w:rPr>
                <w:sz w:val="16"/>
              </w:rPr>
              <w:t>Can users obtain, understand and correctly use the information?</w:t>
            </w:r>
          </w:p>
        </w:tc>
      </w:tr>
      <w:tr>
        <w:tc>
          <w:tcPr>
            <w:tcW w:type="dxa" w:w="3024"/>
            <w:vAlign w:val="center"/>
            <w:tcMar>
              <w:top w:w="80" w:type="dxa"/>
              <w:start w:w="95" w:type="dxa"/>
              <w:bottom w:w="80" w:type="dxa"/>
              <w:end w:w="95" w:type="dxa"/>
            </w:tcMar>
            <w:shd w:fill="F3F6F8"/>
          </w:tcPr>
          <w:p>
            <w:pPr>
              <w:spacing w:after="0"/>
            </w:pPr>
            <w:r>
              <w:rPr>
                <w:b/>
                <w:color w:val="0B6B69"/>
                <w:sz w:val="16"/>
              </w:rPr>
              <w:t>Coherence and comparability</w:t>
            </w:r>
          </w:p>
        </w:tc>
        <w:tc>
          <w:tcPr>
            <w:tcW w:type="dxa" w:w="6336"/>
            <w:vAlign w:val="center"/>
            <w:tcMar>
              <w:top w:w="80" w:type="dxa"/>
              <w:start w:w="95" w:type="dxa"/>
              <w:bottom w:w="80" w:type="dxa"/>
              <w:end w:w="95" w:type="dxa"/>
            </w:tcMar>
            <w:shd w:fill="F3F6F8"/>
          </w:tcPr>
          <w:p>
            <w:pPr>
              <w:spacing w:after="0"/>
            </w:pPr>
            <w:r>
              <w:rPr>
                <w:sz w:val="16"/>
              </w:rPr>
              <w:t>Can results be reconciled and compared across time, geography and groups?</w:t>
            </w:r>
          </w:p>
        </w:tc>
      </w:tr>
      <w:tr>
        <w:tc>
          <w:tcPr>
            <w:tcW w:type="dxa" w:w="3024"/>
            <w:vAlign w:val="center"/>
            <w:tcMar>
              <w:top w:w="80" w:type="dxa"/>
              <w:start w:w="95" w:type="dxa"/>
              <w:bottom w:w="80" w:type="dxa"/>
              <w:end w:w="95" w:type="dxa"/>
            </w:tcMar>
          </w:tcPr>
          <w:p>
            <w:pPr>
              <w:spacing w:after="0"/>
            </w:pPr>
            <w:r>
              <w:rPr>
                <w:b/>
                <w:color w:val="0B6B69"/>
                <w:sz w:val="16"/>
              </w:rPr>
              <w:t>Interpretability</w:t>
            </w:r>
          </w:p>
        </w:tc>
        <w:tc>
          <w:tcPr>
            <w:tcW w:type="dxa" w:w="6336"/>
            <w:vAlign w:val="center"/>
            <w:tcMar>
              <w:top w:w="80" w:type="dxa"/>
              <w:start w:w="95" w:type="dxa"/>
              <w:bottom w:w="80" w:type="dxa"/>
              <w:end w:w="95" w:type="dxa"/>
            </w:tcMar>
          </w:tcPr>
          <w:p>
            <w:pPr>
              <w:spacing w:after="0"/>
            </w:pPr>
            <w:r>
              <w:rPr>
                <w:sz w:val="16"/>
              </w:rPr>
              <w:t>Are concepts, methods, limitations and context sufficiently documented?</w:t>
            </w:r>
          </w:p>
        </w:tc>
      </w:tr>
    </w:tbl>
    <w:p>
      <w:pPr>
        <w:spacing w:after="0"/>
      </w:pPr>
    </w:p>
    <w:p>
      <w:pPr>
        <w:pStyle w:val="Heading2"/>
      </w:pPr>
      <w:r>
        <w:t>14. Four objects of quality assessment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Object</w:t>
            </w:r>
          </w:p>
        </w:tc>
        <w:tc>
          <w:tcPr>
            <w:tcW w:type="dxa" w:w="4997"/>
            <w:shd w:fill="17324D"/>
            <w:tcMar>
              <w:top w:w="90" w:type="dxa"/>
              <w:start w:w="100" w:type="dxa"/>
              <w:bottom w:w="90" w:type="dxa"/>
              <w:end w:w="100" w:type="dxa"/>
            </w:tcMar>
          </w:tcPr>
          <w:p>
            <w:pPr>
              <w:spacing w:after="0"/>
            </w:pPr>
            <w:r>
              <w:rPr>
                <w:b/>
                <w:color w:val="FFFFFF"/>
                <w:sz w:val="16"/>
              </w:rPr>
              <w:t>Illustrative assessment</w:t>
            </w:r>
          </w:p>
        </w:tc>
      </w:tr>
      <w:tr>
        <w:tc>
          <w:tcPr>
            <w:tcW w:type="dxa" w:w="2592"/>
            <w:vAlign w:val="center"/>
            <w:tcMar>
              <w:top w:w="80" w:type="dxa"/>
              <w:start w:w="95" w:type="dxa"/>
              <w:bottom w:w="80" w:type="dxa"/>
              <w:end w:w="95" w:type="dxa"/>
            </w:tcMar>
            <w:shd w:fill="F3F6F8"/>
          </w:tcPr>
          <w:p>
            <w:pPr>
              <w:spacing w:after="0"/>
            </w:pPr>
            <w:r>
              <w:rPr>
                <w:b/>
                <w:color w:val="0B6B69"/>
                <w:sz w:val="16"/>
              </w:rPr>
              <w:t>Source-data quality</w:t>
            </w:r>
          </w:p>
        </w:tc>
        <w:tc>
          <w:tcPr>
            <w:tcW w:type="dxa" w:w="6768"/>
            <w:vAlign w:val="center"/>
            <w:tcMar>
              <w:top w:w="80" w:type="dxa"/>
              <w:start w:w="95" w:type="dxa"/>
              <w:bottom w:w="80" w:type="dxa"/>
              <w:end w:w="95" w:type="dxa"/>
            </w:tcMar>
            <w:shd w:fill="F3F6F8"/>
          </w:tcPr>
          <w:p>
            <w:pPr>
              <w:spacing w:after="0"/>
            </w:pPr>
            <w:r>
              <w:rPr>
                <w:sz w:val="16"/>
              </w:rPr>
              <w:t>Coverage, missingness, measurement, timeliness, stability and metadata.</w:t>
            </w:r>
          </w:p>
        </w:tc>
      </w:tr>
      <w:tr>
        <w:tc>
          <w:tcPr>
            <w:tcW w:type="dxa" w:w="2592"/>
            <w:vAlign w:val="center"/>
            <w:tcMar>
              <w:top w:w="80" w:type="dxa"/>
              <w:start w:w="95" w:type="dxa"/>
              <w:bottom w:w="80" w:type="dxa"/>
              <w:end w:w="95" w:type="dxa"/>
            </w:tcMar>
          </w:tcPr>
          <w:p>
            <w:pPr>
              <w:spacing w:after="0"/>
            </w:pPr>
            <w:r>
              <w:rPr>
                <w:b/>
                <w:color w:val="0B6B69"/>
                <w:sz w:val="16"/>
              </w:rPr>
              <w:t>Statistical-process quality</w:t>
            </w:r>
          </w:p>
        </w:tc>
        <w:tc>
          <w:tcPr>
            <w:tcW w:type="dxa" w:w="6768"/>
            <w:vAlign w:val="center"/>
            <w:tcMar>
              <w:top w:w="80" w:type="dxa"/>
              <w:start w:w="95" w:type="dxa"/>
              <w:bottom w:w="80" w:type="dxa"/>
              <w:end w:w="95" w:type="dxa"/>
            </w:tcMar>
          </w:tcPr>
          <w:p>
            <w:pPr>
              <w:spacing w:after="0"/>
            </w:pPr>
            <w:r>
              <w:rPr>
                <w:sz w:val="16"/>
              </w:rPr>
              <w:t>Design, collection, editing, imputation, linkage, weighting, estimation and revision.</w:t>
            </w:r>
          </w:p>
        </w:tc>
      </w:tr>
      <w:tr>
        <w:tc>
          <w:tcPr>
            <w:tcW w:type="dxa" w:w="2592"/>
            <w:vAlign w:val="center"/>
            <w:tcMar>
              <w:top w:w="80" w:type="dxa"/>
              <w:start w:w="95" w:type="dxa"/>
              <w:bottom w:w="80" w:type="dxa"/>
              <w:end w:w="95" w:type="dxa"/>
            </w:tcMar>
            <w:shd w:fill="F3F6F8"/>
          </w:tcPr>
          <w:p>
            <w:pPr>
              <w:spacing w:after="0"/>
            </w:pPr>
            <w:r>
              <w:rPr>
                <w:b/>
                <w:color w:val="0B6B69"/>
                <w:sz w:val="16"/>
              </w:rPr>
              <w:t>AI-system quality</w:t>
            </w:r>
          </w:p>
        </w:tc>
        <w:tc>
          <w:tcPr>
            <w:tcW w:type="dxa" w:w="6768"/>
            <w:vAlign w:val="center"/>
            <w:tcMar>
              <w:top w:w="80" w:type="dxa"/>
              <w:start w:w="95" w:type="dxa"/>
              <w:bottom w:w="80" w:type="dxa"/>
              <w:end w:w="95" w:type="dxa"/>
            </w:tcMar>
            <w:shd w:fill="F3F6F8"/>
          </w:tcPr>
          <w:p>
            <w:pPr>
              <w:spacing w:after="0"/>
            </w:pPr>
            <w:r>
              <w:rPr>
                <w:sz w:val="16"/>
              </w:rPr>
              <w:t>Evaluation data, error rates, robustness, subgroup performance, stability, explainability and versioning.</w:t>
            </w:r>
          </w:p>
        </w:tc>
      </w:tr>
      <w:tr>
        <w:tc>
          <w:tcPr>
            <w:tcW w:type="dxa" w:w="2592"/>
            <w:vAlign w:val="center"/>
            <w:tcMar>
              <w:top w:w="80" w:type="dxa"/>
              <w:start w:w="95" w:type="dxa"/>
              <w:bottom w:w="80" w:type="dxa"/>
              <w:end w:w="95" w:type="dxa"/>
            </w:tcMar>
          </w:tcPr>
          <w:p>
            <w:pPr>
              <w:spacing w:after="0"/>
            </w:pPr>
            <w:r>
              <w:rPr>
                <w:b/>
                <w:color w:val="0B6B69"/>
                <w:sz w:val="16"/>
              </w:rPr>
              <w:t>Statistical-output quality</w:t>
            </w:r>
          </w:p>
        </w:tc>
        <w:tc>
          <w:tcPr>
            <w:tcW w:type="dxa" w:w="6768"/>
            <w:vAlign w:val="center"/>
            <w:tcMar>
              <w:top w:w="80" w:type="dxa"/>
              <w:start w:w="95" w:type="dxa"/>
              <w:bottom w:w="80" w:type="dxa"/>
              <w:end w:w="95" w:type="dxa"/>
            </w:tcMar>
          </w:tcPr>
          <w:p>
            <w:pPr>
              <w:spacing w:after="0"/>
            </w:pPr>
            <w:r>
              <w:rPr>
                <w:sz w:val="16"/>
              </w:rPr>
              <w:t>Relevance, accuracy, timeliness, coherence, comparability, accessibility and clarity.</w:t>
            </w:r>
          </w:p>
        </w:tc>
      </w:tr>
    </w:tbl>
    <w:p>
      <w:pPr>
        <w:spacing w:after="0"/>
      </w:pP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pStyle w:val="Callout"/>
              <w:ind w:left="0" w:right="0"/>
            </w:pPr>
            <w:r>
              <w:t>A model may perform well on a technical benchmark while the final official estimate remains poor because the source data have serious undercoverage.</w:t>
            </w:r>
          </w:p>
        </w:tc>
      </w:tr>
    </w:tbl>
    <w:p>
      <w:pPr>
        <w:spacing w:after="0"/>
      </w:pPr>
    </w:p>
    <w:p>
      <w:r>
        <w:br w:type="page"/>
      </w:r>
    </w:p>
    <w:p>
      <w:pPr>
        <w:pStyle w:val="Heading2"/>
      </w:pPr>
      <w:r>
        <w:t>15. Fitness-for-use statement</w:t>
      </w:r>
    </w:p>
    <w:p>
      <w:r>
        <w:t>Every AI application should begin by stating:</w:t>
      </w:r>
    </w:p>
    <w:p>
      <w:pPr>
        <w:pStyle w:val="ListNumber"/>
        <w:spacing w:after="60"/>
      </w:pPr>
      <w:r>
        <w:t>Who will use the result and for what decision?</w:t>
      </w:r>
    </w:p>
    <w:p>
      <w:pPr>
        <w:pStyle w:val="ListNumber"/>
        <w:spacing w:after="60"/>
      </w:pPr>
      <w:r>
        <w:t>At what population, geographic and time level?</w:t>
      </w:r>
    </w:p>
    <w:p>
      <w:pPr>
        <w:pStyle w:val="ListNumber"/>
        <w:spacing w:after="60"/>
      </w:pPr>
      <w:r>
        <w:t>What are the consequences of error?</w:t>
      </w:r>
    </w:p>
    <w:p>
      <w:pPr>
        <w:pStyle w:val="ListNumber"/>
        <w:spacing w:after="60"/>
      </w:pPr>
      <w:r>
        <w:t>What accuracy, timeliness and explainability are required?</w:t>
      </w:r>
    </w:p>
    <w:p>
      <w:pPr>
        <w:pStyle w:val="ListNumber"/>
        <w:spacing w:after="60"/>
      </w:pPr>
      <w:r>
        <w:t>Which groups could be affected disproportionately?</w:t>
      </w:r>
    </w:p>
    <w:p>
      <w:pPr>
        <w:pStyle w:val="ListNumber"/>
        <w:spacing w:after="60"/>
      </w:pPr>
      <w:r>
        <w:t>Is the result research, experimental, provisional or official?</w:t>
      </w:r>
    </w:p>
    <w:p>
      <w:pPr>
        <w:pStyle w:val="ListNumber"/>
        <w:spacing w:after="60"/>
      </w:pPr>
      <w:r>
        <w:t>What evidence and human approval are required before use?</w:t>
      </w:r>
    </w:p>
    <w:p>
      <w:pPr>
        <w:pStyle w:val="Heading2"/>
      </w:pPr>
      <w:r>
        <w:t>16. Mandatory AI-statistics quality gate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Gate</w:t>
            </w:r>
          </w:p>
        </w:tc>
        <w:tc>
          <w:tcPr>
            <w:tcW w:type="dxa" w:w="4997"/>
            <w:shd w:fill="17324D"/>
            <w:tcMar>
              <w:top w:w="90" w:type="dxa"/>
              <w:start w:w="100" w:type="dxa"/>
              <w:bottom w:w="90" w:type="dxa"/>
              <w:end w:w="100" w:type="dxa"/>
            </w:tcMar>
          </w:tcPr>
          <w:p>
            <w:pPr>
              <w:spacing w:after="0"/>
            </w:pPr>
            <w:r>
              <w:rPr>
                <w:b/>
                <w:color w:val="FFFFFF"/>
                <w:sz w:val="16"/>
              </w:rPr>
              <w:t>Required decision evidence</w:t>
            </w:r>
          </w:p>
        </w:tc>
      </w:tr>
      <w:tr>
        <w:tc>
          <w:tcPr>
            <w:tcW w:type="dxa" w:w="2592"/>
            <w:vAlign w:val="center"/>
            <w:tcMar>
              <w:top w:w="80" w:type="dxa"/>
              <w:start w:w="95" w:type="dxa"/>
              <w:bottom w:w="80" w:type="dxa"/>
              <w:end w:w="95" w:type="dxa"/>
            </w:tcMar>
            <w:shd w:fill="F3F6F8"/>
          </w:tcPr>
          <w:p>
            <w:pPr>
              <w:spacing w:after="0"/>
            </w:pPr>
            <w:r>
              <w:rPr>
                <w:b/>
                <w:color w:val="0B6B69"/>
                <w:sz w:val="16"/>
              </w:rPr>
              <w:t>1. Statistical legitimacy</w:t>
            </w:r>
          </w:p>
        </w:tc>
        <w:tc>
          <w:tcPr>
            <w:tcW w:type="dxa" w:w="6768"/>
            <w:vAlign w:val="center"/>
            <w:tcMar>
              <w:top w:w="80" w:type="dxa"/>
              <w:start w:w="95" w:type="dxa"/>
              <w:bottom w:w="80" w:type="dxa"/>
              <w:end w:w="95" w:type="dxa"/>
            </w:tcMar>
            <w:shd w:fill="F3F6F8"/>
          </w:tcPr>
          <w:p>
            <w:pPr>
              <w:spacing w:after="0"/>
            </w:pPr>
            <w:r>
              <w:rPr>
                <w:sz w:val="16"/>
              </w:rPr>
              <w:t>A genuine need, approved concepts and a defensible methodological role for AI.</w:t>
            </w:r>
          </w:p>
        </w:tc>
      </w:tr>
      <w:tr>
        <w:tc>
          <w:tcPr>
            <w:tcW w:type="dxa" w:w="2592"/>
            <w:vAlign w:val="center"/>
            <w:tcMar>
              <w:top w:w="80" w:type="dxa"/>
              <w:start w:w="95" w:type="dxa"/>
              <w:bottom w:w="80" w:type="dxa"/>
              <w:end w:w="95" w:type="dxa"/>
            </w:tcMar>
          </w:tcPr>
          <w:p>
            <w:pPr>
              <w:spacing w:after="0"/>
            </w:pPr>
            <w:r>
              <w:rPr>
                <w:b/>
                <w:color w:val="0B6B69"/>
                <w:sz w:val="16"/>
              </w:rPr>
              <w:t>2. Data suitability</w:t>
            </w:r>
          </w:p>
        </w:tc>
        <w:tc>
          <w:tcPr>
            <w:tcW w:type="dxa" w:w="6768"/>
            <w:vAlign w:val="center"/>
            <w:tcMar>
              <w:top w:w="80" w:type="dxa"/>
              <w:start w:w="95" w:type="dxa"/>
              <w:bottom w:w="80" w:type="dxa"/>
              <w:end w:w="95" w:type="dxa"/>
            </w:tcMar>
          </w:tcPr>
          <w:p>
            <w:pPr>
              <w:spacing w:after="0"/>
            </w:pPr>
            <w:r>
              <w:rPr>
                <w:sz w:val="16"/>
              </w:rPr>
              <w:t>Lawful, representative, sufficiently complete and documented source data.</w:t>
            </w:r>
          </w:p>
        </w:tc>
      </w:tr>
      <w:tr>
        <w:tc>
          <w:tcPr>
            <w:tcW w:type="dxa" w:w="2592"/>
            <w:vAlign w:val="center"/>
            <w:tcMar>
              <w:top w:w="80" w:type="dxa"/>
              <w:start w:w="95" w:type="dxa"/>
              <w:bottom w:w="80" w:type="dxa"/>
              <w:end w:w="95" w:type="dxa"/>
            </w:tcMar>
            <w:shd w:fill="F3F6F8"/>
          </w:tcPr>
          <w:p>
            <w:pPr>
              <w:spacing w:after="0"/>
            </w:pPr>
            <w:r>
              <w:rPr>
                <w:b/>
                <w:color w:val="0B6B69"/>
                <w:sz w:val="16"/>
              </w:rPr>
              <w:t>3. Technical performance</w:t>
            </w:r>
          </w:p>
        </w:tc>
        <w:tc>
          <w:tcPr>
            <w:tcW w:type="dxa" w:w="6768"/>
            <w:vAlign w:val="center"/>
            <w:tcMar>
              <w:top w:w="80" w:type="dxa"/>
              <w:start w:w="95" w:type="dxa"/>
              <w:bottom w:w="80" w:type="dxa"/>
              <w:end w:w="95" w:type="dxa"/>
            </w:tcMar>
            <w:shd w:fill="F3F6F8"/>
          </w:tcPr>
          <w:p>
            <w:pPr>
              <w:spacing w:after="0"/>
            </w:pPr>
            <w:r>
              <w:rPr>
                <w:sz w:val="16"/>
              </w:rPr>
              <w:t>Benchmarks, error rates, failure analysis and reproducible evaluation.</w:t>
            </w:r>
          </w:p>
        </w:tc>
      </w:tr>
      <w:tr>
        <w:tc>
          <w:tcPr>
            <w:tcW w:type="dxa" w:w="2592"/>
            <w:vAlign w:val="center"/>
            <w:tcMar>
              <w:top w:w="80" w:type="dxa"/>
              <w:start w:w="95" w:type="dxa"/>
              <w:bottom w:w="80" w:type="dxa"/>
              <w:end w:w="95" w:type="dxa"/>
            </w:tcMar>
          </w:tcPr>
          <w:p>
            <w:pPr>
              <w:spacing w:after="0"/>
            </w:pPr>
            <w:r>
              <w:rPr>
                <w:b/>
                <w:color w:val="0B6B69"/>
                <w:sz w:val="16"/>
              </w:rPr>
              <w:t>4. Statistical impact</w:t>
            </w:r>
          </w:p>
        </w:tc>
        <w:tc>
          <w:tcPr>
            <w:tcW w:type="dxa" w:w="6768"/>
            <w:vAlign w:val="center"/>
            <w:tcMar>
              <w:top w:w="80" w:type="dxa"/>
              <w:start w:w="95" w:type="dxa"/>
              <w:bottom w:w="80" w:type="dxa"/>
              <w:end w:w="95" w:type="dxa"/>
            </w:tcMar>
          </w:tcPr>
          <w:p>
            <w:pPr>
              <w:spacing w:after="0"/>
            </w:pPr>
            <w:r>
              <w:rPr>
                <w:sz w:val="16"/>
              </w:rPr>
              <w:t>Effects on estimates, bias, variance, classification, subgroups and time series.</w:t>
            </w:r>
          </w:p>
        </w:tc>
      </w:tr>
      <w:tr>
        <w:tc>
          <w:tcPr>
            <w:tcW w:type="dxa" w:w="2592"/>
            <w:vAlign w:val="center"/>
            <w:tcMar>
              <w:top w:w="80" w:type="dxa"/>
              <w:start w:w="95" w:type="dxa"/>
              <w:bottom w:w="80" w:type="dxa"/>
              <w:end w:w="95" w:type="dxa"/>
            </w:tcMar>
            <w:shd w:fill="F3F6F8"/>
          </w:tcPr>
          <w:p>
            <w:pPr>
              <w:spacing w:after="0"/>
            </w:pPr>
            <w:r>
              <w:rPr>
                <w:b/>
                <w:color w:val="0B6B69"/>
                <w:sz w:val="16"/>
              </w:rPr>
              <w:t>5. Operational reliability</w:t>
            </w:r>
          </w:p>
        </w:tc>
        <w:tc>
          <w:tcPr>
            <w:tcW w:type="dxa" w:w="6768"/>
            <w:vAlign w:val="center"/>
            <w:tcMar>
              <w:top w:w="80" w:type="dxa"/>
              <w:start w:w="95" w:type="dxa"/>
              <w:bottom w:w="80" w:type="dxa"/>
              <w:end w:w="95" w:type="dxa"/>
            </w:tcMar>
            <w:shd w:fill="F3F6F8"/>
          </w:tcPr>
          <w:p>
            <w:pPr>
              <w:spacing w:after="0"/>
            </w:pPr>
            <w:r>
              <w:rPr>
                <w:sz w:val="16"/>
              </w:rPr>
              <w:t>Version control, documentation, continuity, fallback and maintainability.</w:t>
            </w:r>
          </w:p>
        </w:tc>
      </w:tr>
      <w:tr>
        <w:tc>
          <w:tcPr>
            <w:tcW w:type="dxa" w:w="2592"/>
            <w:vAlign w:val="center"/>
            <w:tcMar>
              <w:top w:w="80" w:type="dxa"/>
              <w:start w:w="95" w:type="dxa"/>
              <w:bottom w:w="80" w:type="dxa"/>
              <w:end w:w="95" w:type="dxa"/>
            </w:tcMar>
          </w:tcPr>
          <w:p>
            <w:pPr>
              <w:spacing w:after="0"/>
            </w:pPr>
            <w:r>
              <w:rPr>
                <w:b/>
                <w:color w:val="0B6B69"/>
                <w:sz w:val="16"/>
              </w:rPr>
              <w:t>6. Governance and trust</w:t>
            </w:r>
          </w:p>
        </w:tc>
        <w:tc>
          <w:tcPr>
            <w:tcW w:type="dxa" w:w="6768"/>
            <w:vAlign w:val="center"/>
            <w:tcMar>
              <w:top w:w="80" w:type="dxa"/>
              <w:start w:w="95" w:type="dxa"/>
              <w:bottom w:w="80" w:type="dxa"/>
              <w:end w:w="95" w:type="dxa"/>
            </w:tcMar>
          </w:tcPr>
          <w:p>
            <w:pPr>
              <w:spacing w:after="0"/>
            </w:pPr>
            <w:r>
              <w:rPr>
                <w:sz w:val="16"/>
              </w:rPr>
              <w:t>Confidentiality, transparency, accountability and public defensibility.</w:t>
            </w:r>
          </w:p>
        </w:tc>
      </w:tr>
      <w:tr>
        <w:tc>
          <w:tcPr>
            <w:tcW w:type="dxa" w:w="2592"/>
            <w:vAlign w:val="center"/>
            <w:tcMar>
              <w:top w:w="80" w:type="dxa"/>
              <w:start w:w="95" w:type="dxa"/>
              <w:bottom w:w="80" w:type="dxa"/>
              <w:end w:w="95" w:type="dxa"/>
            </w:tcMar>
            <w:shd w:fill="F3F6F8"/>
          </w:tcPr>
          <w:p>
            <w:pPr>
              <w:spacing w:after="0"/>
            </w:pPr>
            <w:r>
              <w:rPr>
                <w:b/>
                <w:color w:val="0B6B69"/>
                <w:sz w:val="16"/>
              </w:rPr>
              <w:t>7. Fitness decision</w:t>
            </w:r>
          </w:p>
        </w:tc>
        <w:tc>
          <w:tcPr>
            <w:tcW w:type="dxa" w:w="6768"/>
            <w:vAlign w:val="center"/>
            <w:tcMar>
              <w:top w:w="80" w:type="dxa"/>
              <w:start w:w="95" w:type="dxa"/>
              <w:bottom w:w="80" w:type="dxa"/>
              <w:end w:w="95" w:type="dxa"/>
            </w:tcMar>
            <w:shd w:fill="F3F6F8"/>
          </w:tcPr>
          <w:p>
            <w:pPr>
              <w:spacing w:after="0"/>
            </w:pPr>
            <w:r>
              <w:rPr>
                <w:sz w:val="16"/>
              </w:rPr>
              <w:t>Unsuitable; experimental only; suitable with review; or approved for controlled production.</w:t>
            </w:r>
          </w:p>
        </w:tc>
      </w:tr>
    </w:tbl>
    <w:p>
      <w:pPr>
        <w:spacing w:after="0"/>
      </w:pPr>
    </w:p>
    <w:p>
      <w:pPr>
        <w:pStyle w:val="Heading2"/>
      </w:pPr>
      <w:r>
        <w:t>17. Quality trade-offs</w:t>
      </w:r>
    </w:p>
    <w:p>
      <w:pPr>
        <w:pStyle w:val="ListBullet"/>
        <w:spacing w:after="50"/>
      </w:pPr>
      <w:r>
        <w:t>Faster production can reduce time available for validation.</w:t>
      </w:r>
    </w:p>
    <w:p>
      <w:pPr>
        <w:pStyle w:val="ListBullet"/>
        <w:spacing w:after="50"/>
      </w:pPr>
      <w:r>
        <w:t>Greater geographic detail may increase sampling error or disclosure risk.</w:t>
      </w:r>
    </w:p>
    <w:p>
      <w:pPr>
        <w:pStyle w:val="ListBullet"/>
        <w:spacing w:after="50"/>
      </w:pPr>
      <w:r>
        <w:t>Administrative reuse can lower cost and respondent burden while weakening control over definitions.</w:t>
      </w:r>
    </w:p>
    <w:p>
      <w:pPr>
        <w:pStyle w:val="ListBullet"/>
        <w:spacing w:after="50"/>
      </w:pPr>
      <w:r>
        <w:t>Complex models can improve prediction while weakening interpretability and maintainability.</w:t>
      </w:r>
    </w:p>
    <w:p>
      <w:pPr>
        <w:pStyle w:val="ListBullet"/>
        <w:spacing w:after="50"/>
      </w:pPr>
      <w:r>
        <w:t>Extensive human review can improve reliability while reducing timeliness and cost-effectiveness.</w:t>
      </w:r>
    </w:p>
    <w:p>
      <w:r>
        <w:t>The programme will teach participants to identify, quantify and document these trade-offs rather than presenting AI adoption as an unqualified improvement.</w:t>
      </w:r>
    </w:p>
    <w:p>
      <w:r>
        <w:br w:type="page"/>
      </w:r>
    </w:p>
    <w:p>
      <w:pPr>
        <w:pStyle w:val="Heading1"/>
      </w:pPr>
      <w:r>
        <w:t>Part V. Institutions, National Statistical Systems and maturity</w:t>
      </w:r>
    </w:p>
    <w:p>
      <w:pPr>
        <w:pStyle w:val="Heading2"/>
      </w:pPr>
      <w:r>
        <w:t>18. Institutional diversity</w:t>
      </w:r>
    </w:p>
    <w:p>
      <w:r>
        <w:t>Countries differ in statistical legislation, coordination, human resources, infrastructure, financing, data access and production maturity. Systems also range from centralized arrangements to decentralized structures in which ministries, central banks and other agencies produce substantial official statistics.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6"/>
              </w:rPr>
              <w:t>Context</w:t>
            </w:r>
          </w:p>
        </w:tc>
        <w:tc>
          <w:tcPr>
            <w:tcW w:type="dxa" w:w="3331"/>
            <w:shd w:fill="17324D"/>
            <w:tcMar>
              <w:top w:w="90" w:type="dxa"/>
              <w:start w:w="100" w:type="dxa"/>
              <w:bottom w:w="90" w:type="dxa"/>
              <w:end w:w="100" w:type="dxa"/>
            </w:tcMar>
          </w:tcPr>
          <w:p>
            <w:pPr>
              <w:spacing w:after="0"/>
            </w:pPr>
            <w:r>
              <w:rPr>
                <w:b/>
                <w:color w:val="FFFFFF"/>
                <w:sz w:val="16"/>
              </w:rPr>
              <w:t>Potential strengths</w:t>
            </w:r>
          </w:p>
        </w:tc>
        <w:tc>
          <w:tcPr>
            <w:tcW w:type="dxa" w:w="3331"/>
            <w:shd w:fill="17324D"/>
            <w:tcMar>
              <w:top w:w="90" w:type="dxa"/>
              <w:start w:w="100" w:type="dxa"/>
              <w:bottom w:w="90" w:type="dxa"/>
              <w:end w:w="100" w:type="dxa"/>
            </w:tcMar>
          </w:tcPr>
          <w:p>
            <w:pPr>
              <w:spacing w:after="0"/>
            </w:pPr>
            <w:r>
              <w:rPr>
                <w:b/>
                <w:color w:val="FFFFFF"/>
                <w:sz w:val="16"/>
              </w:rPr>
              <w:t>Principal AI risks</w:t>
            </w:r>
          </w:p>
        </w:tc>
      </w:tr>
      <w:tr>
        <w:tc>
          <w:tcPr>
            <w:tcW w:type="dxa" w:w="2088"/>
            <w:vAlign w:val="center"/>
            <w:tcMar>
              <w:top w:w="80" w:type="dxa"/>
              <w:start w:w="95" w:type="dxa"/>
              <w:bottom w:w="80" w:type="dxa"/>
              <w:end w:w="95" w:type="dxa"/>
            </w:tcMar>
            <w:shd w:fill="F3F6F8"/>
          </w:tcPr>
          <w:p>
            <w:pPr>
              <w:spacing w:after="0"/>
            </w:pPr>
            <w:r>
              <w:rPr>
                <w:b/>
                <w:color w:val="0B6B69"/>
                <w:sz w:val="16"/>
              </w:rPr>
              <w:t>More centralized</w:t>
            </w:r>
          </w:p>
        </w:tc>
        <w:tc>
          <w:tcPr>
            <w:tcW w:type="dxa" w:w="3672"/>
            <w:vAlign w:val="center"/>
            <w:tcMar>
              <w:top w:w="80" w:type="dxa"/>
              <w:start w:w="95" w:type="dxa"/>
              <w:bottom w:w="80" w:type="dxa"/>
              <w:end w:w="95" w:type="dxa"/>
            </w:tcMar>
            <w:shd w:fill="F3F6F8"/>
          </w:tcPr>
          <w:p>
            <w:pPr>
              <w:spacing w:after="0"/>
            </w:pPr>
            <w:r>
              <w:rPr>
                <w:sz w:val="16"/>
              </w:rPr>
              <w:t>Shared infrastructure, methods, security, licenses and training.</w:t>
            </w:r>
          </w:p>
        </w:tc>
        <w:tc>
          <w:tcPr>
            <w:tcW w:type="dxa" w:w="3600"/>
            <w:vAlign w:val="center"/>
            <w:tcMar>
              <w:top w:w="80" w:type="dxa"/>
              <w:start w:w="95" w:type="dxa"/>
              <w:bottom w:w="80" w:type="dxa"/>
              <w:end w:w="95" w:type="dxa"/>
            </w:tcMar>
            <w:shd w:fill="F3F6F8"/>
          </w:tcPr>
          <w:p>
            <w:pPr>
              <w:spacing w:after="0"/>
            </w:pPr>
            <w:r>
              <w:rPr>
                <w:sz w:val="16"/>
              </w:rPr>
              <w:t>Central bottlenecks, limited sector ownership and dependence on one team.</w:t>
            </w:r>
          </w:p>
        </w:tc>
      </w:tr>
      <w:tr>
        <w:tc>
          <w:tcPr>
            <w:tcW w:type="dxa" w:w="2088"/>
            <w:vAlign w:val="center"/>
            <w:tcMar>
              <w:top w:w="80" w:type="dxa"/>
              <w:start w:w="95" w:type="dxa"/>
              <w:bottom w:w="80" w:type="dxa"/>
              <w:end w:w="95" w:type="dxa"/>
            </w:tcMar>
          </w:tcPr>
          <w:p>
            <w:pPr>
              <w:spacing w:after="0"/>
            </w:pPr>
            <w:r>
              <w:rPr>
                <w:b/>
                <w:color w:val="0B6B69"/>
                <w:sz w:val="16"/>
              </w:rPr>
              <w:t>More decentralized</w:t>
            </w:r>
          </w:p>
        </w:tc>
        <w:tc>
          <w:tcPr>
            <w:tcW w:type="dxa" w:w="3672"/>
            <w:vAlign w:val="center"/>
            <w:tcMar>
              <w:top w:w="80" w:type="dxa"/>
              <w:start w:w="95" w:type="dxa"/>
              <w:bottom w:w="80" w:type="dxa"/>
              <w:end w:w="95" w:type="dxa"/>
            </w:tcMar>
          </w:tcPr>
          <w:p>
            <w:pPr>
              <w:spacing w:after="0"/>
            </w:pPr>
            <w:r>
              <w:rPr>
                <w:sz w:val="16"/>
              </w:rPr>
              <w:t>Strong subject expertise, proximity to administrative systems and local innovation.</w:t>
            </w:r>
          </w:p>
        </w:tc>
        <w:tc>
          <w:tcPr>
            <w:tcW w:type="dxa" w:w="3600"/>
            <w:vAlign w:val="center"/>
            <w:tcMar>
              <w:top w:w="80" w:type="dxa"/>
              <w:start w:w="95" w:type="dxa"/>
              <w:bottom w:w="80" w:type="dxa"/>
              <w:end w:w="95" w:type="dxa"/>
            </w:tcMar>
          </w:tcPr>
          <w:p>
            <w:pPr>
              <w:spacing w:after="0"/>
            </w:pPr>
            <w:r>
              <w:rPr>
                <w:sz w:val="16"/>
              </w:rPr>
              <w:t>Fragmented tools, inconsistent methods, duplication and uneven controls.</w:t>
            </w:r>
          </w:p>
        </w:tc>
      </w:tr>
      <w:tr>
        <w:tc>
          <w:tcPr>
            <w:tcW w:type="dxa" w:w="2088"/>
            <w:vAlign w:val="center"/>
            <w:tcMar>
              <w:top w:w="80" w:type="dxa"/>
              <w:start w:w="95" w:type="dxa"/>
              <w:bottom w:w="80" w:type="dxa"/>
              <w:end w:w="95" w:type="dxa"/>
            </w:tcMar>
            <w:shd w:fill="F3F6F8"/>
          </w:tcPr>
          <w:p>
            <w:pPr>
              <w:spacing w:after="0"/>
            </w:pPr>
            <w:r>
              <w:rPr>
                <w:b/>
                <w:color w:val="0B6B69"/>
                <w:sz w:val="16"/>
              </w:rPr>
              <w:t>Resource-rich</w:t>
            </w:r>
          </w:p>
        </w:tc>
        <w:tc>
          <w:tcPr>
            <w:tcW w:type="dxa" w:w="3672"/>
            <w:vAlign w:val="center"/>
            <w:tcMar>
              <w:top w:w="80" w:type="dxa"/>
              <w:start w:w="95" w:type="dxa"/>
              <w:bottom w:w="80" w:type="dxa"/>
              <w:end w:w="95" w:type="dxa"/>
            </w:tcMar>
            <w:shd w:fill="F3F6F8"/>
          </w:tcPr>
          <w:p>
            <w:pPr>
              <w:spacing w:after="0"/>
            </w:pPr>
            <w:r>
              <w:rPr>
                <w:sz w:val="16"/>
              </w:rPr>
              <w:t>Specialists, secure computing, registers, partnerships and research capacity.</w:t>
            </w:r>
          </w:p>
        </w:tc>
        <w:tc>
          <w:tcPr>
            <w:tcW w:type="dxa" w:w="3600"/>
            <w:vAlign w:val="center"/>
            <w:tcMar>
              <w:top w:w="80" w:type="dxa"/>
              <w:start w:w="95" w:type="dxa"/>
              <w:bottom w:w="80" w:type="dxa"/>
              <w:end w:w="95" w:type="dxa"/>
            </w:tcMar>
            <w:shd w:fill="F3F6F8"/>
          </w:tcPr>
          <w:p>
            <w:pPr>
              <w:spacing w:after="0"/>
            </w:pPr>
            <w:r>
              <w:rPr>
                <w:sz w:val="16"/>
              </w:rPr>
              <w:t>Complexity, high-cost dependency and proliferation of pilots.</w:t>
            </w:r>
          </w:p>
        </w:tc>
      </w:tr>
      <w:tr>
        <w:tc>
          <w:tcPr>
            <w:tcW w:type="dxa" w:w="2088"/>
            <w:vAlign w:val="center"/>
            <w:tcMar>
              <w:top w:w="80" w:type="dxa"/>
              <w:start w:w="95" w:type="dxa"/>
              <w:bottom w:w="80" w:type="dxa"/>
              <w:end w:w="95" w:type="dxa"/>
            </w:tcMar>
          </w:tcPr>
          <w:p>
            <w:pPr>
              <w:spacing w:after="0"/>
            </w:pPr>
            <w:r>
              <w:rPr>
                <w:b/>
                <w:color w:val="0B6B69"/>
                <w:sz w:val="16"/>
              </w:rPr>
              <w:t>Resource-constrained</w:t>
            </w:r>
          </w:p>
        </w:tc>
        <w:tc>
          <w:tcPr>
            <w:tcW w:type="dxa" w:w="3672"/>
            <w:vAlign w:val="center"/>
            <w:tcMar>
              <w:top w:w="80" w:type="dxa"/>
              <w:start w:w="95" w:type="dxa"/>
              <w:bottom w:w="80" w:type="dxa"/>
              <w:end w:w="95" w:type="dxa"/>
            </w:tcMar>
          </w:tcPr>
          <w:p>
            <w:pPr>
              <w:spacing w:after="0"/>
            </w:pPr>
            <w:r>
              <w:rPr>
                <w:sz w:val="16"/>
              </w:rPr>
              <w:t>Strong incentives to reduce repetitive work and leapfrog obsolete processes.</w:t>
            </w:r>
          </w:p>
        </w:tc>
        <w:tc>
          <w:tcPr>
            <w:tcW w:type="dxa" w:w="3600"/>
            <w:vAlign w:val="center"/>
            <w:tcMar>
              <w:top w:w="80" w:type="dxa"/>
              <w:start w:w="95" w:type="dxa"/>
              <w:bottom w:w="80" w:type="dxa"/>
              <w:end w:w="95" w:type="dxa"/>
            </w:tcMar>
          </w:tcPr>
          <w:p>
            <w:pPr>
              <w:spacing w:after="0"/>
            </w:pPr>
            <w:r>
              <w:rPr>
                <w:sz w:val="16"/>
              </w:rPr>
              <w:t>Infrastructure gaps, staff loss, weak governance, donor dependence and unsustainable systems.</w:t>
            </w:r>
          </w:p>
        </w:tc>
      </w:tr>
    </w:tbl>
    <w:p>
      <w:pPr>
        <w:spacing w:after="0"/>
      </w:pPr>
    </w:p>
    <w:p>
      <w:pPr>
        <w:pStyle w:val="Heading2"/>
      </w:pPr>
      <w:r>
        <w:t>19. Institutional readiness capabilities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Capability</w:t>
            </w:r>
          </w:p>
        </w:tc>
        <w:tc>
          <w:tcPr>
            <w:tcW w:type="dxa" w:w="4997"/>
            <w:shd w:fill="17324D"/>
            <w:tcMar>
              <w:top w:w="90" w:type="dxa"/>
              <w:start w:w="100" w:type="dxa"/>
              <w:bottom w:w="90" w:type="dxa"/>
              <w:end w:w="100" w:type="dxa"/>
            </w:tcMar>
          </w:tcPr>
          <w:p>
            <w:pPr>
              <w:spacing w:after="0"/>
            </w:pPr>
            <w:r>
              <w:rPr>
                <w:b/>
                <w:color w:val="FFFFFF"/>
                <w:sz w:val="16"/>
              </w:rPr>
              <w:t>Assessment focus</w:t>
            </w:r>
          </w:p>
        </w:tc>
      </w:tr>
      <w:tr>
        <w:tc>
          <w:tcPr>
            <w:tcW w:type="dxa" w:w="2520"/>
            <w:vAlign w:val="center"/>
            <w:tcMar>
              <w:top w:w="80" w:type="dxa"/>
              <w:start w:w="95" w:type="dxa"/>
              <w:bottom w:w="80" w:type="dxa"/>
              <w:end w:w="95" w:type="dxa"/>
            </w:tcMar>
            <w:shd w:fill="F3F6F8"/>
          </w:tcPr>
          <w:p>
            <w:pPr>
              <w:spacing w:after="0"/>
            </w:pPr>
            <w:r>
              <w:rPr>
                <w:b/>
                <w:color w:val="0B6B69"/>
                <w:sz w:val="16"/>
              </w:rPr>
              <w:t>Legal framework</w:t>
            </w:r>
          </w:p>
        </w:tc>
        <w:tc>
          <w:tcPr>
            <w:tcW w:type="dxa" w:w="6840"/>
            <w:vAlign w:val="center"/>
            <w:tcMar>
              <w:top w:w="80" w:type="dxa"/>
              <w:start w:w="95" w:type="dxa"/>
              <w:bottom w:w="80" w:type="dxa"/>
              <w:end w:w="95" w:type="dxa"/>
            </w:tcMar>
            <w:shd w:fill="F3F6F8"/>
          </w:tcPr>
          <w:p>
            <w:pPr>
              <w:spacing w:after="0"/>
            </w:pPr>
            <w:r>
              <w:rPr>
                <w:sz w:val="16"/>
              </w:rPr>
              <w:t>Data access, linkage, confidentiality, accountability and lawful AI use.</w:t>
            </w:r>
          </w:p>
        </w:tc>
      </w:tr>
      <w:tr>
        <w:tc>
          <w:tcPr>
            <w:tcW w:type="dxa" w:w="2520"/>
            <w:vAlign w:val="center"/>
            <w:tcMar>
              <w:top w:w="80" w:type="dxa"/>
              <w:start w:w="95" w:type="dxa"/>
              <w:bottom w:w="80" w:type="dxa"/>
              <w:end w:w="95" w:type="dxa"/>
            </w:tcMar>
          </w:tcPr>
          <w:p>
            <w:pPr>
              <w:spacing w:after="0"/>
            </w:pPr>
            <w:r>
              <w:rPr>
                <w:b/>
                <w:color w:val="0B6B69"/>
                <w:sz w:val="16"/>
              </w:rPr>
              <w:t>Leadership and coordination</w:t>
            </w:r>
          </w:p>
        </w:tc>
        <w:tc>
          <w:tcPr>
            <w:tcW w:type="dxa" w:w="6840"/>
            <w:vAlign w:val="center"/>
            <w:tcMar>
              <w:top w:w="80" w:type="dxa"/>
              <w:start w:w="95" w:type="dxa"/>
              <w:bottom w:w="80" w:type="dxa"/>
              <w:end w:w="95" w:type="dxa"/>
            </w:tcMar>
          </w:tcPr>
          <w:p>
            <w:pPr>
              <w:spacing w:after="0"/>
            </w:pPr>
            <w:r>
              <w:rPr>
                <w:sz w:val="16"/>
              </w:rPr>
              <w:t>Senior ownership, NSS roles, decision rights and common priorities.</w:t>
            </w:r>
          </w:p>
        </w:tc>
      </w:tr>
      <w:tr>
        <w:tc>
          <w:tcPr>
            <w:tcW w:type="dxa" w:w="2520"/>
            <w:vAlign w:val="center"/>
            <w:tcMar>
              <w:top w:w="80" w:type="dxa"/>
              <w:start w:w="95" w:type="dxa"/>
              <w:bottom w:w="80" w:type="dxa"/>
              <w:end w:w="95" w:type="dxa"/>
            </w:tcMar>
            <w:shd w:fill="F3F6F8"/>
          </w:tcPr>
          <w:p>
            <w:pPr>
              <w:spacing w:after="0"/>
            </w:pPr>
            <w:r>
              <w:rPr>
                <w:b/>
                <w:color w:val="0B6B69"/>
                <w:sz w:val="16"/>
              </w:rPr>
              <w:t>Data governance</w:t>
            </w:r>
          </w:p>
        </w:tc>
        <w:tc>
          <w:tcPr>
            <w:tcW w:type="dxa" w:w="6840"/>
            <w:vAlign w:val="center"/>
            <w:tcMar>
              <w:top w:w="80" w:type="dxa"/>
              <w:start w:w="95" w:type="dxa"/>
              <w:bottom w:w="80" w:type="dxa"/>
              <w:end w:w="95" w:type="dxa"/>
            </w:tcMar>
            <w:shd w:fill="F3F6F8"/>
          </w:tcPr>
          <w:p>
            <w:pPr>
              <w:spacing w:after="0"/>
            </w:pPr>
            <w:r>
              <w:rPr>
                <w:sz w:val="16"/>
              </w:rPr>
              <w:t>Ownership, classification, access, retention and permitted use.</w:t>
            </w:r>
          </w:p>
        </w:tc>
      </w:tr>
      <w:tr>
        <w:tc>
          <w:tcPr>
            <w:tcW w:type="dxa" w:w="2520"/>
            <w:vAlign w:val="center"/>
            <w:tcMar>
              <w:top w:w="80" w:type="dxa"/>
              <w:start w:w="95" w:type="dxa"/>
              <w:bottom w:w="80" w:type="dxa"/>
              <w:end w:w="95" w:type="dxa"/>
            </w:tcMar>
          </w:tcPr>
          <w:p>
            <w:pPr>
              <w:spacing w:after="0"/>
            </w:pPr>
            <w:r>
              <w:rPr>
                <w:b/>
                <w:color w:val="0B6B69"/>
                <w:sz w:val="16"/>
              </w:rPr>
              <w:t>Human resources</w:t>
            </w:r>
          </w:p>
        </w:tc>
        <w:tc>
          <w:tcPr>
            <w:tcW w:type="dxa" w:w="6840"/>
            <w:vAlign w:val="center"/>
            <w:tcMar>
              <w:top w:w="80" w:type="dxa"/>
              <w:start w:w="95" w:type="dxa"/>
              <w:bottom w:w="80" w:type="dxa"/>
              <w:end w:w="95" w:type="dxa"/>
            </w:tcMar>
          </w:tcPr>
          <w:p>
            <w:pPr>
              <w:spacing w:after="0"/>
            </w:pPr>
            <w:r>
              <w:rPr>
                <w:sz w:val="16"/>
              </w:rPr>
              <w:t>Statistical, domain, technical, legal and managerial competencies.</w:t>
            </w:r>
          </w:p>
        </w:tc>
      </w:tr>
      <w:tr>
        <w:tc>
          <w:tcPr>
            <w:tcW w:type="dxa" w:w="2520"/>
            <w:vAlign w:val="center"/>
            <w:tcMar>
              <w:top w:w="80" w:type="dxa"/>
              <w:start w:w="95" w:type="dxa"/>
              <w:bottom w:w="80" w:type="dxa"/>
              <w:end w:w="95" w:type="dxa"/>
            </w:tcMar>
            <w:shd w:fill="F3F6F8"/>
          </w:tcPr>
          <w:p>
            <w:pPr>
              <w:spacing w:after="0"/>
            </w:pPr>
            <w:r>
              <w:rPr>
                <w:b/>
                <w:color w:val="0B6B69"/>
                <w:sz w:val="16"/>
              </w:rPr>
              <w:t>Infrastructure and security</w:t>
            </w:r>
          </w:p>
        </w:tc>
        <w:tc>
          <w:tcPr>
            <w:tcW w:type="dxa" w:w="6840"/>
            <w:vAlign w:val="center"/>
            <w:tcMar>
              <w:top w:w="80" w:type="dxa"/>
              <w:start w:w="95" w:type="dxa"/>
              <w:bottom w:w="80" w:type="dxa"/>
              <w:end w:w="95" w:type="dxa"/>
            </w:tcMar>
            <w:shd w:fill="F3F6F8"/>
          </w:tcPr>
          <w:p>
            <w:pPr>
              <w:spacing w:after="0"/>
            </w:pPr>
            <w:r>
              <w:rPr>
                <w:sz w:val="16"/>
              </w:rPr>
              <w:t>Computing, connectivity, storage, identity, monitoring and continuity.</w:t>
            </w:r>
          </w:p>
        </w:tc>
      </w:tr>
      <w:tr>
        <w:tc>
          <w:tcPr>
            <w:tcW w:type="dxa" w:w="2520"/>
            <w:vAlign w:val="center"/>
            <w:tcMar>
              <w:top w:w="80" w:type="dxa"/>
              <w:start w:w="95" w:type="dxa"/>
              <w:bottom w:w="80" w:type="dxa"/>
              <w:end w:w="95" w:type="dxa"/>
            </w:tcMar>
          </w:tcPr>
          <w:p>
            <w:pPr>
              <w:spacing w:after="0"/>
            </w:pPr>
            <w:r>
              <w:rPr>
                <w:b/>
                <w:color w:val="0B6B69"/>
                <w:sz w:val="16"/>
              </w:rPr>
              <w:t>Methods and quality</w:t>
            </w:r>
          </w:p>
        </w:tc>
        <w:tc>
          <w:tcPr>
            <w:tcW w:type="dxa" w:w="6840"/>
            <w:vAlign w:val="center"/>
            <w:tcMar>
              <w:top w:w="80" w:type="dxa"/>
              <w:start w:w="95" w:type="dxa"/>
              <w:bottom w:w="80" w:type="dxa"/>
              <w:end w:w="95" w:type="dxa"/>
            </w:tcMar>
          </w:tcPr>
          <w:p>
            <w:pPr>
              <w:spacing w:after="0"/>
            </w:pPr>
            <w:r>
              <w:rPr>
                <w:sz w:val="16"/>
              </w:rPr>
              <w:t>Ability to evaluate AI against accepted statistical methods.</w:t>
            </w:r>
          </w:p>
        </w:tc>
      </w:tr>
      <w:tr>
        <w:tc>
          <w:tcPr>
            <w:tcW w:type="dxa" w:w="2520"/>
            <w:vAlign w:val="center"/>
            <w:tcMar>
              <w:top w:w="80" w:type="dxa"/>
              <w:start w:w="95" w:type="dxa"/>
              <w:bottom w:w="80" w:type="dxa"/>
              <w:end w:w="95" w:type="dxa"/>
            </w:tcMar>
            <w:shd w:fill="F3F6F8"/>
          </w:tcPr>
          <w:p>
            <w:pPr>
              <w:spacing w:after="0"/>
            </w:pPr>
            <w:r>
              <w:rPr>
                <w:b/>
                <w:color w:val="0B6B69"/>
                <w:sz w:val="16"/>
              </w:rPr>
              <w:t>Standards and metadata</w:t>
            </w:r>
          </w:p>
        </w:tc>
        <w:tc>
          <w:tcPr>
            <w:tcW w:type="dxa" w:w="6840"/>
            <w:vAlign w:val="center"/>
            <w:tcMar>
              <w:top w:w="80" w:type="dxa"/>
              <w:start w:w="95" w:type="dxa"/>
              <w:bottom w:w="80" w:type="dxa"/>
              <w:end w:w="95" w:type="dxa"/>
            </w:tcMar>
            <w:shd w:fill="F3F6F8"/>
          </w:tcPr>
          <w:p>
            <w:pPr>
              <w:spacing w:after="0"/>
            </w:pPr>
            <w:r>
              <w:rPr>
                <w:sz w:val="16"/>
              </w:rPr>
              <w:t>Shared concepts, classifications, identifiers and documentation.</w:t>
            </w:r>
          </w:p>
        </w:tc>
      </w:tr>
      <w:tr>
        <w:tc>
          <w:tcPr>
            <w:tcW w:type="dxa" w:w="2520"/>
            <w:vAlign w:val="center"/>
            <w:tcMar>
              <w:top w:w="80" w:type="dxa"/>
              <w:start w:w="95" w:type="dxa"/>
              <w:bottom w:w="80" w:type="dxa"/>
              <w:end w:w="95" w:type="dxa"/>
            </w:tcMar>
          </w:tcPr>
          <w:p>
            <w:pPr>
              <w:spacing w:after="0"/>
            </w:pPr>
            <w:r>
              <w:rPr>
                <w:b/>
                <w:color w:val="0B6B69"/>
                <w:sz w:val="16"/>
              </w:rPr>
              <w:t>Financing and procurement</w:t>
            </w:r>
          </w:p>
        </w:tc>
        <w:tc>
          <w:tcPr>
            <w:tcW w:type="dxa" w:w="6840"/>
            <w:vAlign w:val="center"/>
            <w:tcMar>
              <w:top w:w="80" w:type="dxa"/>
              <w:start w:w="95" w:type="dxa"/>
              <w:bottom w:w="80" w:type="dxa"/>
              <w:end w:w="95" w:type="dxa"/>
            </w:tcMar>
          </w:tcPr>
          <w:p>
            <w:pPr>
              <w:spacing w:after="0"/>
            </w:pPr>
            <w:r>
              <w:rPr>
                <w:sz w:val="16"/>
              </w:rPr>
              <w:t>Affordable recurrent costs, vendor assessment and avoidance of lock-in.</w:t>
            </w:r>
          </w:p>
        </w:tc>
      </w:tr>
      <w:tr>
        <w:tc>
          <w:tcPr>
            <w:tcW w:type="dxa" w:w="2520"/>
            <w:vAlign w:val="center"/>
            <w:tcMar>
              <w:top w:w="80" w:type="dxa"/>
              <w:start w:w="95" w:type="dxa"/>
              <w:bottom w:w="80" w:type="dxa"/>
              <w:end w:w="95" w:type="dxa"/>
            </w:tcMar>
            <w:shd w:fill="F3F6F8"/>
          </w:tcPr>
          <w:p>
            <w:pPr>
              <w:spacing w:after="0"/>
            </w:pPr>
            <w:r>
              <w:rPr>
                <w:b/>
                <w:color w:val="0B6B69"/>
                <w:sz w:val="16"/>
              </w:rPr>
              <w:t>Partnerships and trust</w:t>
            </w:r>
          </w:p>
        </w:tc>
        <w:tc>
          <w:tcPr>
            <w:tcW w:type="dxa" w:w="6840"/>
            <w:vAlign w:val="center"/>
            <w:tcMar>
              <w:top w:w="80" w:type="dxa"/>
              <w:start w:w="95" w:type="dxa"/>
              <w:bottom w:w="80" w:type="dxa"/>
              <w:end w:w="95" w:type="dxa"/>
            </w:tcMar>
            <w:shd w:fill="F3F6F8"/>
          </w:tcPr>
          <w:p>
            <w:pPr>
              <w:spacing w:after="0"/>
            </w:pPr>
            <w:r>
              <w:rPr>
                <w:sz w:val="16"/>
              </w:rPr>
              <w:t>Governed collaboration, public communication and incident response.</w:t>
            </w:r>
          </w:p>
        </w:tc>
      </w:tr>
    </w:tbl>
    <w:p>
      <w:pPr>
        <w:spacing w:after="0"/>
      </w:pPr>
    </w:p>
    <w:p>
      <w:r>
        <w:br w:type="page"/>
      </w:r>
    </w:p>
    <w:p>
      <w:pPr>
        <w:pStyle w:val="Heading2"/>
      </w:pPr>
      <w:r>
        <w:t>20. NSS AI maturity model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5"/>
              </w:rPr>
              <w:t>Level</w:t>
            </w:r>
          </w:p>
        </w:tc>
        <w:tc>
          <w:tcPr>
            <w:tcW w:type="dxa" w:w="3331"/>
            <w:shd w:fill="17324D"/>
            <w:tcMar>
              <w:top w:w="90" w:type="dxa"/>
              <w:start w:w="100" w:type="dxa"/>
              <w:bottom w:w="90" w:type="dxa"/>
              <w:end w:w="100" w:type="dxa"/>
            </w:tcMar>
          </w:tcPr>
          <w:p>
            <w:pPr>
              <w:spacing w:after="0"/>
            </w:pPr>
            <w:r>
              <w:rPr>
                <w:b/>
                <w:color w:val="FFFFFF"/>
                <w:sz w:val="15"/>
              </w:rPr>
              <w:t>Institutional condition</w:t>
            </w:r>
          </w:p>
        </w:tc>
        <w:tc>
          <w:tcPr>
            <w:tcW w:type="dxa" w:w="3331"/>
            <w:shd w:fill="17324D"/>
            <w:tcMar>
              <w:top w:w="90" w:type="dxa"/>
              <w:start w:w="100" w:type="dxa"/>
              <w:bottom w:w="90" w:type="dxa"/>
              <w:end w:w="100" w:type="dxa"/>
            </w:tcMar>
          </w:tcPr>
          <w:p>
            <w:pPr>
              <w:spacing w:after="0"/>
            </w:pPr>
            <w:r>
              <w:rPr>
                <w:b/>
                <w:color w:val="FFFFFF"/>
                <w:sz w:val="15"/>
              </w:rPr>
              <w:t>Appropriate programme emphasis</w:t>
            </w:r>
          </w:p>
        </w:tc>
      </w:tr>
      <w:tr>
        <w:tc>
          <w:tcPr>
            <w:tcW w:type="dxa" w:w="1800"/>
            <w:vAlign w:val="center"/>
            <w:tcMar>
              <w:top w:w="80" w:type="dxa"/>
              <w:start w:w="95" w:type="dxa"/>
              <w:bottom w:w="80" w:type="dxa"/>
              <w:end w:w="95" w:type="dxa"/>
            </w:tcMar>
            <w:shd w:fill="F3F6F8"/>
          </w:tcPr>
          <w:p>
            <w:pPr>
              <w:spacing w:after="0"/>
            </w:pPr>
            <w:r>
              <w:rPr>
                <w:b/>
                <w:color w:val="0B6B69"/>
                <w:sz w:val="15"/>
              </w:rPr>
              <w:t>0. Unprepared</w:t>
            </w:r>
          </w:p>
        </w:tc>
        <w:tc>
          <w:tcPr>
            <w:tcW w:type="dxa" w:w="3816"/>
            <w:vAlign w:val="center"/>
            <w:tcMar>
              <w:top w:w="80" w:type="dxa"/>
              <w:start w:w="95" w:type="dxa"/>
              <w:bottom w:w="80" w:type="dxa"/>
              <w:end w:w="95" w:type="dxa"/>
            </w:tcMar>
            <w:shd w:fill="F3F6F8"/>
          </w:tcPr>
          <w:p>
            <w:pPr>
              <w:spacing w:after="0"/>
            </w:pPr>
            <w:r>
              <w:rPr>
                <w:sz w:val="15"/>
              </w:rPr>
              <w:t>No policy, approved tools, responsible function or secure environment.</w:t>
            </w:r>
          </w:p>
        </w:tc>
        <w:tc>
          <w:tcPr>
            <w:tcW w:type="dxa" w:w="3744"/>
            <w:vAlign w:val="center"/>
            <w:tcMar>
              <w:top w:w="80" w:type="dxa"/>
              <w:start w:w="95" w:type="dxa"/>
              <w:bottom w:w="80" w:type="dxa"/>
              <w:end w:w="95" w:type="dxa"/>
            </w:tcMar>
            <w:shd w:fill="F3F6F8"/>
          </w:tcPr>
          <w:p>
            <w:pPr>
              <w:spacing w:after="0"/>
            </w:pPr>
            <w:r>
              <w:rPr>
                <w:sz w:val="15"/>
              </w:rPr>
              <w:t>Leadership awareness, risk control, data classification and baseline assessment.</w:t>
            </w:r>
          </w:p>
        </w:tc>
      </w:tr>
      <w:tr>
        <w:tc>
          <w:tcPr>
            <w:tcW w:type="dxa" w:w="1800"/>
            <w:vAlign w:val="center"/>
            <w:tcMar>
              <w:top w:w="80" w:type="dxa"/>
              <w:start w:w="95" w:type="dxa"/>
              <w:bottom w:w="80" w:type="dxa"/>
              <w:end w:w="95" w:type="dxa"/>
            </w:tcMar>
          </w:tcPr>
          <w:p>
            <w:pPr>
              <w:spacing w:after="0"/>
            </w:pPr>
            <w:r>
              <w:rPr>
                <w:b/>
                <w:color w:val="0B6B69"/>
                <w:sz w:val="15"/>
              </w:rPr>
              <w:t>1. Aware</w:t>
            </w:r>
          </w:p>
        </w:tc>
        <w:tc>
          <w:tcPr>
            <w:tcW w:type="dxa" w:w="3816"/>
            <w:vAlign w:val="center"/>
            <w:tcMar>
              <w:top w:w="80" w:type="dxa"/>
              <w:start w:w="95" w:type="dxa"/>
              <w:bottom w:w="80" w:type="dxa"/>
              <w:end w:w="95" w:type="dxa"/>
            </w:tcMar>
          </w:tcPr>
          <w:p>
            <w:pPr>
              <w:spacing w:after="0"/>
            </w:pPr>
            <w:r>
              <w:rPr>
                <w:sz w:val="15"/>
              </w:rPr>
              <w:t>Management understands opportunities and risks; individual experimentation exists.</w:t>
            </w:r>
          </w:p>
        </w:tc>
        <w:tc>
          <w:tcPr>
            <w:tcW w:type="dxa" w:w="3744"/>
            <w:vAlign w:val="center"/>
            <w:tcMar>
              <w:top w:w="80" w:type="dxa"/>
              <w:start w:w="95" w:type="dxa"/>
              <w:bottom w:w="80" w:type="dxa"/>
              <w:end w:w="95" w:type="dxa"/>
            </w:tcMar>
          </w:tcPr>
          <w:p>
            <w:pPr>
              <w:spacing w:after="0"/>
            </w:pPr>
            <w:r>
              <w:rPr>
                <w:sz w:val="15"/>
              </w:rPr>
              <w:t>Common foundation, acceptable-use policy and low-risk practice.</w:t>
            </w:r>
          </w:p>
        </w:tc>
      </w:tr>
      <w:tr>
        <w:tc>
          <w:tcPr>
            <w:tcW w:type="dxa" w:w="1800"/>
            <w:vAlign w:val="center"/>
            <w:tcMar>
              <w:top w:w="80" w:type="dxa"/>
              <w:start w:w="95" w:type="dxa"/>
              <w:bottom w:w="80" w:type="dxa"/>
              <w:end w:w="95" w:type="dxa"/>
            </w:tcMar>
            <w:shd w:fill="F3F6F8"/>
          </w:tcPr>
          <w:p>
            <w:pPr>
              <w:spacing w:after="0"/>
            </w:pPr>
            <w:r>
              <w:rPr>
                <w:b/>
                <w:color w:val="0B6B69"/>
                <w:sz w:val="15"/>
              </w:rPr>
              <w:t>2. Controlled experimentation</w:t>
            </w:r>
          </w:p>
        </w:tc>
        <w:tc>
          <w:tcPr>
            <w:tcW w:type="dxa" w:w="3816"/>
            <w:vAlign w:val="center"/>
            <w:tcMar>
              <w:top w:w="80" w:type="dxa"/>
              <w:start w:w="95" w:type="dxa"/>
              <w:bottom w:w="80" w:type="dxa"/>
              <w:end w:w="95" w:type="dxa"/>
            </w:tcMar>
            <w:shd w:fill="F3F6F8"/>
          </w:tcPr>
          <w:p>
            <w:pPr>
              <w:spacing w:after="0"/>
            </w:pPr>
            <w:r>
              <w:rPr>
                <w:sz w:val="15"/>
              </w:rPr>
              <w:t>Approved pilots, designated responsibilities and basic controls exist.</w:t>
            </w:r>
          </w:p>
        </w:tc>
        <w:tc>
          <w:tcPr>
            <w:tcW w:type="dxa" w:w="3744"/>
            <w:vAlign w:val="center"/>
            <w:tcMar>
              <w:top w:w="80" w:type="dxa"/>
              <w:start w:w="95" w:type="dxa"/>
              <w:bottom w:w="80" w:type="dxa"/>
              <w:end w:w="95" w:type="dxa"/>
            </w:tcMar>
            <w:shd w:fill="F3F6F8"/>
          </w:tcPr>
          <w:p>
            <w:pPr>
              <w:spacing w:after="0"/>
            </w:pPr>
            <w:r>
              <w:rPr>
                <w:sz w:val="15"/>
              </w:rPr>
              <w:t>Use-case evaluation, validation protocols and multidisciplinary teams.</w:t>
            </w:r>
          </w:p>
        </w:tc>
      </w:tr>
      <w:tr>
        <w:tc>
          <w:tcPr>
            <w:tcW w:type="dxa" w:w="1800"/>
            <w:vAlign w:val="center"/>
            <w:tcMar>
              <w:top w:w="80" w:type="dxa"/>
              <w:start w:w="95" w:type="dxa"/>
              <w:bottom w:w="80" w:type="dxa"/>
              <w:end w:w="95" w:type="dxa"/>
            </w:tcMar>
          </w:tcPr>
          <w:p>
            <w:pPr>
              <w:spacing w:after="0"/>
            </w:pPr>
            <w:r>
              <w:rPr>
                <w:b/>
                <w:color w:val="0B6B69"/>
                <w:sz w:val="15"/>
              </w:rPr>
              <w:t>3. Operational adoption</w:t>
            </w:r>
          </w:p>
        </w:tc>
        <w:tc>
          <w:tcPr>
            <w:tcW w:type="dxa" w:w="3816"/>
            <w:vAlign w:val="center"/>
            <w:tcMar>
              <w:top w:w="80" w:type="dxa"/>
              <w:start w:w="95" w:type="dxa"/>
              <w:bottom w:w="80" w:type="dxa"/>
              <w:end w:w="95" w:type="dxa"/>
            </w:tcMar>
          </w:tcPr>
          <w:p>
            <w:pPr>
              <w:spacing w:after="0"/>
            </w:pPr>
            <w:r>
              <w:rPr>
                <w:sz w:val="15"/>
              </w:rPr>
              <w:t>Some validated AI-assisted processes are used regularly.</w:t>
            </w:r>
          </w:p>
        </w:tc>
        <w:tc>
          <w:tcPr>
            <w:tcW w:type="dxa" w:w="3744"/>
            <w:vAlign w:val="center"/>
            <w:tcMar>
              <w:top w:w="80" w:type="dxa"/>
              <w:start w:w="95" w:type="dxa"/>
              <w:bottom w:w="80" w:type="dxa"/>
              <w:end w:w="95" w:type="dxa"/>
            </w:tcMar>
          </w:tcPr>
          <w:p>
            <w:pPr>
              <w:spacing w:after="0"/>
            </w:pPr>
            <w:r>
              <w:rPr>
                <w:sz w:val="15"/>
              </w:rPr>
              <w:t>Workflow integration, audit, monitoring, workforce redesign and continuity.</w:t>
            </w:r>
          </w:p>
        </w:tc>
      </w:tr>
      <w:tr>
        <w:tc>
          <w:tcPr>
            <w:tcW w:type="dxa" w:w="1800"/>
            <w:vAlign w:val="center"/>
            <w:tcMar>
              <w:top w:w="80" w:type="dxa"/>
              <w:start w:w="95" w:type="dxa"/>
              <w:bottom w:w="80" w:type="dxa"/>
              <w:end w:w="95" w:type="dxa"/>
            </w:tcMar>
            <w:shd w:fill="F3F6F8"/>
          </w:tcPr>
          <w:p>
            <w:pPr>
              <w:spacing w:after="0"/>
            </w:pPr>
            <w:r>
              <w:rPr>
                <w:b/>
                <w:color w:val="0B6B69"/>
                <w:sz w:val="15"/>
              </w:rPr>
              <w:t>4. Integrated system</w:t>
            </w:r>
          </w:p>
        </w:tc>
        <w:tc>
          <w:tcPr>
            <w:tcW w:type="dxa" w:w="3816"/>
            <w:vAlign w:val="center"/>
            <w:tcMar>
              <w:top w:w="80" w:type="dxa"/>
              <w:start w:w="95" w:type="dxa"/>
              <w:bottom w:w="80" w:type="dxa"/>
              <w:end w:w="95" w:type="dxa"/>
            </w:tcMar>
            <w:shd w:fill="F3F6F8"/>
          </w:tcPr>
          <w:p>
            <w:pPr>
              <w:spacing w:after="0"/>
            </w:pPr>
            <w:r>
              <w:rPr>
                <w:sz w:val="15"/>
              </w:rPr>
              <w:t>Shared infrastructure, standards and reusable services span institutions.</w:t>
            </w:r>
          </w:p>
        </w:tc>
        <w:tc>
          <w:tcPr>
            <w:tcW w:type="dxa" w:w="3744"/>
            <w:vAlign w:val="center"/>
            <w:tcMar>
              <w:top w:w="80" w:type="dxa"/>
              <w:start w:w="95" w:type="dxa"/>
              <w:bottom w:w="80" w:type="dxa"/>
              <w:end w:w="95" w:type="dxa"/>
            </w:tcMar>
            <w:shd w:fill="F3F6F8"/>
          </w:tcPr>
          <w:p>
            <w:pPr>
              <w:spacing w:after="0"/>
            </w:pPr>
            <w:r>
              <w:rPr>
                <w:sz w:val="15"/>
              </w:rPr>
              <w:t>Federated governance, interoperability and portfolio management.</w:t>
            </w:r>
          </w:p>
        </w:tc>
      </w:tr>
      <w:tr>
        <w:tc>
          <w:tcPr>
            <w:tcW w:type="dxa" w:w="1800"/>
            <w:vAlign w:val="center"/>
            <w:tcMar>
              <w:top w:w="80" w:type="dxa"/>
              <w:start w:w="95" w:type="dxa"/>
              <w:bottom w:w="80" w:type="dxa"/>
              <w:end w:w="95" w:type="dxa"/>
            </w:tcMar>
          </w:tcPr>
          <w:p>
            <w:pPr>
              <w:spacing w:after="0"/>
            </w:pPr>
            <w:r>
              <w:rPr>
                <w:b/>
                <w:color w:val="0B6B69"/>
                <w:sz w:val="15"/>
              </w:rPr>
              <w:t>5. Transformational maturity</w:t>
            </w:r>
          </w:p>
        </w:tc>
        <w:tc>
          <w:tcPr>
            <w:tcW w:type="dxa" w:w="3816"/>
            <w:vAlign w:val="center"/>
            <w:tcMar>
              <w:top w:w="80" w:type="dxa"/>
              <w:start w:w="95" w:type="dxa"/>
              <w:bottom w:w="80" w:type="dxa"/>
              <w:end w:w="95" w:type="dxa"/>
            </w:tcMar>
          </w:tcPr>
          <w:p>
            <w:pPr>
              <w:spacing w:after="0"/>
            </w:pPr>
            <w:r>
              <w:rPr>
                <w:sz w:val="15"/>
              </w:rPr>
              <w:t>AI is managed systematically across the NSS with public accountability.</w:t>
            </w:r>
          </w:p>
        </w:tc>
        <w:tc>
          <w:tcPr>
            <w:tcW w:type="dxa" w:w="3744"/>
            <w:vAlign w:val="center"/>
            <w:tcMar>
              <w:top w:w="80" w:type="dxa"/>
              <w:start w:w="95" w:type="dxa"/>
              <w:bottom w:w="80" w:type="dxa"/>
              <w:end w:w="95" w:type="dxa"/>
            </w:tcMar>
          </w:tcPr>
          <w:p>
            <w:pPr>
              <w:spacing w:after="0"/>
            </w:pPr>
            <w:r>
              <w:rPr>
                <w:sz w:val="15"/>
              </w:rPr>
              <w:t>Continuous evaluation, innovation, international contribution and renewal.</w:t>
            </w:r>
          </w:p>
        </w:tc>
      </w:tr>
    </w:tbl>
    <w:p>
      <w:pPr>
        <w:spacing w:after="0"/>
      </w:pPr>
    </w:p>
    <w:p>
      <w:pPr>
        <w:pStyle w:val="Heading2"/>
      </w:pPr>
      <w:r>
        <w:t>21. Federated arrangement for decentralized systems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6"/>
              </w:rPr>
              <w:t>National coordination</w:t>
            </w:r>
          </w:p>
        </w:tc>
        <w:tc>
          <w:tcPr>
            <w:tcW w:type="dxa" w:w="3331"/>
            <w:shd w:fill="17324D"/>
            <w:tcMar>
              <w:top w:w="90" w:type="dxa"/>
              <w:start w:w="100" w:type="dxa"/>
              <w:bottom w:w="90" w:type="dxa"/>
              <w:end w:w="100" w:type="dxa"/>
            </w:tcMar>
          </w:tcPr>
          <w:p>
            <w:pPr>
              <w:spacing w:after="0"/>
            </w:pPr>
            <w:r>
              <w:rPr>
                <w:b/>
                <w:color w:val="FFFFFF"/>
                <w:sz w:val="16"/>
              </w:rPr>
              <w:t>Sector institutions</w:t>
            </w:r>
          </w:p>
        </w:tc>
        <w:tc>
          <w:tcPr>
            <w:tcW w:type="dxa" w:w="3331"/>
            <w:shd w:fill="17324D"/>
            <w:tcMar>
              <w:top w:w="90" w:type="dxa"/>
              <w:start w:w="100" w:type="dxa"/>
              <w:bottom w:w="90" w:type="dxa"/>
              <w:end w:w="100" w:type="dxa"/>
            </w:tcMar>
          </w:tcPr>
          <w:p>
            <w:pPr>
              <w:spacing w:after="0"/>
            </w:pPr>
            <w:r>
              <w:rPr>
                <w:b/>
                <w:color w:val="FFFFFF"/>
                <w:sz w:val="16"/>
              </w:rPr>
              <w:t>Shared services</w:t>
            </w:r>
          </w:p>
        </w:tc>
      </w:tr>
      <w:tr>
        <w:tc>
          <w:tcPr>
            <w:tcW w:type="dxa" w:w="3096"/>
            <w:vAlign w:val="center"/>
            <w:tcMar>
              <w:top w:w="80" w:type="dxa"/>
              <w:start w:w="95" w:type="dxa"/>
              <w:bottom w:w="80" w:type="dxa"/>
              <w:end w:w="95" w:type="dxa"/>
            </w:tcMar>
            <w:shd w:fill="F3F6F8"/>
          </w:tcPr>
          <w:p>
            <w:pPr>
              <w:spacing w:after="0"/>
            </w:pPr>
            <w:r>
              <w:rPr>
                <w:b/>
                <w:color w:val="0B6B69"/>
                <w:sz w:val="16"/>
              </w:rPr>
              <w:t>Set principles, minimum quality requirements, confidentiality rules, documentation standards and validation requirements.</w:t>
            </w:r>
          </w:p>
        </w:tc>
        <w:tc>
          <w:tcPr>
            <w:tcW w:type="dxa" w:w="3096"/>
            <w:vAlign w:val="center"/>
            <w:tcMar>
              <w:top w:w="80" w:type="dxa"/>
              <w:start w:w="95" w:type="dxa"/>
              <w:bottom w:w="80" w:type="dxa"/>
              <w:end w:w="95" w:type="dxa"/>
            </w:tcMar>
            <w:shd w:fill="F3F6F8"/>
          </w:tcPr>
          <w:p>
            <w:pPr>
              <w:spacing w:after="0"/>
            </w:pPr>
            <w:r>
              <w:rPr>
                <w:sz w:val="16"/>
              </w:rPr>
              <w:t>Select domain use cases, provide subject expertise, validate locally, manage production and appoint accountable focal points.</w:t>
            </w:r>
          </w:p>
        </w:tc>
        <w:tc>
          <w:tcPr>
            <w:tcW w:type="dxa" w:w="3096"/>
            <w:vAlign w:val="center"/>
            <w:tcMar>
              <w:top w:w="80" w:type="dxa"/>
              <w:start w:w="95" w:type="dxa"/>
              <w:bottom w:w="80" w:type="dxa"/>
              <w:end w:w="95" w:type="dxa"/>
            </w:tcMar>
            <w:shd w:fill="F3F6F8"/>
          </w:tcPr>
          <w:p>
            <w:pPr>
              <w:spacing w:after="0"/>
            </w:pPr>
            <w:r>
              <w:rPr>
                <w:sz w:val="16"/>
              </w:rPr>
              <w:t>Secure experimentation, code repository, classification services, workflow library, training, linkage facilities and technical support.</w:t>
            </w:r>
          </w:p>
        </w:tc>
      </w:tr>
    </w:tbl>
    <w:p>
      <w:pPr>
        <w:spacing w:after="0"/>
      </w:pPr>
    </w:p>
    <w:p>
      <w:pPr>
        <w:pStyle w:val="Heading2"/>
      </w:pPr>
      <w:r>
        <w:t>22. Minimum viable institutional capability</w:t>
      </w:r>
    </w:p>
    <w:p>
      <w:pPr>
        <w:pStyle w:val="ListNumber"/>
        <w:spacing w:after="60"/>
      </w:pPr>
      <w:r>
        <w:t>Approved acceptable- and prohibited-use policy.</w:t>
      </w:r>
    </w:p>
    <w:p>
      <w:pPr>
        <w:pStyle w:val="ListNumber"/>
        <w:spacing w:after="60"/>
      </w:pPr>
      <w:r>
        <w:t>Classification of public, internal, confidential and highly sensitive data.</w:t>
      </w:r>
    </w:p>
    <w:p>
      <w:pPr>
        <w:pStyle w:val="ListNumber"/>
        <w:spacing w:after="60"/>
      </w:pPr>
      <w:r>
        <w:t>A safe environment for controlled experimentation.</w:t>
      </w:r>
    </w:p>
    <w:p>
      <w:pPr>
        <w:pStyle w:val="ListNumber"/>
        <w:spacing w:after="60"/>
      </w:pPr>
      <w:r>
        <w:t>A small multidisciplinary team with named accountability.</w:t>
      </w:r>
    </w:p>
    <w:p>
      <w:pPr>
        <w:pStyle w:val="ListNumber"/>
        <w:spacing w:after="60"/>
      </w:pPr>
      <w:r>
        <w:t>Documented quality assurance and human approval procedures.</w:t>
      </w:r>
    </w:p>
    <w:p>
      <w:pPr>
        <w:pStyle w:val="ListNumber"/>
        <w:spacing w:after="60"/>
      </w:pPr>
      <w:r>
        <w:t>Versioning of prompts, code, models, data and source materials.</w:t>
      </w:r>
    </w:p>
    <w:p>
      <w:pPr>
        <w:pStyle w:val="ListNumber"/>
        <w:spacing w:after="60"/>
      </w:pPr>
      <w:r>
        <w:t>A register of use cases, models, decisions and incidents.</w:t>
      </w:r>
    </w:p>
    <w:p>
      <w:pPr>
        <w:pStyle w:val="ListNumber"/>
        <w:spacing w:after="60"/>
      </w:pPr>
      <w:r>
        <w:t>A sustainability plan covering staff, infrastructure and recurrent costs.</w:t>
      </w:r>
    </w:p>
    <w:p>
      <w:r>
        <w:br w:type="page"/>
      </w:r>
    </w:p>
    <w:p>
      <w:pPr>
        <w:pStyle w:val="Heading1"/>
      </w:pPr>
      <w:r>
        <w:t>Part VI. Programme architecture and learning pathways</w:t>
      </w:r>
    </w:p>
    <w:p>
      <w:pPr>
        <w:pStyle w:val="Heading2"/>
      </w:pPr>
      <w:r>
        <w:t>23. Overall programme model</w:t>
      </w:r>
    </w:p>
    <w:p>
      <w:r>
        <w:t>The proposed umbrella programme is titled Professional Programme in AI-Augmented Official Statistics. It combines universal professional standards with flexible specialization by domain, data source, role and institutional maturity.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6"/>
              </w:rPr>
              <w:t>Component</w:t>
            </w:r>
          </w:p>
        </w:tc>
        <w:tc>
          <w:tcPr>
            <w:tcW w:type="dxa" w:w="3331"/>
            <w:shd w:fill="17324D"/>
            <w:tcMar>
              <w:top w:w="90" w:type="dxa"/>
              <w:start w:w="100" w:type="dxa"/>
              <w:bottom w:w="90" w:type="dxa"/>
              <w:end w:w="100" w:type="dxa"/>
            </w:tcMar>
          </w:tcPr>
          <w:p>
            <w:pPr>
              <w:spacing w:after="0"/>
            </w:pPr>
            <w:r>
              <w:rPr>
                <w:b/>
                <w:color w:val="FFFFFF"/>
                <w:sz w:val="16"/>
              </w:rPr>
              <w:t>Indicative share</w:t>
            </w:r>
          </w:p>
        </w:tc>
        <w:tc>
          <w:tcPr>
            <w:tcW w:type="dxa" w:w="3331"/>
            <w:shd w:fill="17324D"/>
            <w:tcMar>
              <w:top w:w="90" w:type="dxa"/>
              <w:start w:w="100" w:type="dxa"/>
              <w:bottom w:w="90" w:type="dxa"/>
              <w:end w:w="100" w:type="dxa"/>
            </w:tcMar>
          </w:tcPr>
          <w:p>
            <w:pPr>
              <w:spacing w:after="0"/>
            </w:pPr>
            <w:r>
              <w:rPr>
                <w:b/>
                <w:color w:val="FFFFFF"/>
                <w:sz w:val="16"/>
              </w:rPr>
              <w:t>Purpose</w:t>
            </w:r>
          </w:p>
        </w:tc>
      </w:tr>
      <w:tr>
        <w:tc>
          <w:tcPr>
            <w:tcW w:type="dxa" w:w="3672"/>
            <w:vAlign w:val="center"/>
            <w:tcMar>
              <w:top w:w="80" w:type="dxa"/>
              <w:start w:w="95" w:type="dxa"/>
              <w:bottom w:w="80" w:type="dxa"/>
              <w:end w:w="95" w:type="dxa"/>
            </w:tcMar>
            <w:shd w:fill="F3F6F8"/>
          </w:tcPr>
          <w:p>
            <w:pPr>
              <w:spacing w:after="0"/>
            </w:pPr>
            <w:r>
              <w:rPr>
                <w:b/>
                <w:color w:val="0B6B69"/>
                <w:sz w:val="16"/>
              </w:rPr>
              <w:t>Common AI and official-statistics foundation</w:t>
            </w:r>
          </w:p>
        </w:tc>
        <w:tc>
          <w:tcPr>
            <w:tcW w:type="dxa" w:w="1296"/>
            <w:vAlign w:val="center"/>
            <w:tcMar>
              <w:top w:w="80" w:type="dxa"/>
              <w:start w:w="95" w:type="dxa"/>
              <w:bottom w:w="80" w:type="dxa"/>
              <w:end w:w="95" w:type="dxa"/>
            </w:tcMar>
            <w:shd w:fill="F3F6F8"/>
          </w:tcPr>
          <w:p>
            <w:pPr>
              <w:spacing w:after="0"/>
            </w:pPr>
            <w:r>
              <w:rPr>
                <w:sz w:val="16"/>
              </w:rPr>
              <w:t>20%</w:t>
            </w:r>
          </w:p>
        </w:tc>
        <w:tc>
          <w:tcPr>
            <w:tcW w:type="dxa" w:w="4392"/>
            <w:vAlign w:val="center"/>
            <w:tcMar>
              <w:top w:w="80" w:type="dxa"/>
              <w:start w:w="95" w:type="dxa"/>
              <w:bottom w:w="80" w:type="dxa"/>
              <w:end w:w="95" w:type="dxa"/>
            </w:tcMar>
            <w:shd w:fill="F3F6F8"/>
          </w:tcPr>
          <w:p>
            <w:pPr>
              <w:spacing w:after="0"/>
            </w:pPr>
            <w:r>
              <w:rPr>
                <w:sz w:val="16"/>
              </w:rPr>
              <w:t>Concepts, limitations, verification, ethics, confidentiality and responsible use.</w:t>
            </w:r>
          </w:p>
        </w:tc>
      </w:tr>
      <w:tr>
        <w:tc>
          <w:tcPr>
            <w:tcW w:type="dxa" w:w="3672"/>
            <w:vAlign w:val="center"/>
            <w:tcMar>
              <w:top w:w="80" w:type="dxa"/>
              <w:start w:w="95" w:type="dxa"/>
              <w:bottom w:w="80" w:type="dxa"/>
              <w:end w:w="95" w:type="dxa"/>
            </w:tcMar>
          </w:tcPr>
          <w:p>
            <w:pPr>
              <w:spacing w:after="0"/>
            </w:pPr>
            <w:r>
              <w:rPr>
                <w:b/>
                <w:color w:val="0B6B69"/>
                <w:sz w:val="16"/>
              </w:rPr>
              <w:t>Statistical production core</w:t>
            </w:r>
          </w:p>
        </w:tc>
        <w:tc>
          <w:tcPr>
            <w:tcW w:type="dxa" w:w="1296"/>
            <w:vAlign w:val="center"/>
            <w:tcMar>
              <w:top w:w="80" w:type="dxa"/>
              <w:start w:w="95" w:type="dxa"/>
              <w:bottom w:w="80" w:type="dxa"/>
              <w:end w:w="95" w:type="dxa"/>
            </w:tcMar>
          </w:tcPr>
          <w:p>
            <w:pPr>
              <w:spacing w:after="0"/>
            </w:pPr>
            <w:r>
              <w:rPr>
                <w:sz w:val="16"/>
              </w:rPr>
              <w:t>20%</w:t>
            </w:r>
          </w:p>
        </w:tc>
        <w:tc>
          <w:tcPr>
            <w:tcW w:type="dxa" w:w="4392"/>
            <w:vAlign w:val="center"/>
            <w:tcMar>
              <w:top w:w="80" w:type="dxa"/>
              <w:start w:w="95" w:type="dxa"/>
              <w:bottom w:w="80" w:type="dxa"/>
              <w:end w:w="95" w:type="dxa"/>
            </w:tcMar>
          </w:tcPr>
          <w:p>
            <w:pPr>
              <w:spacing w:after="0"/>
            </w:pPr>
            <w:r>
              <w:rPr>
                <w:sz w:val="16"/>
              </w:rPr>
              <w:t>AI across the complete statistical business process.</w:t>
            </w:r>
          </w:p>
        </w:tc>
      </w:tr>
      <w:tr>
        <w:tc>
          <w:tcPr>
            <w:tcW w:type="dxa" w:w="3672"/>
            <w:vAlign w:val="center"/>
            <w:tcMar>
              <w:top w:w="80" w:type="dxa"/>
              <w:start w:w="95" w:type="dxa"/>
              <w:bottom w:w="80" w:type="dxa"/>
              <w:end w:w="95" w:type="dxa"/>
            </w:tcMar>
            <w:shd w:fill="F3F6F8"/>
          </w:tcPr>
          <w:p>
            <w:pPr>
              <w:spacing w:after="0"/>
            </w:pPr>
            <w:r>
              <w:rPr>
                <w:b/>
                <w:color w:val="0B6B69"/>
                <w:sz w:val="16"/>
              </w:rPr>
              <w:t>Data-source laboratories</w:t>
            </w:r>
          </w:p>
        </w:tc>
        <w:tc>
          <w:tcPr>
            <w:tcW w:type="dxa" w:w="1296"/>
            <w:vAlign w:val="center"/>
            <w:tcMar>
              <w:top w:w="80" w:type="dxa"/>
              <w:start w:w="95" w:type="dxa"/>
              <w:bottom w:w="80" w:type="dxa"/>
              <w:end w:w="95" w:type="dxa"/>
            </w:tcMar>
            <w:shd w:fill="F3F6F8"/>
          </w:tcPr>
          <w:p>
            <w:pPr>
              <w:spacing w:after="0"/>
            </w:pPr>
            <w:r>
              <w:rPr>
                <w:sz w:val="16"/>
              </w:rPr>
              <w:t>15%</w:t>
            </w:r>
          </w:p>
        </w:tc>
        <w:tc>
          <w:tcPr>
            <w:tcW w:type="dxa" w:w="4392"/>
            <w:vAlign w:val="center"/>
            <w:tcMar>
              <w:top w:w="80" w:type="dxa"/>
              <w:start w:w="95" w:type="dxa"/>
              <w:bottom w:w="80" w:type="dxa"/>
              <w:end w:w="95" w:type="dxa"/>
            </w:tcMar>
            <w:shd w:fill="F3F6F8"/>
          </w:tcPr>
          <w:p>
            <w:pPr>
              <w:spacing w:after="0"/>
            </w:pPr>
            <w:r>
              <w:rPr>
                <w:sz w:val="16"/>
              </w:rPr>
              <w:t>Source-specific acquisition, processing, integration and quality.</w:t>
            </w:r>
          </w:p>
        </w:tc>
      </w:tr>
      <w:tr>
        <w:tc>
          <w:tcPr>
            <w:tcW w:type="dxa" w:w="3672"/>
            <w:vAlign w:val="center"/>
            <w:tcMar>
              <w:top w:w="80" w:type="dxa"/>
              <w:start w:w="95" w:type="dxa"/>
              <w:bottom w:w="80" w:type="dxa"/>
              <w:end w:w="95" w:type="dxa"/>
            </w:tcMar>
          </w:tcPr>
          <w:p>
            <w:pPr>
              <w:spacing w:after="0"/>
            </w:pPr>
            <w:r>
              <w:rPr>
                <w:b/>
                <w:color w:val="0B6B69"/>
                <w:sz w:val="16"/>
              </w:rPr>
              <w:t>Domain laboratory</w:t>
            </w:r>
          </w:p>
        </w:tc>
        <w:tc>
          <w:tcPr>
            <w:tcW w:type="dxa" w:w="1296"/>
            <w:vAlign w:val="center"/>
            <w:tcMar>
              <w:top w:w="80" w:type="dxa"/>
              <w:start w:w="95" w:type="dxa"/>
              <w:bottom w:w="80" w:type="dxa"/>
              <w:end w:w="95" w:type="dxa"/>
            </w:tcMar>
          </w:tcPr>
          <w:p>
            <w:pPr>
              <w:spacing w:after="0"/>
            </w:pPr>
            <w:r>
              <w:rPr>
                <w:sz w:val="16"/>
              </w:rPr>
              <w:t>20%</w:t>
            </w:r>
          </w:p>
        </w:tc>
        <w:tc>
          <w:tcPr>
            <w:tcW w:type="dxa" w:w="4392"/>
            <w:vAlign w:val="center"/>
            <w:tcMar>
              <w:top w:w="80" w:type="dxa"/>
              <w:start w:w="95" w:type="dxa"/>
              <w:bottom w:w="80" w:type="dxa"/>
              <w:end w:w="95" w:type="dxa"/>
            </w:tcMar>
          </w:tcPr>
          <w:p>
            <w:pPr>
              <w:spacing w:after="0"/>
            </w:pPr>
            <w:r>
              <w:rPr>
                <w:sz w:val="16"/>
              </w:rPr>
              <w:t>Deep application within a substantive statistical field.</w:t>
            </w:r>
          </w:p>
        </w:tc>
      </w:tr>
      <w:tr>
        <w:tc>
          <w:tcPr>
            <w:tcW w:type="dxa" w:w="3672"/>
            <w:vAlign w:val="center"/>
            <w:tcMar>
              <w:top w:w="80" w:type="dxa"/>
              <w:start w:w="95" w:type="dxa"/>
              <w:bottom w:w="80" w:type="dxa"/>
              <w:end w:w="95" w:type="dxa"/>
            </w:tcMar>
            <w:shd w:fill="F3F6F8"/>
          </w:tcPr>
          <w:p>
            <w:pPr>
              <w:spacing w:after="0"/>
            </w:pPr>
            <w:r>
              <w:rPr>
                <w:b/>
                <w:color w:val="0B6B69"/>
                <w:sz w:val="16"/>
              </w:rPr>
              <w:t>Professional-role pathway</w:t>
            </w:r>
          </w:p>
        </w:tc>
        <w:tc>
          <w:tcPr>
            <w:tcW w:type="dxa" w:w="1296"/>
            <w:vAlign w:val="center"/>
            <w:tcMar>
              <w:top w:w="80" w:type="dxa"/>
              <w:start w:w="95" w:type="dxa"/>
              <w:bottom w:w="80" w:type="dxa"/>
              <w:end w:w="95" w:type="dxa"/>
            </w:tcMar>
            <w:shd w:fill="F3F6F8"/>
          </w:tcPr>
          <w:p>
            <w:pPr>
              <w:spacing w:after="0"/>
            </w:pPr>
            <w:r>
              <w:rPr>
                <w:sz w:val="16"/>
              </w:rPr>
              <w:t>10%</w:t>
            </w:r>
          </w:p>
        </w:tc>
        <w:tc>
          <w:tcPr>
            <w:tcW w:type="dxa" w:w="4392"/>
            <w:vAlign w:val="center"/>
            <w:tcMar>
              <w:top w:w="80" w:type="dxa"/>
              <w:start w:w="95" w:type="dxa"/>
              <w:bottom w:w="80" w:type="dxa"/>
              <w:end w:w="95" w:type="dxa"/>
            </w:tcMar>
            <w:shd w:fill="F3F6F8"/>
          </w:tcPr>
          <w:p>
            <w:pPr>
              <w:spacing w:after="0"/>
            </w:pPr>
            <w:r>
              <w:rPr>
                <w:sz w:val="16"/>
              </w:rPr>
              <w:t>Skills adapted to the participant’s function and responsibilities.</w:t>
            </w:r>
          </w:p>
        </w:tc>
      </w:tr>
      <w:tr>
        <w:tc>
          <w:tcPr>
            <w:tcW w:type="dxa" w:w="3672"/>
            <w:vAlign w:val="center"/>
            <w:tcMar>
              <w:top w:w="80" w:type="dxa"/>
              <w:start w:w="95" w:type="dxa"/>
              <w:bottom w:w="80" w:type="dxa"/>
              <w:end w:w="95" w:type="dxa"/>
            </w:tcMar>
          </w:tcPr>
          <w:p>
            <w:pPr>
              <w:spacing w:after="0"/>
            </w:pPr>
            <w:r>
              <w:rPr>
                <w:b/>
                <w:color w:val="0B6B69"/>
                <w:sz w:val="16"/>
              </w:rPr>
              <w:t>Institutional application and capstone</w:t>
            </w:r>
          </w:p>
        </w:tc>
        <w:tc>
          <w:tcPr>
            <w:tcW w:type="dxa" w:w="1296"/>
            <w:vAlign w:val="center"/>
            <w:tcMar>
              <w:top w:w="80" w:type="dxa"/>
              <w:start w:w="95" w:type="dxa"/>
              <w:bottom w:w="80" w:type="dxa"/>
              <w:end w:w="95" w:type="dxa"/>
            </w:tcMar>
          </w:tcPr>
          <w:p>
            <w:pPr>
              <w:spacing w:after="0"/>
            </w:pPr>
            <w:r>
              <w:rPr>
                <w:sz w:val="16"/>
              </w:rPr>
              <w:t>15%</w:t>
            </w:r>
          </w:p>
        </w:tc>
        <w:tc>
          <w:tcPr>
            <w:tcW w:type="dxa" w:w="4392"/>
            <w:vAlign w:val="center"/>
            <w:tcMar>
              <w:top w:w="80" w:type="dxa"/>
              <w:start w:w="95" w:type="dxa"/>
              <w:bottom w:w="80" w:type="dxa"/>
              <w:end w:w="95" w:type="dxa"/>
            </w:tcMar>
          </w:tcPr>
          <w:p>
            <w:pPr>
              <w:spacing w:after="0"/>
            </w:pPr>
            <w:r>
              <w:rPr>
                <w:sz w:val="16"/>
              </w:rPr>
              <w:t>Validated redesign of a real workflow and adoption plan.</w:t>
            </w:r>
          </w:p>
        </w:tc>
      </w:tr>
    </w:tbl>
    <w:p>
      <w:pPr>
        <w:spacing w:after="0"/>
      </w:pPr>
    </w:p>
    <w:p>
      <w:pPr>
        <w:pStyle w:val="Heading2"/>
      </w:pPr>
      <w:r>
        <w:t>24. Proposed module sequence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4"/>
              </w:rPr>
              <w:t>Module</w:t>
            </w:r>
          </w:p>
        </w:tc>
        <w:tc>
          <w:tcPr>
            <w:tcW w:type="dxa" w:w="4997"/>
            <w:shd w:fill="17324D"/>
            <w:tcMar>
              <w:top w:w="90" w:type="dxa"/>
              <w:start w:w="100" w:type="dxa"/>
              <w:bottom w:w="90" w:type="dxa"/>
              <w:end w:w="100" w:type="dxa"/>
            </w:tcMar>
          </w:tcPr>
          <w:p>
            <w:pPr>
              <w:spacing w:after="0"/>
            </w:pPr>
            <w:r>
              <w:rPr>
                <w:b/>
                <w:color w:val="FFFFFF"/>
                <w:sz w:val="14"/>
              </w:rPr>
              <w:t>Core content</w:t>
            </w:r>
          </w:p>
        </w:tc>
      </w:tr>
      <w:tr>
        <w:tc>
          <w:tcPr>
            <w:tcW w:type="dxa" w:w="3096"/>
            <w:vAlign w:val="center"/>
            <w:tcMar>
              <w:top w:w="80" w:type="dxa"/>
              <w:start w:w="95" w:type="dxa"/>
              <w:bottom w:w="80" w:type="dxa"/>
              <w:end w:w="95" w:type="dxa"/>
            </w:tcMar>
            <w:shd w:fill="F3F6F8"/>
          </w:tcPr>
          <w:p>
            <w:pPr>
              <w:spacing w:after="0"/>
            </w:pPr>
            <w:r>
              <w:rPr>
                <w:b/>
                <w:color w:val="0B6B69"/>
                <w:sz w:val="14"/>
              </w:rPr>
              <w:t>1. Official statistics in the AI era</w:t>
            </w:r>
          </w:p>
        </w:tc>
        <w:tc>
          <w:tcPr>
            <w:tcW w:type="dxa" w:w="6264"/>
            <w:vAlign w:val="center"/>
            <w:tcMar>
              <w:top w:w="80" w:type="dxa"/>
              <w:start w:w="95" w:type="dxa"/>
              <w:bottom w:w="80" w:type="dxa"/>
              <w:end w:w="95" w:type="dxa"/>
            </w:tcMar>
            <w:shd w:fill="F3F6F8"/>
          </w:tcPr>
          <w:p>
            <w:pPr>
              <w:spacing w:after="0"/>
            </w:pPr>
            <w:r>
              <w:rPr>
                <w:sz w:val="14"/>
              </w:rPr>
              <w:t>Mandate, public value, Fundamental Principles and the changing data ecosystem.</w:t>
            </w:r>
          </w:p>
        </w:tc>
      </w:tr>
      <w:tr>
        <w:tc>
          <w:tcPr>
            <w:tcW w:type="dxa" w:w="3096"/>
            <w:vAlign w:val="center"/>
            <w:tcMar>
              <w:top w:w="80" w:type="dxa"/>
              <w:start w:w="95" w:type="dxa"/>
              <w:bottom w:w="80" w:type="dxa"/>
              <w:end w:w="95" w:type="dxa"/>
            </w:tcMar>
          </w:tcPr>
          <w:p>
            <w:pPr>
              <w:spacing w:after="0"/>
            </w:pPr>
            <w:r>
              <w:rPr>
                <w:b/>
                <w:color w:val="0B6B69"/>
                <w:sz w:val="14"/>
              </w:rPr>
              <w:t>2. How AI works</w:t>
            </w:r>
          </w:p>
        </w:tc>
        <w:tc>
          <w:tcPr>
            <w:tcW w:type="dxa" w:w="6264"/>
            <w:vAlign w:val="center"/>
            <w:tcMar>
              <w:top w:w="80" w:type="dxa"/>
              <w:start w:w="95" w:type="dxa"/>
              <w:bottom w:w="80" w:type="dxa"/>
              <w:end w:w="95" w:type="dxa"/>
            </w:tcMar>
          </w:tcPr>
          <w:p>
            <w:pPr>
              <w:spacing w:after="0"/>
            </w:pPr>
            <w:r>
              <w:rPr>
                <w:sz w:val="14"/>
              </w:rPr>
              <w:t>Generative AI, machine learning, automation, uncertainty, failure modes and tool selection.</w:t>
            </w:r>
          </w:p>
        </w:tc>
      </w:tr>
      <w:tr>
        <w:tc>
          <w:tcPr>
            <w:tcW w:type="dxa" w:w="3096"/>
            <w:vAlign w:val="center"/>
            <w:tcMar>
              <w:top w:w="80" w:type="dxa"/>
              <w:start w:w="95" w:type="dxa"/>
              <w:bottom w:w="80" w:type="dxa"/>
              <w:end w:w="95" w:type="dxa"/>
            </w:tcMar>
            <w:shd w:fill="F3F6F8"/>
          </w:tcPr>
          <w:p>
            <w:pPr>
              <w:spacing w:after="0"/>
            </w:pPr>
            <w:r>
              <w:rPr>
                <w:b/>
                <w:color w:val="0B6B69"/>
                <w:sz w:val="14"/>
              </w:rPr>
              <w:t>3. Verification and evidence</w:t>
            </w:r>
          </w:p>
        </w:tc>
        <w:tc>
          <w:tcPr>
            <w:tcW w:type="dxa" w:w="6264"/>
            <w:vAlign w:val="center"/>
            <w:tcMar>
              <w:top w:w="80" w:type="dxa"/>
              <w:start w:w="95" w:type="dxa"/>
              <w:bottom w:w="80" w:type="dxa"/>
              <w:end w:w="95" w:type="dxa"/>
            </w:tcMar>
            <w:shd w:fill="F3F6F8"/>
          </w:tcPr>
          <w:p>
            <w:pPr>
              <w:spacing w:after="0"/>
            </w:pPr>
            <w:r>
              <w:rPr>
                <w:sz w:val="14"/>
              </w:rPr>
              <w:t>Source grounding, calculations, code testing, reproducibility and audit trails.</w:t>
            </w:r>
          </w:p>
        </w:tc>
      </w:tr>
      <w:tr>
        <w:tc>
          <w:tcPr>
            <w:tcW w:type="dxa" w:w="3096"/>
            <w:vAlign w:val="center"/>
            <w:tcMar>
              <w:top w:w="80" w:type="dxa"/>
              <w:start w:w="95" w:type="dxa"/>
              <w:bottom w:w="80" w:type="dxa"/>
              <w:end w:w="95" w:type="dxa"/>
            </w:tcMar>
          </w:tcPr>
          <w:p>
            <w:pPr>
              <w:spacing w:after="0"/>
            </w:pPr>
            <w:r>
              <w:rPr>
                <w:b/>
                <w:color w:val="0B6B69"/>
                <w:sz w:val="14"/>
              </w:rPr>
              <w:t>4. Data protection and responsible use</w:t>
            </w:r>
          </w:p>
        </w:tc>
        <w:tc>
          <w:tcPr>
            <w:tcW w:type="dxa" w:w="6264"/>
            <w:vAlign w:val="center"/>
            <w:tcMar>
              <w:top w:w="80" w:type="dxa"/>
              <w:start w:w="95" w:type="dxa"/>
              <w:bottom w:w="80" w:type="dxa"/>
              <w:end w:w="95" w:type="dxa"/>
            </w:tcMar>
          </w:tcPr>
          <w:p>
            <w:pPr>
              <w:spacing w:after="0"/>
            </w:pPr>
            <w:r>
              <w:rPr>
                <w:sz w:val="14"/>
              </w:rPr>
              <w:t>Confidentiality, security, ethics, bias, disclosure and acceptable-use decisions.</w:t>
            </w:r>
          </w:p>
        </w:tc>
      </w:tr>
      <w:tr>
        <w:tc>
          <w:tcPr>
            <w:tcW w:type="dxa" w:w="3096"/>
            <w:vAlign w:val="center"/>
            <w:tcMar>
              <w:top w:w="80" w:type="dxa"/>
              <w:start w:w="95" w:type="dxa"/>
              <w:bottom w:w="80" w:type="dxa"/>
              <w:end w:w="95" w:type="dxa"/>
            </w:tcMar>
            <w:shd w:fill="F3F6F8"/>
          </w:tcPr>
          <w:p>
            <w:pPr>
              <w:spacing w:after="0"/>
            </w:pPr>
            <w:r>
              <w:rPr>
                <w:b/>
                <w:color w:val="0B6B69"/>
                <w:sz w:val="14"/>
              </w:rPr>
              <w:t>5. AI across statistical production</w:t>
            </w:r>
          </w:p>
        </w:tc>
        <w:tc>
          <w:tcPr>
            <w:tcW w:type="dxa" w:w="6264"/>
            <w:vAlign w:val="center"/>
            <w:tcMar>
              <w:top w:w="80" w:type="dxa"/>
              <w:start w:w="95" w:type="dxa"/>
              <w:bottom w:w="80" w:type="dxa"/>
              <w:end w:w="95" w:type="dxa"/>
            </w:tcMar>
            <w:shd w:fill="F3F6F8"/>
          </w:tcPr>
          <w:p>
            <w:pPr>
              <w:spacing w:after="0"/>
            </w:pPr>
            <w:r>
              <w:rPr>
                <w:sz w:val="14"/>
              </w:rPr>
              <w:t>Specify, design, build, collect, process, analyze, disseminate and evaluate.</w:t>
            </w:r>
          </w:p>
        </w:tc>
      </w:tr>
      <w:tr>
        <w:tc>
          <w:tcPr>
            <w:tcW w:type="dxa" w:w="3096"/>
            <w:vAlign w:val="center"/>
            <w:tcMar>
              <w:top w:w="80" w:type="dxa"/>
              <w:start w:w="95" w:type="dxa"/>
              <w:bottom w:w="80" w:type="dxa"/>
              <w:end w:w="95" w:type="dxa"/>
            </w:tcMar>
          </w:tcPr>
          <w:p>
            <w:pPr>
              <w:spacing w:after="0"/>
            </w:pPr>
            <w:r>
              <w:rPr>
                <w:b/>
                <w:color w:val="0B6B69"/>
                <w:sz w:val="14"/>
              </w:rPr>
              <w:t>6. Surveys and censuses</w:t>
            </w:r>
          </w:p>
        </w:tc>
        <w:tc>
          <w:tcPr>
            <w:tcW w:type="dxa" w:w="6264"/>
            <w:vAlign w:val="center"/>
            <w:tcMar>
              <w:top w:w="80" w:type="dxa"/>
              <w:start w:w="95" w:type="dxa"/>
              <w:bottom w:w="80" w:type="dxa"/>
              <w:end w:w="95" w:type="dxa"/>
            </w:tcMar>
          </w:tcPr>
          <w:p>
            <w:pPr>
              <w:spacing w:after="0"/>
            </w:pPr>
            <w:r>
              <w:rPr>
                <w:sz w:val="14"/>
              </w:rPr>
              <w:t>Instrument design, collection, coding, editing, paradata, imputation and reporting.</w:t>
            </w:r>
          </w:p>
        </w:tc>
      </w:tr>
      <w:tr>
        <w:tc>
          <w:tcPr>
            <w:tcW w:type="dxa" w:w="3096"/>
            <w:vAlign w:val="center"/>
            <w:tcMar>
              <w:top w:w="80" w:type="dxa"/>
              <w:start w:w="95" w:type="dxa"/>
              <w:bottom w:w="80" w:type="dxa"/>
              <w:end w:w="95" w:type="dxa"/>
            </w:tcMar>
            <w:shd w:fill="F3F6F8"/>
          </w:tcPr>
          <w:p>
            <w:pPr>
              <w:spacing w:after="0"/>
            </w:pPr>
            <w:r>
              <w:rPr>
                <w:b/>
                <w:color w:val="0B6B69"/>
                <w:sz w:val="14"/>
              </w:rPr>
              <w:t>7. Administrative data</w:t>
            </w:r>
          </w:p>
        </w:tc>
        <w:tc>
          <w:tcPr>
            <w:tcW w:type="dxa" w:w="6264"/>
            <w:vAlign w:val="center"/>
            <w:tcMar>
              <w:top w:w="80" w:type="dxa"/>
              <w:start w:w="95" w:type="dxa"/>
              <w:bottom w:w="80" w:type="dxa"/>
              <w:end w:w="95" w:type="dxa"/>
            </w:tcMar>
            <w:shd w:fill="F3F6F8"/>
          </w:tcPr>
          <w:p>
            <w:pPr>
              <w:spacing w:after="0"/>
            </w:pPr>
            <w:r>
              <w:rPr>
                <w:sz w:val="14"/>
              </w:rPr>
              <w:t>Access, concepts, coverage, transformation, linkage, system changes and quality.</w:t>
            </w:r>
          </w:p>
        </w:tc>
      </w:tr>
      <w:tr>
        <w:tc>
          <w:tcPr>
            <w:tcW w:type="dxa" w:w="3096"/>
            <w:vAlign w:val="center"/>
            <w:tcMar>
              <w:top w:w="80" w:type="dxa"/>
              <w:start w:w="95" w:type="dxa"/>
              <w:bottom w:w="80" w:type="dxa"/>
              <w:end w:w="95" w:type="dxa"/>
            </w:tcMar>
          </w:tcPr>
          <w:p>
            <w:pPr>
              <w:spacing w:after="0"/>
            </w:pPr>
            <w:r>
              <w:rPr>
                <w:b/>
                <w:color w:val="0B6B69"/>
                <w:sz w:val="14"/>
              </w:rPr>
              <w:t>8. Research and scientific evidence</w:t>
            </w:r>
          </w:p>
        </w:tc>
        <w:tc>
          <w:tcPr>
            <w:tcW w:type="dxa" w:w="6264"/>
            <w:vAlign w:val="center"/>
            <w:tcMar>
              <w:top w:w="80" w:type="dxa"/>
              <w:start w:w="95" w:type="dxa"/>
              <w:bottom w:w="80" w:type="dxa"/>
              <w:end w:w="95" w:type="dxa"/>
            </w:tcMar>
          </w:tcPr>
          <w:p>
            <w:pPr>
              <w:spacing w:after="0"/>
            </w:pPr>
            <w:r>
              <w:rPr>
                <w:sz w:val="14"/>
              </w:rPr>
              <w:t>Experimental designs, evidence extraction, synthesis, external validity and integration.</w:t>
            </w:r>
          </w:p>
        </w:tc>
      </w:tr>
      <w:tr>
        <w:tc>
          <w:tcPr>
            <w:tcW w:type="dxa" w:w="3096"/>
            <w:vAlign w:val="center"/>
            <w:tcMar>
              <w:top w:w="80" w:type="dxa"/>
              <w:start w:w="95" w:type="dxa"/>
              <w:bottom w:w="80" w:type="dxa"/>
              <w:end w:w="95" w:type="dxa"/>
            </w:tcMar>
            <w:shd w:fill="F3F6F8"/>
          </w:tcPr>
          <w:p>
            <w:pPr>
              <w:spacing w:after="0"/>
            </w:pPr>
            <w:r>
              <w:rPr>
                <w:b/>
                <w:color w:val="0B6B69"/>
                <w:sz w:val="14"/>
              </w:rPr>
              <w:t>9. Geospatial and alternative sources</w:t>
            </w:r>
          </w:p>
        </w:tc>
        <w:tc>
          <w:tcPr>
            <w:tcW w:type="dxa" w:w="6264"/>
            <w:vAlign w:val="center"/>
            <w:tcMar>
              <w:top w:w="80" w:type="dxa"/>
              <w:start w:w="95" w:type="dxa"/>
              <w:bottom w:w="80" w:type="dxa"/>
              <w:end w:w="95" w:type="dxa"/>
            </w:tcMar>
            <w:shd w:fill="F3F6F8"/>
          </w:tcPr>
          <w:p>
            <w:pPr>
              <w:spacing w:after="0"/>
            </w:pPr>
            <w:r>
              <w:rPr>
                <w:sz w:val="14"/>
              </w:rPr>
              <w:t>Earth observation, sensors, web, private-sector and citizen-generated data.</w:t>
            </w:r>
          </w:p>
        </w:tc>
      </w:tr>
      <w:tr>
        <w:tc>
          <w:tcPr>
            <w:tcW w:type="dxa" w:w="3096"/>
            <w:vAlign w:val="center"/>
            <w:tcMar>
              <w:top w:w="80" w:type="dxa"/>
              <w:start w:w="95" w:type="dxa"/>
              <w:bottom w:w="80" w:type="dxa"/>
              <w:end w:w="95" w:type="dxa"/>
            </w:tcMar>
          </w:tcPr>
          <w:p>
            <w:pPr>
              <w:spacing w:after="0"/>
            </w:pPr>
            <w:r>
              <w:rPr>
                <w:b/>
                <w:color w:val="0B6B69"/>
                <w:sz w:val="14"/>
              </w:rPr>
              <w:t>10. Data quality and fitness for use</w:t>
            </w:r>
          </w:p>
        </w:tc>
        <w:tc>
          <w:tcPr>
            <w:tcW w:type="dxa" w:w="6264"/>
            <w:vAlign w:val="center"/>
            <w:tcMar>
              <w:top w:w="80" w:type="dxa"/>
              <w:start w:w="95" w:type="dxa"/>
              <w:bottom w:w="80" w:type="dxa"/>
              <w:end w:w="95" w:type="dxa"/>
            </w:tcMar>
          </w:tcPr>
          <w:p>
            <w:pPr>
              <w:spacing w:after="0"/>
            </w:pPr>
            <w:r>
              <w:rPr>
                <w:sz w:val="14"/>
              </w:rPr>
              <w:t>Dimensions, trade-offs, quality gates and evidence-status decisions.</w:t>
            </w:r>
          </w:p>
        </w:tc>
      </w:tr>
      <w:tr>
        <w:tc>
          <w:tcPr>
            <w:tcW w:type="dxa" w:w="3096"/>
            <w:vAlign w:val="center"/>
            <w:tcMar>
              <w:top w:w="80" w:type="dxa"/>
              <w:start w:w="95" w:type="dxa"/>
              <w:bottom w:w="80" w:type="dxa"/>
              <w:end w:w="95" w:type="dxa"/>
            </w:tcMar>
            <w:shd w:fill="F3F6F8"/>
          </w:tcPr>
          <w:p>
            <w:pPr>
              <w:spacing w:after="0"/>
            </w:pPr>
            <w:r>
              <w:rPr>
                <w:b/>
                <w:color w:val="0B6B69"/>
                <w:sz w:val="14"/>
              </w:rPr>
              <w:t>11. Domain laboratory</w:t>
            </w:r>
          </w:p>
        </w:tc>
        <w:tc>
          <w:tcPr>
            <w:tcW w:type="dxa" w:w="6264"/>
            <w:vAlign w:val="center"/>
            <w:tcMar>
              <w:top w:w="80" w:type="dxa"/>
              <w:start w:w="95" w:type="dxa"/>
              <w:bottom w:w="80" w:type="dxa"/>
              <w:end w:w="95" w:type="dxa"/>
            </w:tcMar>
            <w:shd w:fill="F3F6F8"/>
          </w:tcPr>
          <w:p>
            <w:pPr>
              <w:spacing w:after="0"/>
            </w:pPr>
            <w:r>
              <w:rPr>
                <w:sz w:val="14"/>
              </w:rPr>
              <w:t>Sector standards, data, methods, errors, exercises and production cases.</w:t>
            </w:r>
          </w:p>
        </w:tc>
      </w:tr>
      <w:tr>
        <w:tc>
          <w:tcPr>
            <w:tcW w:type="dxa" w:w="3096"/>
            <w:vAlign w:val="center"/>
            <w:tcMar>
              <w:top w:w="80" w:type="dxa"/>
              <w:start w:w="95" w:type="dxa"/>
              <w:bottom w:w="80" w:type="dxa"/>
              <w:end w:w="95" w:type="dxa"/>
            </w:tcMar>
          </w:tcPr>
          <w:p>
            <w:pPr>
              <w:spacing w:after="0"/>
            </w:pPr>
            <w:r>
              <w:rPr>
                <w:b/>
                <w:color w:val="0B6B69"/>
                <w:sz w:val="14"/>
              </w:rPr>
              <w:t>12. Institutionalization</w:t>
            </w:r>
          </w:p>
        </w:tc>
        <w:tc>
          <w:tcPr>
            <w:tcW w:type="dxa" w:w="6264"/>
            <w:vAlign w:val="center"/>
            <w:tcMar>
              <w:top w:w="80" w:type="dxa"/>
              <w:start w:w="95" w:type="dxa"/>
              <w:bottom w:w="80" w:type="dxa"/>
              <w:end w:w="95" w:type="dxa"/>
            </w:tcMar>
          </w:tcPr>
          <w:p>
            <w:pPr>
              <w:spacing w:after="0"/>
            </w:pPr>
            <w:r>
              <w:rPr>
                <w:sz w:val="14"/>
              </w:rPr>
              <w:t>Governance, maturity, infrastructure, procurement, workforce, financing and trust.</w:t>
            </w:r>
          </w:p>
        </w:tc>
      </w:tr>
      <w:tr>
        <w:tc>
          <w:tcPr>
            <w:tcW w:type="dxa" w:w="3096"/>
            <w:vAlign w:val="center"/>
            <w:tcMar>
              <w:top w:w="80" w:type="dxa"/>
              <w:start w:w="95" w:type="dxa"/>
              <w:bottom w:w="80" w:type="dxa"/>
              <w:end w:w="95" w:type="dxa"/>
            </w:tcMar>
            <w:shd w:fill="F3F6F8"/>
          </w:tcPr>
          <w:p>
            <w:pPr>
              <w:spacing w:after="0"/>
            </w:pPr>
            <w:r>
              <w:rPr>
                <w:b/>
                <w:color w:val="0B6B69"/>
                <w:sz w:val="14"/>
              </w:rPr>
              <w:t>13. Capstone</w:t>
            </w:r>
          </w:p>
        </w:tc>
        <w:tc>
          <w:tcPr>
            <w:tcW w:type="dxa" w:w="6264"/>
            <w:vAlign w:val="center"/>
            <w:tcMar>
              <w:top w:w="80" w:type="dxa"/>
              <w:start w:w="95" w:type="dxa"/>
              <w:bottom w:w="80" w:type="dxa"/>
              <w:end w:w="95" w:type="dxa"/>
            </w:tcMar>
            <w:shd w:fill="F3F6F8"/>
          </w:tcPr>
          <w:p>
            <w:pPr>
              <w:spacing w:after="0"/>
            </w:pPr>
            <w:r>
              <w:rPr>
                <w:sz w:val="14"/>
              </w:rPr>
              <w:t>A documented, benchmarked and reviewed workplace implementation.</w:t>
            </w:r>
          </w:p>
        </w:tc>
      </w:tr>
    </w:tbl>
    <w:p>
      <w:pPr>
        <w:spacing w:after="0"/>
      </w:pPr>
    </w:p>
    <w:p>
      <w:pPr>
        <w:pStyle w:val="Heading2"/>
      </w:pPr>
      <w:r>
        <w:t>25. Domain laboratories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Laboratory</w:t>
            </w:r>
          </w:p>
        </w:tc>
        <w:tc>
          <w:tcPr>
            <w:tcW w:type="dxa" w:w="4997"/>
            <w:shd w:fill="17324D"/>
            <w:tcMar>
              <w:top w:w="90" w:type="dxa"/>
              <w:start w:w="100" w:type="dxa"/>
              <w:bottom w:w="90" w:type="dxa"/>
              <w:end w:w="100" w:type="dxa"/>
            </w:tcMar>
          </w:tcPr>
          <w:p>
            <w:pPr>
              <w:spacing w:after="0"/>
            </w:pPr>
            <w:r>
              <w:rPr>
                <w:b/>
                <w:color w:val="FFFFFF"/>
                <w:sz w:val="16"/>
              </w:rPr>
              <w:t>Illustrative scope</w:t>
            </w:r>
          </w:p>
        </w:tc>
      </w:tr>
      <w:tr>
        <w:tc>
          <w:tcPr>
            <w:tcW w:type="dxa" w:w="3816"/>
            <w:vAlign w:val="center"/>
            <w:tcMar>
              <w:top w:w="80" w:type="dxa"/>
              <w:start w:w="95" w:type="dxa"/>
              <w:bottom w:w="80" w:type="dxa"/>
              <w:end w:w="95" w:type="dxa"/>
            </w:tcMar>
            <w:shd w:fill="F3F6F8"/>
          </w:tcPr>
          <w:p>
            <w:pPr>
              <w:spacing w:after="0"/>
            </w:pPr>
            <w:r>
              <w:rPr>
                <w:b/>
                <w:color w:val="0B6B69"/>
                <w:sz w:val="16"/>
              </w:rPr>
              <w:t>Population, demography and migration</w:t>
            </w:r>
          </w:p>
        </w:tc>
        <w:tc>
          <w:tcPr>
            <w:tcW w:type="dxa" w:w="5544"/>
            <w:vAlign w:val="center"/>
            <w:tcMar>
              <w:top w:w="80" w:type="dxa"/>
              <w:start w:w="95" w:type="dxa"/>
              <w:bottom w:w="80" w:type="dxa"/>
              <w:end w:w="95" w:type="dxa"/>
            </w:tcMar>
            <w:shd w:fill="F3F6F8"/>
          </w:tcPr>
          <w:p>
            <w:pPr>
              <w:spacing w:after="0"/>
            </w:pPr>
            <w:r>
              <w:rPr>
                <w:sz w:val="16"/>
              </w:rPr>
              <w:t>Census, registration, migration, fertility, mortality and population estimates.</w:t>
            </w:r>
          </w:p>
        </w:tc>
      </w:tr>
      <w:tr>
        <w:tc>
          <w:tcPr>
            <w:tcW w:type="dxa" w:w="3816"/>
            <w:vAlign w:val="center"/>
            <w:tcMar>
              <w:top w:w="80" w:type="dxa"/>
              <w:start w:w="95" w:type="dxa"/>
              <w:bottom w:w="80" w:type="dxa"/>
              <w:end w:w="95" w:type="dxa"/>
            </w:tcMar>
          </w:tcPr>
          <w:p>
            <w:pPr>
              <w:spacing w:after="0"/>
            </w:pPr>
            <w:r>
              <w:rPr>
                <w:b/>
                <w:color w:val="0B6B69"/>
                <w:sz w:val="16"/>
              </w:rPr>
              <w:t>Health and education</w:t>
            </w:r>
          </w:p>
        </w:tc>
        <w:tc>
          <w:tcPr>
            <w:tcW w:type="dxa" w:w="5544"/>
            <w:vAlign w:val="center"/>
            <w:tcMar>
              <w:top w:w="80" w:type="dxa"/>
              <w:start w:w="95" w:type="dxa"/>
              <w:bottom w:w="80" w:type="dxa"/>
              <w:end w:w="95" w:type="dxa"/>
            </w:tcMar>
          </w:tcPr>
          <w:p>
            <w:pPr>
              <w:spacing w:after="0"/>
            </w:pPr>
            <w:r>
              <w:rPr>
                <w:sz w:val="16"/>
              </w:rPr>
              <w:t>Service records, classifications, facility systems, surveys and outcome indicators.</w:t>
            </w:r>
          </w:p>
        </w:tc>
      </w:tr>
      <w:tr>
        <w:tc>
          <w:tcPr>
            <w:tcW w:type="dxa" w:w="3816"/>
            <w:vAlign w:val="center"/>
            <w:tcMar>
              <w:top w:w="80" w:type="dxa"/>
              <w:start w:w="95" w:type="dxa"/>
              <w:bottom w:w="80" w:type="dxa"/>
              <w:end w:w="95" w:type="dxa"/>
            </w:tcMar>
            <w:shd w:fill="F3F6F8"/>
          </w:tcPr>
          <w:p>
            <w:pPr>
              <w:spacing w:after="0"/>
            </w:pPr>
            <w:r>
              <w:rPr>
                <w:b/>
                <w:color w:val="0B6B69"/>
                <w:sz w:val="16"/>
              </w:rPr>
              <w:t>Labour, poverty and living conditions</w:t>
            </w:r>
          </w:p>
        </w:tc>
        <w:tc>
          <w:tcPr>
            <w:tcW w:type="dxa" w:w="5544"/>
            <w:vAlign w:val="center"/>
            <w:tcMar>
              <w:top w:w="80" w:type="dxa"/>
              <w:start w:w="95" w:type="dxa"/>
              <w:bottom w:w="80" w:type="dxa"/>
              <w:end w:w="95" w:type="dxa"/>
            </w:tcMar>
            <w:shd w:fill="F3F6F8"/>
          </w:tcPr>
          <w:p>
            <w:pPr>
              <w:spacing w:after="0"/>
            </w:pPr>
            <w:r>
              <w:rPr>
                <w:sz w:val="16"/>
              </w:rPr>
              <w:t>Household surveys, employment, income, consumption and multidimensional welfare.</w:t>
            </w:r>
          </w:p>
        </w:tc>
      </w:tr>
      <w:tr>
        <w:tc>
          <w:tcPr>
            <w:tcW w:type="dxa" w:w="3816"/>
            <w:vAlign w:val="center"/>
            <w:tcMar>
              <w:top w:w="80" w:type="dxa"/>
              <w:start w:w="95" w:type="dxa"/>
              <w:bottom w:w="80" w:type="dxa"/>
              <w:end w:w="95" w:type="dxa"/>
            </w:tcMar>
          </w:tcPr>
          <w:p>
            <w:pPr>
              <w:spacing w:after="0"/>
            </w:pPr>
            <w:r>
              <w:rPr>
                <w:b/>
                <w:color w:val="0B6B69"/>
                <w:sz w:val="16"/>
              </w:rPr>
              <w:t>National accounts and economic statistics</w:t>
            </w:r>
          </w:p>
        </w:tc>
        <w:tc>
          <w:tcPr>
            <w:tcW w:type="dxa" w:w="5544"/>
            <w:vAlign w:val="center"/>
            <w:tcMar>
              <w:top w:w="80" w:type="dxa"/>
              <w:start w:w="95" w:type="dxa"/>
              <w:bottom w:w="80" w:type="dxa"/>
              <w:end w:w="95" w:type="dxa"/>
            </w:tcMar>
          </w:tcPr>
          <w:p>
            <w:pPr>
              <w:spacing w:after="0"/>
            </w:pPr>
            <w:r>
              <w:rPr>
                <w:sz w:val="16"/>
              </w:rPr>
              <w:t>Macroeconomic integration, business registers, benchmarking and revisions.</w:t>
            </w:r>
          </w:p>
        </w:tc>
      </w:tr>
      <w:tr>
        <w:tc>
          <w:tcPr>
            <w:tcW w:type="dxa" w:w="3816"/>
            <w:vAlign w:val="center"/>
            <w:tcMar>
              <w:top w:w="80" w:type="dxa"/>
              <w:start w:w="95" w:type="dxa"/>
              <w:bottom w:w="80" w:type="dxa"/>
              <w:end w:w="95" w:type="dxa"/>
            </w:tcMar>
            <w:shd w:fill="F3F6F8"/>
          </w:tcPr>
          <w:p>
            <w:pPr>
              <w:spacing w:after="0"/>
            </w:pPr>
            <w:r>
              <w:rPr>
                <w:b/>
                <w:color w:val="0B6B69"/>
                <w:sz w:val="16"/>
              </w:rPr>
              <w:t>Prices, business and trade</w:t>
            </w:r>
          </w:p>
        </w:tc>
        <w:tc>
          <w:tcPr>
            <w:tcW w:type="dxa" w:w="5544"/>
            <w:vAlign w:val="center"/>
            <w:tcMar>
              <w:top w:w="80" w:type="dxa"/>
              <w:start w:w="95" w:type="dxa"/>
              <w:bottom w:w="80" w:type="dxa"/>
              <w:end w:w="95" w:type="dxa"/>
            </w:tcMar>
            <w:shd w:fill="F3F6F8"/>
          </w:tcPr>
          <w:p>
            <w:pPr>
              <w:spacing w:after="0"/>
            </w:pPr>
            <w:r>
              <w:rPr>
                <w:sz w:val="16"/>
              </w:rPr>
              <w:t>CPI, scanner/web data, products, enterprises, customs and external transactions.</w:t>
            </w:r>
          </w:p>
        </w:tc>
      </w:tr>
      <w:tr>
        <w:tc>
          <w:tcPr>
            <w:tcW w:type="dxa" w:w="3816"/>
            <w:vAlign w:val="center"/>
            <w:tcMar>
              <w:top w:w="80" w:type="dxa"/>
              <w:start w:w="95" w:type="dxa"/>
              <w:bottom w:w="80" w:type="dxa"/>
              <w:end w:w="95" w:type="dxa"/>
            </w:tcMar>
          </w:tcPr>
          <w:p>
            <w:pPr>
              <w:spacing w:after="0"/>
            </w:pPr>
            <w:r>
              <w:rPr>
                <w:b/>
                <w:color w:val="0B6B69"/>
                <w:sz w:val="16"/>
              </w:rPr>
              <w:t>Agriculture, forestry, fisheries and food security</w:t>
            </w:r>
          </w:p>
        </w:tc>
        <w:tc>
          <w:tcPr>
            <w:tcW w:type="dxa" w:w="5544"/>
            <w:vAlign w:val="center"/>
            <w:tcMar>
              <w:top w:w="80" w:type="dxa"/>
              <w:start w:w="95" w:type="dxa"/>
              <w:bottom w:w="80" w:type="dxa"/>
              <w:end w:w="95" w:type="dxa"/>
            </w:tcMar>
          </w:tcPr>
          <w:p>
            <w:pPr>
              <w:spacing w:after="0"/>
            </w:pPr>
            <w:r>
              <w:rPr>
                <w:sz w:val="16"/>
              </w:rPr>
              <w:t>Censuses, surveys, registers, research trials, EO, yields and food systems.</w:t>
            </w:r>
          </w:p>
        </w:tc>
      </w:tr>
      <w:tr>
        <w:tc>
          <w:tcPr>
            <w:tcW w:type="dxa" w:w="3816"/>
            <w:vAlign w:val="center"/>
            <w:tcMar>
              <w:top w:w="80" w:type="dxa"/>
              <w:start w:w="95" w:type="dxa"/>
              <w:bottom w:w="80" w:type="dxa"/>
              <w:end w:w="95" w:type="dxa"/>
            </w:tcMar>
            <w:shd w:fill="F3F6F8"/>
          </w:tcPr>
          <w:p>
            <w:pPr>
              <w:spacing w:after="0"/>
            </w:pPr>
            <w:r>
              <w:rPr>
                <w:b/>
                <w:color w:val="0B6B69"/>
                <w:sz w:val="16"/>
              </w:rPr>
              <w:t>Environment, climate, energy and resources</w:t>
            </w:r>
          </w:p>
        </w:tc>
        <w:tc>
          <w:tcPr>
            <w:tcW w:type="dxa" w:w="5544"/>
            <w:vAlign w:val="center"/>
            <w:tcMar>
              <w:top w:w="80" w:type="dxa"/>
              <w:start w:w="95" w:type="dxa"/>
              <w:bottom w:w="80" w:type="dxa"/>
              <w:end w:w="95" w:type="dxa"/>
            </w:tcMar>
            <w:shd w:fill="F3F6F8"/>
          </w:tcPr>
          <w:p>
            <w:pPr>
              <w:spacing w:after="0"/>
            </w:pPr>
            <w:r>
              <w:rPr>
                <w:sz w:val="16"/>
              </w:rPr>
              <w:t>Emissions, ecosystems, water, waste, biodiversity, energy and climate risks.</w:t>
            </w:r>
          </w:p>
        </w:tc>
      </w:tr>
      <w:tr>
        <w:tc>
          <w:tcPr>
            <w:tcW w:type="dxa" w:w="3816"/>
            <w:vAlign w:val="center"/>
            <w:tcMar>
              <w:top w:w="80" w:type="dxa"/>
              <w:start w:w="95" w:type="dxa"/>
              <w:bottom w:w="80" w:type="dxa"/>
              <w:end w:w="95" w:type="dxa"/>
            </w:tcMar>
          </w:tcPr>
          <w:p>
            <w:pPr>
              <w:spacing w:after="0"/>
            </w:pPr>
            <w:r>
              <w:rPr>
                <w:b/>
                <w:color w:val="0B6B69"/>
                <w:sz w:val="16"/>
              </w:rPr>
              <w:t>Housing, habitat, transport and spatial statistics</w:t>
            </w:r>
          </w:p>
        </w:tc>
        <w:tc>
          <w:tcPr>
            <w:tcW w:type="dxa" w:w="5544"/>
            <w:vAlign w:val="center"/>
            <w:tcMar>
              <w:top w:w="80" w:type="dxa"/>
              <w:start w:w="95" w:type="dxa"/>
              <w:bottom w:w="80" w:type="dxa"/>
              <w:end w:w="95" w:type="dxa"/>
            </w:tcMar>
          </w:tcPr>
          <w:p>
            <w:pPr>
              <w:spacing w:after="0"/>
            </w:pPr>
            <w:r>
              <w:rPr>
                <w:sz w:val="16"/>
              </w:rPr>
              <w:t>Settlements, housing stock, infrastructure, mobility and regional development.</w:t>
            </w:r>
          </w:p>
        </w:tc>
      </w:tr>
      <w:tr>
        <w:tc>
          <w:tcPr>
            <w:tcW w:type="dxa" w:w="3816"/>
            <w:vAlign w:val="center"/>
            <w:tcMar>
              <w:top w:w="80" w:type="dxa"/>
              <w:start w:w="95" w:type="dxa"/>
              <w:bottom w:w="80" w:type="dxa"/>
              <w:end w:w="95" w:type="dxa"/>
            </w:tcMar>
            <w:shd w:fill="F3F6F8"/>
          </w:tcPr>
          <w:p>
            <w:pPr>
              <w:spacing w:after="0"/>
            </w:pPr>
            <w:r>
              <w:rPr>
                <w:b/>
                <w:color w:val="0B6B69"/>
                <w:sz w:val="16"/>
              </w:rPr>
              <w:t>Cross-domain and SDG integration</w:t>
            </w:r>
          </w:p>
        </w:tc>
        <w:tc>
          <w:tcPr>
            <w:tcW w:type="dxa" w:w="5544"/>
            <w:vAlign w:val="center"/>
            <w:tcMar>
              <w:top w:w="80" w:type="dxa"/>
              <w:start w:w="95" w:type="dxa"/>
              <w:bottom w:w="80" w:type="dxa"/>
              <w:end w:w="95" w:type="dxa"/>
            </w:tcMar>
            <w:shd w:fill="F3F6F8"/>
          </w:tcPr>
          <w:p>
            <w:pPr>
              <w:spacing w:after="0"/>
            </w:pPr>
            <w:r>
              <w:rPr>
                <w:sz w:val="16"/>
              </w:rPr>
              <w:t>Integrated indicators, gender, children, resilience, rural development and well-being.</w:t>
            </w:r>
          </w:p>
        </w:tc>
      </w:tr>
    </w:tbl>
    <w:p>
      <w:pPr>
        <w:spacing w:after="0"/>
      </w:pPr>
    </w:p>
    <w:p>
      <w:pPr>
        <w:pStyle w:val="Heading2"/>
      </w:pPr>
      <w:r>
        <w:t>26. Professional pathways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Pathway</w:t>
            </w:r>
          </w:p>
        </w:tc>
        <w:tc>
          <w:tcPr>
            <w:tcW w:type="dxa" w:w="4997"/>
            <w:shd w:fill="17324D"/>
            <w:tcMar>
              <w:top w:w="90" w:type="dxa"/>
              <w:start w:w="100" w:type="dxa"/>
              <w:bottom w:w="90" w:type="dxa"/>
              <w:end w:w="100" w:type="dxa"/>
            </w:tcMar>
          </w:tcPr>
          <w:p>
            <w:pPr>
              <w:spacing w:after="0"/>
            </w:pPr>
            <w:r>
              <w:rPr>
                <w:b/>
                <w:color w:val="FFFFFF"/>
                <w:sz w:val="16"/>
              </w:rPr>
              <w:t>Emphasis</w:t>
            </w:r>
          </w:p>
        </w:tc>
      </w:tr>
      <w:tr>
        <w:tc>
          <w:tcPr>
            <w:tcW w:type="dxa" w:w="3240"/>
            <w:vAlign w:val="center"/>
            <w:tcMar>
              <w:top w:w="80" w:type="dxa"/>
              <w:start w:w="95" w:type="dxa"/>
              <w:bottom w:w="80" w:type="dxa"/>
              <w:end w:w="95" w:type="dxa"/>
            </w:tcMar>
            <w:shd w:fill="F3F6F8"/>
          </w:tcPr>
          <w:p>
            <w:pPr>
              <w:spacing w:after="0"/>
            </w:pPr>
            <w:r>
              <w:rPr>
                <w:b/>
                <w:color w:val="0B6B69"/>
                <w:sz w:val="16"/>
              </w:rPr>
              <w:t>Subject-matter statistician</w:t>
            </w:r>
          </w:p>
        </w:tc>
        <w:tc>
          <w:tcPr>
            <w:tcW w:type="dxa" w:w="6120"/>
            <w:vAlign w:val="center"/>
            <w:tcMar>
              <w:top w:w="80" w:type="dxa"/>
              <w:start w:w="95" w:type="dxa"/>
              <w:bottom w:w="80" w:type="dxa"/>
              <w:end w:w="95" w:type="dxa"/>
            </w:tcMar>
            <w:shd w:fill="F3F6F8"/>
          </w:tcPr>
          <w:p>
            <w:pPr>
              <w:spacing w:after="0"/>
            </w:pPr>
            <w:r>
              <w:rPr>
                <w:sz w:val="16"/>
              </w:rPr>
              <w:t>Applying and checking AI within a statistical domain.</w:t>
            </w:r>
          </w:p>
        </w:tc>
      </w:tr>
      <w:tr>
        <w:tc>
          <w:tcPr>
            <w:tcW w:type="dxa" w:w="3240"/>
            <w:vAlign w:val="center"/>
            <w:tcMar>
              <w:top w:w="80" w:type="dxa"/>
              <w:start w:w="95" w:type="dxa"/>
              <w:bottom w:w="80" w:type="dxa"/>
              <w:end w:w="95" w:type="dxa"/>
            </w:tcMar>
          </w:tcPr>
          <w:p>
            <w:pPr>
              <w:spacing w:after="0"/>
            </w:pPr>
            <w:r>
              <w:rPr>
                <w:b/>
                <w:color w:val="0B6B69"/>
                <w:sz w:val="16"/>
              </w:rPr>
              <w:t>Survey/census methodologist</w:t>
            </w:r>
          </w:p>
        </w:tc>
        <w:tc>
          <w:tcPr>
            <w:tcW w:type="dxa" w:w="6120"/>
            <w:vAlign w:val="center"/>
            <w:tcMar>
              <w:top w:w="80" w:type="dxa"/>
              <w:start w:w="95" w:type="dxa"/>
              <w:bottom w:w="80" w:type="dxa"/>
              <w:end w:w="95" w:type="dxa"/>
            </w:tcMar>
          </w:tcPr>
          <w:p>
            <w:pPr>
              <w:spacing w:after="0"/>
            </w:pPr>
            <w:r>
              <w:rPr>
                <w:sz w:val="16"/>
              </w:rPr>
              <w:t>Measurement, sampling, estimation and total survey error.</w:t>
            </w:r>
          </w:p>
        </w:tc>
      </w:tr>
      <w:tr>
        <w:tc>
          <w:tcPr>
            <w:tcW w:type="dxa" w:w="3240"/>
            <w:vAlign w:val="center"/>
            <w:tcMar>
              <w:top w:w="80" w:type="dxa"/>
              <w:start w:w="95" w:type="dxa"/>
              <w:bottom w:w="80" w:type="dxa"/>
              <w:end w:w="95" w:type="dxa"/>
            </w:tcMar>
            <w:shd w:fill="F3F6F8"/>
          </w:tcPr>
          <w:p>
            <w:pPr>
              <w:spacing w:after="0"/>
            </w:pPr>
            <w:r>
              <w:rPr>
                <w:b/>
                <w:color w:val="0B6B69"/>
                <w:sz w:val="16"/>
              </w:rPr>
              <w:t>Data processor/programmer</w:t>
            </w:r>
          </w:p>
        </w:tc>
        <w:tc>
          <w:tcPr>
            <w:tcW w:type="dxa" w:w="6120"/>
            <w:vAlign w:val="center"/>
            <w:tcMar>
              <w:top w:w="80" w:type="dxa"/>
              <w:start w:w="95" w:type="dxa"/>
              <w:bottom w:w="80" w:type="dxa"/>
              <w:end w:w="95" w:type="dxa"/>
            </w:tcMar>
            <w:shd w:fill="F3F6F8"/>
          </w:tcPr>
          <w:p>
            <w:pPr>
              <w:spacing w:after="0"/>
            </w:pPr>
            <w:r>
              <w:rPr>
                <w:sz w:val="16"/>
              </w:rPr>
              <w:t>Pipelines, code generation, testing, deployment and documentation.</w:t>
            </w:r>
          </w:p>
        </w:tc>
      </w:tr>
      <w:tr>
        <w:tc>
          <w:tcPr>
            <w:tcW w:type="dxa" w:w="3240"/>
            <w:vAlign w:val="center"/>
            <w:tcMar>
              <w:top w:w="80" w:type="dxa"/>
              <w:start w:w="95" w:type="dxa"/>
              <w:bottom w:w="80" w:type="dxa"/>
              <w:end w:w="95" w:type="dxa"/>
            </w:tcMar>
          </w:tcPr>
          <w:p>
            <w:pPr>
              <w:spacing w:after="0"/>
            </w:pPr>
            <w:r>
              <w:rPr>
                <w:b/>
                <w:color w:val="0B6B69"/>
                <w:sz w:val="16"/>
              </w:rPr>
              <w:t>Data scientist/geospatial specialist</w:t>
            </w:r>
          </w:p>
        </w:tc>
        <w:tc>
          <w:tcPr>
            <w:tcW w:type="dxa" w:w="6120"/>
            <w:vAlign w:val="center"/>
            <w:tcMar>
              <w:top w:w="80" w:type="dxa"/>
              <w:start w:w="95" w:type="dxa"/>
              <w:bottom w:w="80" w:type="dxa"/>
              <w:end w:w="95" w:type="dxa"/>
            </w:tcMar>
          </w:tcPr>
          <w:p>
            <w:pPr>
              <w:spacing w:after="0"/>
            </w:pPr>
            <w:r>
              <w:rPr>
                <w:sz w:val="16"/>
              </w:rPr>
              <w:t>Machine learning, alternative data, models and validation.</w:t>
            </w:r>
          </w:p>
        </w:tc>
      </w:tr>
      <w:tr>
        <w:tc>
          <w:tcPr>
            <w:tcW w:type="dxa" w:w="3240"/>
            <w:vAlign w:val="center"/>
            <w:tcMar>
              <w:top w:w="80" w:type="dxa"/>
              <w:start w:w="95" w:type="dxa"/>
              <w:bottom w:w="80" w:type="dxa"/>
              <w:end w:w="95" w:type="dxa"/>
            </w:tcMar>
            <w:shd w:fill="F3F6F8"/>
          </w:tcPr>
          <w:p>
            <w:pPr>
              <w:spacing w:after="0"/>
            </w:pPr>
            <w:r>
              <w:rPr>
                <w:b/>
                <w:color w:val="0B6B69"/>
                <w:sz w:val="16"/>
              </w:rPr>
              <w:t>Dissemination specialist</w:t>
            </w:r>
          </w:p>
        </w:tc>
        <w:tc>
          <w:tcPr>
            <w:tcW w:type="dxa" w:w="6120"/>
            <w:vAlign w:val="center"/>
            <w:tcMar>
              <w:top w:w="80" w:type="dxa"/>
              <w:start w:w="95" w:type="dxa"/>
              <w:bottom w:w="80" w:type="dxa"/>
              <w:end w:w="95" w:type="dxa"/>
            </w:tcMar>
            <w:shd w:fill="F3F6F8"/>
          </w:tcPr>
          <w:p>
            <w:pPr>
              <w:spacing w:after="0"/>
            </w:pPr>
            <w:r>
              <w:rPr>
                <w:sz w:val="16"/>
              </w:rPr>
              <w:t>Narratives, visualization, accessibility, metadata and user services.</w:t>
            </w:r>
          </w:p>
        </w:tc>
      </w:tr>
      <w:tr>
        <w:tc>
          <w:tcPr>
            <w:tcW w:type="dxa" w:w="3240"/>
            <w:vAlign w:val="center"/>
            <w:tcMar>
              <w:top w:w="80" w:type="dxa"/>
              <w:start w:w="95" w:type="dxa"/>
              <w:bottom w:w="80" w:type="dxa"/>
              <w:end w:w="95" w:type="dxa"/>
            </w:tcMar>
          </w:tcPr>
          <w:p>
            <w:pPr>
              <w:spacing w:after="0"/>
            </w:pPr>
            <w:r>
              <w:rPr>
                <w:b/>
                <w:color w:val="0B6B69"/>
                <w:sz w:val="16"/>
              </w:rPr>
              <w:t>Statistical manager</w:t>
            </w:r>
          </w:p>
        </w:tc>
        <w:tc>
          <w:tcPr>
            <w:tcW w:type="dxa" w:w="6120"/>
            <w:vAlign w:val="center"/>
            <w:tcMar>
              <w:top w:w="80" w:type="dxa"/>
              <w:start w:w="95" w:type="dxa"/>
              <w:bottom w:w="80" w:type="dxa"/>
              <w:end w:w="95" w:type="dxa"/>
            </w:tcMar>
          </w:tcPr>
          <w:p>
            <w:pPr>
              <w:spacing w:after="0"/>
            </w:pPr>
            <w:r>
              <w:rPr>
                <w:sz w:val="16"/>
              </w:rPr>
              <w:t>Governance, portfolio choices, workforce, quality and risk.</w:t>
            </w:r>
          </w:p>
        </w:tc>
      </w:tr>
      <w:tr>
        <w:tc>
          <w:tcPr>
            <w:tcW w:type="dxa" w:w="3240"/>
            <w:vAlign w:val="center"/>
            <w:tcMar>
              <w:top w:w="80" w:type="dxa"/>
              <w:start w:w="95" w:type="dxa"/>
              <w:bottom w:w="80" w:type="dxa"/>
              <w:end w:w="95" w:type="dxa"/>
            </w:tcMar>
            <w:shd w:fill="F3F6F8"/>
          </w:tcPr>
          <w:p>
            <w:pPr>
              <w:spacing w:after="0"/>
            </w:pPr>
            <w:r>
              <w:rPr>
                <w:b/>
                <w:color w:val="0B6B69"/>
                <w:sz w:val="16"/>
              </w:rPr>
              <w:t>Senior executive</w:t>
            </w:r>
          </w:p>
        </w:tc>
        <w:tc>
          <w:tcPr>
            <w:tcW w:type="dxa" w:w="6120"/>
            <w:vAlign w:val="center"/>
            <w:tcMar>
              <w:top w:w="80" w:type="dxa"/>
              <w:start w:w="95" w:type="dxa"/>
              <w:bottom w:w="80" w:type="dxa"/>
              <w:end w:w="95" w:type="dxa"/>
            </w:tcMar>
            <w:shd w:fill="F3F6F8"/>
          </w:tcPr>
          <w:p>
            <w:pPr>
              <w:spacing w:after="0"/>
            </w:pPr>
            <w:r>
              <w:rPr>
                <w:sz w:val="16"/>
              </w:rPr>
              <w:t>Strategy, accountability, investment and public trust.</w:t>
            </w:r>
          </w:p>
        </w:tc>
      </w:tr>
      <w:tr>
        <w:tc>
          <w:tcPr>
            <w:tcW w:type="dxa" w:w="3240"/>
            <w:vAlign w:val="center"/>
            <w:tcMar>
              <w:top w:w="80" w:type="dxa"/>
              <w:start w:w="95" w:type="dxa"/>
              <w:bottom w:w="80" w:type="dxa"/>
              <w:end w:w="95" w:type="dxa"/>
            </w:tcMar>
          </w:tcPr>
          <w:p>
            <w:pPr>
              <w:spacing w:after="0"/>
            </w:pPr>
            <w:r>
              <w:rPr>
                <w:b/>
                <w:color w:val="0B6B69"/>
                <w:sz w:val="16"/>
              </w:rPr>
              <w:t>Trainer/change champion</w:t>
            </w:r>
          </w:p>
        </w:tc>
        <w:tc>
          <w:tcPr>
            <w:tcW w:type="dxa" w:w="6120"/>
            <w:vAlign w:val="center"/>
            <w:tcMar>
              <w:top w:w="80" w:type="dxa"/>
              <w:start w:w="95" w:type="dxa"/>
              <w:bottom w:w="80" w:type="dxa"/>
              <w:end w:w="95" w:type="dxa"/>
            </w:tcMar>
          </w:tcPr>
          <w:p>
            <w:pPr>
              <w:spacing w:after="0"/>
            </w:pPr>
            <w:r>
              <w:rPr>
                <w:sz w:val="16"/>
              </w:rPr>
              <w:t>Teaching, coaching, communities of practice and institutional adoption.</w:t>
            </w:r>
          </w:p>
        </w:tc>
      </w:tr>
    </w:tbl>
    <w:p>
      <w:pPr>
        <w:spacing w:after="0"/>
      </w:pPr>
    </w:p>
    <w:p>
      <w:pPr>
        <w:pStyle w:val="Heading2"/>
      </w:pPr>
      <w:r>
        <w:t>27. Delivery model</w:t>
      </w:r>
    </w:p>
    <w:p>
      <w:pPr>
        <w:pStyle w:val="ListBullet"/>
        <w:spacing w:after="50"/>
      </w:pPr>
      <w:r>
        <w:rPr>
          <w:b/>
        </w:rPr>
        <w:t xml:space="preserve">Duration: </w:t>
      </w:r>
      <w:r>
        <w:t>six to nine months for the complete professional programme.</w:t>
      </w:r>
    </w:p>
    <w:p>
      <w:pPr>
        <w:pStyle w:val="ListBullet"/>
        <w:spacing w:after="50"/>
      </w:pPr>
      <w:r>
        <w:rPr>
          <w:b/>
        </w:rPr>
        <w:t xml:space="preserve">Learning balance: </w:t>
      </w:r>
      <w:r>
        <w:t>approximately 20% concepts, 60% supervised practice and 20% workplace application and peer review.</w:t>
      </w:r>
    </w:p>
    <w:p>
      <w:pPr>
        <w:pStyle w:val="ListBullet"/>
        <w:spacing w:after="50"/>
      </w:pPr>
      <w:r>
        <w:rPr>
          <w:b/>
        </w:rPr>
        <w:t xml:space="preserve">Participation unit: </w:t>
      </w:r>
      <w:r>
        <w:t>country or institutional teams rather than isolated individuals.</w:t>
      </w:r>
    </w:p>
    <w:p>
      <w:pPr>
        <w:pStyle w:val="ListBullet"/>
        <w:spacing w:after="50"/>
      </w:pPr>
      <w:r>
        <w:rPr>
          <w:b/>
        </w:rPr>
        <w:t xml:space="preserve">Assessment: </w:t>
      </w:r>
      <w:r>
        <w:t>competency evidence, practical tasks, peer review and a validated capstone—not attendance alone.</w:t>
      </w:r>
    </w:p>
    <w:p>
      <w:pPr>
        <w:pStyle w:val="ListBullet"/>
        <w:spacing w:after="50"/>
      </w:pPr>
      <w:r>
        <w:rPr>
          <w:b/>
        </w:rPr>
        <w:t xml:space="preserve">Sustainability: </w:t>
      </w:r>
      <w:r>
        <w:t>trainers, reusable materials, shared repositories and a continuing community of practice.</w:t>
      </w:r>
    </w:p>
    <w:p>
      <w:pPr>
        <w:pStyle w:val="Heading1"/>
      </w:pPr>
      <w:r>
        <w:t>Part VII. Step-by-step implementation roadmap</w:t>
      </w:r>
    </w:p>
    <w:p>
      <w:pPr>
        <w:pStyle w:val="Heading2"/>
      </w:pPr>
      <w:r>
        <w:t>28. Implementation principle</w:t>
      </w:r>
    </w:p>
    <w:p>
      <w:r>
        <w:t>The programme should be implemented as a sequence of evidence-based design and pilot decisions. Detailed content should not be produced in isolation from country realities, participant roles and actual statistical workflows.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5"/>
              </w:rPr>
              <w:t>Phase</w:t>
            </w:r>
          </w:p>
        </w:tc>
        <w:tc>
          <w:tcPr>
            <w:tcW w:type="dxa" w:w="3331"/>
            <w:shd w:fill="17324D"/>
            <w:tcMar>
              <w:top w:w="90" w:type="dxa"/>
              <w:start w:w="100" w:type="dxa"/>
              <w:bottom w:w="90" w:type="dxa"/>
              <w:end w:w="100" w:type="dxa"/>
            </w:tcMar>
          </w:tcPr>
          <w:p>
            <w:pPr>
              <w:spacing w:after="0"/>
            </w:pPr>
            <w:r>
              <w:rPr>
                <w:b/>
                <w:color w:val="FFFFFF"/>
                <w:sz w:val="15"/>
              </w:rPr>
              <w:t>Purpose</w:t>
            </w:r>
          </w:p>
        </w:tc>
        <w:tc>
          <w:tcPr>
            <w:tcW w:type="dxa" w:w="3331"/>
            <w:shd w:fill="17324D"/>
            <w:tcMar>
              <w:top w:w="90" w:type="dxa"/>
              <w:start w:w="100" w:type="dxa"/>
              <w:bottom w:w="90" w:type="dxa"/>
              <w:end w:w="100" w:type="dxa"/>
            </w:tcMar>
          </w:tcPr>
          <w:p>
            <w:pPr>
              <w:spacing w:after="0"/>
            </w:pPr>
            <w:r>
              <w:rPr>
                <w:b/>
                <w:color w:val="FFFFFF"/>
                <w:sz w:val="15"/>
              </w:rPr>
              <w:t>Principal deliverables</w:t>
            </w:r>
          </w:p>
        </w:tc>
      </w:tr>
      <w:tr>
        <w:tc>
          <w:tcPr>
            <w:tcW w:type="dxa" w:w="1800"/>
            <w:vAlign w:val="center"/>
            <w:tcMar>
              <w:top w:w="80" w:type="dxa"/>
              <w:start w:w="95" w:type="dxa"/>
              <w:bottom w:w="80" w:type="dxa"/>
              <w:end w:w="95" w:type="dxa"/>
            </w:tcMar>
            <w:shd w:fill="F3F6F8"/>
          </w:tcPr>
          <w:p>
            <w:pPr>
              <w:spacing w:after="0"/>
            </w:pPr>
            <w:r>
              <w:rPr>
                <w:b/>
                <w:color w:val="0B6B69"/>
                <w:sz w:val="15"/>
              </w:rPr>
              <w:t>0. Mandate and sponsorship</w:t>
            </w:r>
          </w:p>
        </w:tc>
        <w:tc>
          <w:tcPr>
            <w:tcW w:type="dxa" w:w="3456"/>
            <w:vAlign w:val="center"/>
            <w:tcMar>
              <w:top w:w="80" w:type="dxa"/>
              <w:start w:w="95" w:type="dxa"/>
              <w:bottom w:w="80" w:type="dxa"/>
              <w:end w:w="95" w:type="dxa"/>
            </w:tcMar>
            <w:shd w:fill="F3F6F8"/>
          </w:tcPr>
          <w:p>
            <w:pPr>
              <w:spacing w:after="0"/>
            </w:pPr>
            <w:r>
              <w:rPr>
                <w:sz w:val="15"/>
              </w:rPr>
              <w:t>Confirm ownership, audience, partners and decision structure.</w:t>
            </w:r>
          </w:p>
        </w:tc>
        <w:tc>
          <w:tcPr>
            <w:tcW w:type="dxa" w:w="4104"/>
            <w:vAlign w:val="center"/>
            <w:tcMar>
              <w:top w:w="80" w:type="dxa"/>
              <w:start w:w="95" w:type="dxa"/>
              <w:bottom w:w="80" w:type="dxa"/>
              <w:end w:w="95" w:type="dxa"/>
            </w:tcMar>
            <w:shd w:fill="F3F6F8"/>
          </w:tcPr>
          <w:p>
            <w:pPr>
              <w:spacing w:after="0"/>
            </w:pPr>
            <w:r>
              <w:rPr>
                <w:sz w:val="15"/>
              </w:rPr>
              <w:t>Programme charter; steering group; technical advisory group.</w:t>
            </w:r>
          </w:p>
        </w:tc>
      </w:tr>
      <w:tr>
        <w:tc>
          <w:tcPr>
            <w:tcW w:type="dxa" w:w="1800"/>
            <w:vAlign w:val="center"/>
            <w:tcMar>
              <w:top w:w="80" w:type="dxa"/>
              <w:start w:w="95" w:type="dxa"/>
              <w:bottom w:w="80" w:type="dxa"/>
              <w:end w:w="95" w:type="dxa"/>
            </w:tcMar>
          </w:tcPr>
          <w:p>
            <w:pPr>
              <w:spacing w:after="0"/>
            </w:pPr>
            <w:r>
              <w:rPr>
                <w:b/>
                <w:color w:val="0B6B69"/>
                <w:sz w:val="15"/>
              </w:rPr>
              <w:t>1. Ecosystem and readiness diagnostic</w:t>
            </w:r>
          </w:p>
        </w:tc>
        <w:tc>
          <w:tcPr>
            <w:tcW w:type="dxa" w:w="3456"/>
            <w:vAlign w:val="center"/>
            <w:tcMar>
              <w:top w:w="80" w:type="dxa"/>
              <w:start w:w="95" w:type="dxa"/>
              <w:bottom w:w="80" w:type="dxa"/>
              <w:end w:w="95" w:type="dxa"/>
            </w:tcMar>
          </w:tcPr>
          <w:p>
            <w:pPr>
              <w:spacing w:after="0"/>
            </w:pPr>
            <w:r>
              <w:rPr>
                <w:sz w:val="15"/>
              </w:rPr>
              <w:t>Map institutions, sources, systems, workflows, skills, infrastructure and constraints.</w:t>
            </w:r>
          </w:p>
        </w:tc>
        <w:tc>
          <w:tcPr>
            <w:tcW w:type="dxa" w:w="4104"/>
            <w:vAlign w:val="center"/>
            <w:tcMar>
              <w:top w:w="80" w:type="dxa"/>
              <w:start w:w="95" w:type="dxa"/>
              <w:bottom w:w="80" w:type="dxa"/>
              <w:end w:w="95" w:type="dxa"/>
            </w:tcMar>
          </w:tcPr>
          <w:p>
            <w:pPr>
              <w:spacing w:after="0"/>
            </w:pPr>
            <w:r>
              <w:rPr>
                <w:sz w:val="15"/>
              </w:rPr>
              <w:t>Country/NSS ecosystem map; maturity profile; training-needs assessment.</w:t>
            </w:r>
          </w:p>
        </w:tc>
      </w:tr>
      <w:tr>
        <w:tc>
          <w:tcPr>
            <w:tcW w:type="dxa" w:w="1800"/>
            <w:vAlign w:val="center"/>
            <w:tcMar>
              <w:top w:w="80" w:type="dxa"/>
              <w:start w:w="95" w:type="dxa"/>
              <w:bottom w:w="80" w:type="dxa"/>
              <w:end w:w="95" w:type="dxa"/>
            </w:tcMar>
            <w:shd w:fill="F3F6F8"/>
          </w:tcPr>
          <w:p>
            <w:pPr>
              <w:spacing w:after="0"/>
            </w:pPr>
            <w:r>
              <w:rPr>
                <w:b/>
                <w:color w:val="0B6B69"/>
                <w:sz w:val="15"/>
              </w:rPr>
              <w:t>2. Competency and quality framework</w:t>
            </w:r>
          </w:p>
        </w:tc>
        <w:tc>
          <w:tcPr>
            <w:tcW w:type="dxa" w:w="3456"/>
            <w:vAlign w:val="center"/>
            <w:tcMar>
              <w:top w:w="80" w:type="dxa"/>
              <w:start w:w="95" w:type="dxa"/>
              <w:bottom w:w="80" w:type="dxa"/>
              <w:end w:w="95" w:type="dxa"/>
            </w:tcMar>
            <w:shd w:fill="F3F6F8"/>
          </w:tcPr>
          <w:p>
            <w:pPr>
              <w:spacing w:after="0"/>
            </w:pPr>
            <w:r>
              <w:rPr>
                <w:sz w:val="15"/>
              </w:rPr>
              <w:t>Define expected capabilities and approval evidence.</w:t>
            </w:r>
          </w:p>
        </w:tc>
        <w:tc>
          <w:tcPr>
            <w:tcW w:type="dxa" w:w="4104"/>
            <w:vAlign w:val="center"/>
            <w:tcMar>
              <w:top w:w="80" w:type="dxa"/>
              <w:start w:w="95" w:type="dxa"/>
              <w:bottom w:w="80" w:type="dxa"/>
              <w:end w:w="95" w:type="dxa"/>
            </w:tcMar>
            <w:shd w:fill="F3F6F8"/>
          </w:tcPr>
          <w:p>
            <w:pPr>
              <w:spacing w:after="0"/>
            </w:pPr>
            <w:r>
              <w:rPr>
                <w:sz w:val="15"/>
              </w:rPr>
              <w:t>Competency matrix; quality gate; assessment rubrics.</w:t>
            </w:r>
          </w:p>
        </w:tc>
      </w:tr>
      <w:tr>
        <w:tc>
          <w:tcPr>
            <w:tcW w:type="dxa" w:w="1800"/>
            <w:vAlign w:val="center"/>
            <w:tcMar>
              <w:top w:w="80" w:type="dxa"/>
              <w:start w:w="95" w:type="dxa"/>
              <w:bottom w:w="80" w:type="dxa"/>
              <w:end w:w="95" w:type="dxa"/>
            </w:tcMar>
          </w:tcPr>
          <w:p>
            <w:pPr>
              <w:spacing w:after="0"/>
            </w:pPr>
            <w:r>
              <w:rPr>
                <w:b/>
                <w:color w:val="0B6B69"/>
                <w:sz w:val="15"/>
              </w:rPr>
              <w:t>3. Use-case portfolio</w:t>
            </w:r>
          </w:p>
        </w:tc>
        <w:tc>
          <w:tcPr>
            <w:tcW w:type="dxa" w:w="3456"/>
            <w:vAlign w:val="center"/>
            <w:tcMar>
              <w:top w:w="80" w:type="dxa"/>
              <w:start w:w="95" w:type="dxa"/>
              <w:bottom w:w="80" w:type="dxa"/>
              <w:end w:w="95" w:type="dxa"/>
            </w:tcMar>
          </w:tcPr>
          <w:p>
            <w:pPr>
              <w:spacing w:after="0"/>
            </w:pPr>
            <w:r>
              <w:rPr>
                <w:sz w:val="15"/>
              </w:rPr>
              <w:t>Identify valuable, feasible and responsible applications.</w:t>
            </w:r>
          </w:p>
        </w:tc>
        <w:tc>
          <w:tcPr>
            <w:tcW w:type="dxa" w:w="4104"/>
            <w:vAlign w:val="center"/>
            <w:tcMar>
              <w:top w:w="80" w:type="dxa"/>
              <w:start w:w="95" w:type="dxa"/>
              <w:bottom w:w="80" w:type="dxa"/>
              <w:end w:w="95" w:type="dxa"/>
            </w:tcMar>
          </w:tcPr>
          <w:p>
            <w:pPr>
              <w:spacing w:after="0"/>
            </w:pPr>
            <w:r>
              <w:rPr>
                <w:sz w:val="15"/>
              </w:rPr>
              <w:t>Prioritized portfolio; risk classification; baseline measures.</w:t>
            </w:r>
          </w:p>
        </w:tc>
      </w:tr>
      <w:tr>
        <w:tc>
          <w:tcPr>
            <w:tcW w:type="dxa" w:w="1800"/>
            <w:vAlign w:val="center"/>
            <w:tcMar>
              <w:top w:w="80" w:type="dxa"/>
              <w:start w:w="95" w:type="dxa"/>
              <w:bottom w:w="80" w:type="dxa"/>
              <w:end w:w="95" w:type="dxa"/>
            </w:tcMar>
            <w:shd w:fill="F3F6F8"/>
          </w:tcPr>
          <w:p>
            <w:pPr>
              <w:spacing w:after="0"/>
            </w:pPr>
            <w:r>
              <w:rPr>
                <w:b/>
                <w:color w:val="0B6B69"/>
                <w:sz w:val="15"/>
              </w:rPr>
              <w:t>4. Curriculum and laboratory design</w:t>
            </w:r>
          </w:p>
        </w:tc>
        <w:tc>
          <w:tcPr>
            <w:tcW w:type="dxa" w:w="3456"/>
            <w:vAlign w:val="center"/>
            <w:tcMar>
              <w:top w:w="80" w:type="dxa"/>
              <w:start w:w="95" w:type="dxa"/>
              <w:bottom w:w="80" w:type="dxa"/>
              <w:end w:w="95" w:type="dxa"/>
            </w:tcMar>
            <w:shd w:fill="F3F6F8"/>
          </w:tcPr>
          <w:p>
            <w:pPr>
              <w:spacing w:after="0"/>
            </w:pPr>
            <w:r>
              <w:rPr>
                <w:sz w:val="15"/>
              </w:rPr>
              <w:t>Develop modules, datasets, exercises and facilitator guidance.</w:t>
            </w:r>
          </w:p>
        </w:tc>
        <w:tc>
          <w:tcPr>
            <w:tcW w:type="dxa" w:w="4104"/>
            <w:vAlign w:val="center"/>
            <w:tcMar>
              <w:top w:w="80" w:type="dxa"/>
              <w:start w:w="95" w:type="dxa"/>
              <w:bottom w:w="80" w:type="dxa"/>
              <w:end w:w="95" w:type="dxa"/>
            </w:tcMar>
            <w:shd w:fill="F3F6F8"/>
          </w:tcPr>
          <w:p>
            <w:pPr>
              <w:spacing w:after="0"/>
            </w:pPr>
            <w:r>
              <w:rPr>
                <w:sz w:val="15"/>
              </w:rPr>
              <w:t>Curriculum; practical labs; case library; instructor package.</w:t>
            </w:r>
          </w:p>
        </w:tc>
      </w:tr>
      <w:tr>
        <w:tc>
          <w:tcPr>
            <w:tcW w:type="dxa" w:w="1800"/>
            <w:vAlign w:val="center"/>
            <w:tcMar>
              <w:top w:w="80" w:type="dxa"/>
              <w:start w:w="95" w:type="dxa"/>
              <w:bottom w:w="80" w:type="dxa"/>
              <w:end w:w="95" w:type="dxa"/>
            </w:tcMar>
          </w:tcPr>
          <w:p>
            <w:pPr>
              <w:spacing w:after="0"/>
            </w:pPr>
            <w:r>
              <w:rPr>
                <w:b/>
                <w:color w:val="0B6B69"/>
                <w:sz w:val="15"/>
              </w:rPr>
              <w:t>5. Controlled pilot</w:t>
            </w:r>
          </w:p>
        </w:tc>
        <w:tc>
          <w:tcPr>
            <w:tcW w:type="dxa" w:w="3456"/>
            <w:vAlign w:val="center"/>
            <w:tcMar>
              <w:top w:w="80" w:type="dxa"/>
              <w:start w:w="95" w:type="dxa"/>
              <w:bottom w:w="80" w:type="dxa"/>
              <w:end w:w="95" w:type="dxa"/>
            </w:tcMar>
          </w:tcPr>
          <w:p>
            <w:pPr>
              <w:spacing w:after="0"/>
            </w:pPr>
            <w:r>
              <w:rPr>
                <w:sz w:val="15"/>
              </w:rPr>
              <w:t>Test with selected country teams and real workflows.</w:t>
            </w:r>
          </w:p>
        </w:tc>
        <w:tc>
          <w:tcPr>
            <w:tcW w:type="dxa" w:w="4104"/>
            <w:vAlign w:val="center"/>
            <w:tcMar>
              <w:top w:w="80" w:type="dxa"/>
              <w:start w:w="95" w:type="dxa"/>
              <w:bottom w:w="80" w:type="dxa"/>
              <w:end w:w="95" w:type="dxa"/>
            </w:tcMar>
          </w:tcPr>
          <w:p>
            <w:pPr>
              <w:spacing w:after="0"/>
            </w:pPr>
            <w:r>
              <w:rPr>
                <w:sz w:val="15"/>
              </w:rPr>
              <w:t>Pilot results; capstones; participant and institutional evaluation.</w:t>
            </w:r>
          </w:p>
        </w:tc>
      </w:tr>
      <w:tr>
        <w:tc>
          <w:tcPr>
            <w:tcW w:type="dxa" w:w="1800"/>
            <w:vAlign w:val="center"/>
            <w:tcMar>
              <w:top w:w="80" w:type="dxa"/>
              <w:start w:w="95" w:type="dxa"/>
              <w:bottom w:w="80" w:type="dxa"/>
              <w:end w:w="95" w:type="dxa"/>
            </w:tcMar>
            <w:shd w:fill="F3F6F8"/>
          </w:tcPr>
          <w:p>
            <w:pPr>
              <w:spacing w:after="0"/>
            </w:pPr>
            <w:r>
              <w:rPr>
                <w:b/>
                <w:color w:val="0B6B69"/>
                <w:sz w:val="15"/>
              </w:rPr>
              <w:t>6. Revision and certification</w:t>
            </w:r>
          </w:p>
        </w:tc>
        <w:tc>
          <w:tcPr>
            <w:tcW w:type="dxa" w:w="3456"/>
            <w:vAlign w:val="center"/>
            <w:tcMar>
              <w:top w:w="80" w:type="dxa"/>
              <w:start w:w="95" w:type="dxa"/>
              <w:bottom w:w="80" w:type="dxa"/>
              <w:end w:w="95" w:type="dxa"/>
            </w:tcMar>
            <w:shd w:fill="F3F6F8"/>
          </w:tcPr>
          <w:p>
            <w:pPr>
              <w:spacing w:after="0"/>
            </w:pPr>
            <w:r>
              <w:rPr>
                <w:sz w:val="15"/>
              </w:rPr>
              <w:t>Improve design and establish competency standards.</w:t>
            </w:r>
          </w:p>
        </w:tc>
        <w:tc>
          <w:tcPr>
            <w:tcW w:type="dxa" w:w="4104"/>
            <w:vAlign w:val="center"/>
            <w:tcMar>
              <w:top w:w="80" w:type="dxa"/>
              <w:start w:w="95" w:type="dxa"/>
              <w:bottom w:w="80" w:type="dxa"/>
              <w:end w:w="95" w:type="dxa"/>
            </w:tcMar>
            <w:shd w:fill="F3F6F8"/>
          </w:tcPr>
          <w:p>
            <w:pPr>
              <w:spacing w:after="0"/>
            </w:pPr>
            <w:r>
              <w:rPr>
                <w:sz w:val="15"/>
              </w:rPr>
              <w:t>Revised programme; certification requirements; QA protocol.</w:t>
            </w:r>
          </w:p>
        </w:tc>
      </w:tr>
      <w:tr>
        <w:tc>
          <w:tcPr>
            <w:tcW w:type="dxa" w:w="1800"/>
            <w:vAlign w:val="center"/>
            <w:tcMar>
              <w:top w:w="80" w:type="dxa"/>
              <w:start w:w="95" w:type="dxa"/>
              <w:bottom w:w="80" w:type="dxa"/>
              <w:end w:w="95" w:type="dxa"/>
            </w:tcMar>
          </w:tcPr>
          <w:p>
            <w:pPr>
              <w:spacing w:after="0"/>
            </w:pPr>
            <w:r>
              <w:rPr>
                <w:b/>
                <w:color w:val="0B6B69"/>
                <w:sz w:val="15"/>
              </w:rPr>
              <w:t>7. Scale-up and institutionalization</w:t>
            </w:r>
          </w:p>
        </w:tc>
        <w:tc>
          <w:tcPr>
            <w:tcW w:type="dxa" w:w="3456"/>
            <w:vAlign w:val="center"/>
            <w:tcMar>
              <w:top w:w="80" w:type="dxa"/>
              <w:start w:w="95" w:type="dxa"/>
              <w:bottom w:w="80" w:type="dxa"/>
              <w:end w:w="95" w:type="dxa"/>
            </w:tcMar>
          </w:tcPr>
          <w:p>
            <w:pPr>
              <w:spacing w:after="0"/>
            </w:pPr>
            <w:r>
              <w:rPr>
                <w:sz w:val="15"/>
              </w:rPr>
              <w:t>Embed training, governance and shared services.</w:t>
            </w:r>
          </w:p>
        </w:tc>
        <w:tc>
          <w:tcPr>
            <w:tcW w:type="dxa" w:w="4104"/>
            <w:vAlign w:val="center"/>
            <w:tcMar>
              <w:top w:w="80" w:type="dxa"/>
              <w:start w:w="95" w:type="dxa"/>
              <w:bottom w:w="80" w:type="dxa"/>
              <w:end w:w="95" w:type="dxa"/>
            </w:tcMar>
          </w:tcPr>
          <w:p>
            <w:pPr>
              <w:spacing w:after="0"/>
            </w:pPr>
            <w:r>
              <w:rPr>
                <w:sz w:val="15"/>
              </w:rPr>
              <w:t>National rollout plan; trainer network; support arrangements.</w:t>
            </w:r>
          </w:p>
        </w:tc>
      </w:tr>
      <w:tr>
        <w:tc>
          <w:tcPr>
            <w:tcW w:type="dxa" w:w="1800"/>
            <w:vAlign w:val="center"/>
            <w:tcMar>
              <w:top w:w="80" w:type="dxa"/>
              <w:start w:w="95" w:type="dxa"/>
              <w:bottom w:w="80" w:type="dxa"/>
              <w:end w:w="95" w:type="dxa"/>
            </w:tcMar>
            <w:shd w:fill="F3F6F8"/>
          </w:tcPr>
          <w:p>
            <w:pPr>
              <w:spacing w:after="0"/>
            </w:pPr>
            <w:r>
              <w:rPr>
                <w:b/>
                <w:color w:val="0B6B69"/>
                <w:sz w:val="15"/>
              </w:rPr>
              <w:t>8. Continuous improvement</w:t>
            </w:r>
          </w:p>
        </w:tc>
        <w:tc>
          <w:tcPr>
            <w:tcW w:type="dxa" w:w="3456"/>
            <w:vAlign w:val="center"/>
            <w:tcMar>
              <w:top w:w="80" w:type="dxa"/>
              <w:start w:w="95" w:type="dxa"/>
              <w:bottom w:w="80" w:type="dxa"/>
              <w:end w:w="95" w:type="dxa"/>
            </w:tcMar>
            <w:shd w:fill="F3F6F8"/>
          </w:tcPr>
          <w:p>
            <w:pPr>
              <w:spacing w:after="0"/>
            </w:pPr>
            <w:r>
              <w:rPr>
                <w:sz w:val="15"/>
              </w:rPr>
              <w:t>Monitor outcomes, incidents, methods and changing technologies.</w:t>
            </w:r>
          </w:p>
        </w:tc>
        <w:tc>
          <w:tcPr>
            <w:tcW w:type="dxa" w:w="4104"/>
            <w:vAlign w:val="center"/>
            <w:tcMar>
              <w:top w:w="80" w:type="dxa"/>
              <w:start w:w="95" w:type="dxa"/>
              <w:bottom w:w="80" w:type="dxa"/>
              <w:end w:w="95" w:type="dxa"/>
            </w:tcMar>
            <w:shd w:fill="F3F6F8"/>
          </w:tcPr>
          <w:p>
            <w:pPr>
              <w:spacing w:after="0"/>
            </w:pPr>
            <w:r>
              <w:rPr>
                <w:sz w:val="15"/>
              </w:rPr>
              <w:t>Annual review; use-case register; updated modules and standards.</w:t>
            </w:r>
          </w:p>
        </w:tc>
      </w:tr>
    </w:tbl>
    <w:p>
      <w:pPr>
        <w:spacing w:after="0"/>
      </w:pPr>
    </w:p>
    <w:p>
      <w:pPr>
        <w:pStyle w:val="Heading2"/>
      </w:pPr>
      <w:r>
        <w:t>29. First implementation step: ecosystem and readiness diagnostic</w:t>
      </w:r>
    </w:p>
    <w:p>
      <w:r>
        <w:t>The first operational step is to develop and test a structured diagnostic instrument. It should be completed through document review, interviews, workshops and examination of selected production processes.</w:t>
      </w:r>
    </w:p>
    <w:p>
      <w:pPr>
        <w:pStyle w:val="Heading3"/>
      </w:pPr>
      <w:r>
        <w:t>Diagnostic workstreams</w:t>
      </w:r>
    </w:p>
    <w:p>
      <w:pPr>
        <w:pStyle w:val="ListNumber"/>
        <w:spacing w:after="60"/>
      </w:pPr>
      <w:r>
        <w:t>Institutional map: mandates, producers, coordination bodies and decision rights.</w:t>
      </w:r>
    </w:p>
    <w:p>
      <w:pPr>
        <w:pStyle w:val="ListNumber"/>
        <w:spacing w:after="60"/>
      </w:pPr>
      <w:r>
        <w:t>Information-system map: statistical, administrative, research, geospatial, M&amp;E and other systems.</w:t>
      </w:r>
    </w:p>
    <w:p>
      <w:pPr>
        <w:pStyle w:val="ListNumber"/>
        <w:spacing w:after="60"/>
      </w:pPr>
      <w:r>
        <w:t>Data-source inventory: ownership, purpose, access, quality, sensitivity and interoperability.</w:t>
      </w:r>
    </w:p>
    <w:p>
      <w:pPr>
        <w:pStyle w:val="ListNumber"/>
        <w:spacing w:after="60"/>
      </w:pPr>
      <w:r>
        <w:t>Production-process map: major outputs, workflows, bottlenecks, costs and quality risks.</w:t>
      </w:r>
    </w:p>
    <w:p>
      <w:pPr>
        <w:pStyle w:val="ListNumber"/>
        <w:spacing w:after="60"/>
      </w:pPr>
      <w:r>
        <w:t>Workforce assessment: roles, statistical skills, digital skills, incentives and training capacity.</w:t>
      </w:r>
    </w:p>
    <w:p>
      <w:pPr>
        <w:pStyle w:val="ListNumber"/>
        <w:spacing w:after="60"/>
      </w:pPr>
      <w:r>
        <w:t>Technology assessment: software, connectivity, computing, security and continuity.</w:t>
      </w:r>
    </w:p>
    <w:p>
      <w:pPr>
        <w:pStyle w:val="ListNumber"/>
        <w:spacing w:after="60"/>
      </w:pPr>
      <w:r>
        <w:t>Governance assessment: law, policies, procurement, confidentiality, model approval and incident response.</w:t>
      </w:r>
    </w:p>
    <w:p>
      <w:pPr>
        <w:pStyle w:val="ListNumber"/>
        <w:spacing w:after="60"/>
      </w:pPr>
      <w:r>
        <w:t>Use-case discovery: high-value tasks suitable for bounded experimentation.</w:t>
      </w:r>
    </w:p>
    <w:p>
      <w:r>
        <w:br w:type="page"/>
      </w:r>
    </w:p>
    <w:p>
      <w:pPr>
        <w:pStyle w:val="Heading2"/>
      </w:pPr>
      <w:r>
        <w:t>30. Criteria for selecting initial use cases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Criterion</w:t>
            </w:r>
          </w:p>
        </w:tc>
        <w:tc>
          <w:tcPr>
            <w:tcW w:type="dxa" w:w="4997"/>
            <w:shd w:fill="17324D"/>
            <w:tcMar>
              <w:top w:w="90" w:type="dxa"/>
              <w:start w:w="100" w:type="dxa"/>
              <w:bottom w:w="90" w:type="dxa"/>
              <w:end w:w="100" w:type="dxa"/>
            </w:tcMar>
          </w:tcPr>
          <w:p>
            <w:pPr>
              <w:spacing w:after="0"/>
            </w:pPr>
            <w:r>
              <w:rPr>
                <w:b/>
                <w:color w:val="FFFFFF"/>
                <w:sz w:val="16"/>
              </w:rPr>
              <w:t>Assessment question</w:t>
            </w:r>
          </w:p>
        </w:tc>
      </w:tr>
      <w:tr>
        <w:tc>
          <w:tcPr>
            <w:tcW w:type="dxa" w:w="2304"/>
            <w:vAlign w:val="center"/>
            <w:tcMar>
              <w:top w:w="80" w:type="dxa"/>
              <w:start w:w="95" w:type="dxa"/>
              <w:bottom w:w="80" w:type="dxa"/>
              <w:end w:w="95" w:type="dxa"/>
            </w:tcMar>
            <w:shd w:fill="F3F6F8"/>
          </w:tcPr>
          <w:p>
            <w:pPr>
              <w:spacing w:after="0"/>
            </w:pPr>
            <w:r>
              <w:rPr>
                <w:b/>
                <w:color w:val="0B6B69"/>
                <w:sz w:val="16"/>
              </w:rPr>
              <w:t>Public/statistical value</w:t>
            </w:r>
          </w:p>
        </w:tc>
        <w:tc>
          <w:tcPr>
            <w:tcW w:type="dxa" w:w="7056"/>
            <w:vAlign w:val="center"/>
            <w:tcMar>
              <w:top w:w="80" w:type="dxa"/>
              <w:start w:w="95" w:type="dxa"/>
              <w:bottom w:w="80" w:type="dxa"/>
              <w:end w:w="95" w:type="dxa"/>
            </w:tcMar>
            <w:shd w:fill="F3F6F8"/>
          </w:tcPr>
          <w:p>
            <w:pPr>
              <w:spacing w:after="0"/>
            </w:pPr>
            <w:r>
              <w:rPr>
                <w:sz w:val="16"/>
              </w:rPr>
              <w:t>Would improvement materially strengthen an important statistical output or reduce a serious bottleneck?</w:t>
            </w:r>
          </w:p>
        </w:tc>
      </w:tr>
      <w:tr>
        <w:tc>
          <w:tcPr>
            <w:tcW w:type="dxa" w:w="2304"/>
            <w:vAlign w:val="center"/>
            <w:tcMar>
              <w:top w:w="80" w:type="dxa"/>
              <w:start w:w="95" w:type="dxa"/>
              <w:bottom w:w="80" w:type="dxa"/>
              <w:end w:w="95" w:type="dxa"/>
            </w:tcMar>
          </w:tcPr>
          <w:p>
            <w:pPr>
              <w:spacing w:after="0"/>
            </w:pPr>
            <w:r>
              <w:rPr>
                <w:b/>
                <w:color w:val="0B6B69"/>
                <w:sz w:val="16"/>
              </w:rPr>
              <w:t>Feasibility</w:t>
            </w:r>
          </w:p>
        </w:tc>
        <w:tc>
          <w:tcPr>
            <w:tcW w:type="dxa" w:w="7056"/>
            <w:vAlign w:val="center"/>
            <w:tcMar>
              <w:top w:w="80" w:type="dxa"/>
              <w:start w:w="95" w:type="dxa"/>
              <w:bottom w:w="80" w:type="dxa"/>
              <w:end w:w="95" w:type="dxa"/>
            </w:tcMar>
          </w:tcPr>
          <w:p>
            <w:pPr>
              <w:spacing w:after="0"/>
            </w:pPr>
            <w:r>
              <w:rPr>
                <w:sz w:val="16"/>
              </w:rPr>
              <w:t>Are the data, skills, infrastructure and institutional authority available?</w:t>
            </w:r>
          </w:p>
        </w:tc>
      </w:tr>
      <w:tr>
        <w:tc>
          <w:tcPr>
            <w:tcW w:type="dxa" w:w="2304"/>
            <w:vAlign w:val="center"/>
            <w:tcMar>
              <w:top w:w="80" w:type="dxa"/>
              <w:start w:w="95" w:type="dxa"/>
              <w:bottom w:w="80" w:type="dxa"/>
              <w:end w:w="95" w:type="dxa"/>
            </w:tcMar>
            <w:shd w:fill="F3F6F8"/>
          </w:tcPr>
          <w:p>
            <w:pPr>
              <w:spacing w:after="0"/>
            </w:pPr>
            <w:r>
              <w:rPr>
                <w:b/>
                <w:color w:val="0B6B69"/>
                <w:sz w:val="16"/>
              </w:rPr>
              <w:t>Verifiability</w:t>
            </w:r>
          </w:p>
        </w:tc>
        <w:tc>
          <w:tcPr>
            <w:tcW w:type="dxa" w:w="7056"/>
            <w:vAlign w:val="center"/>
            <w:tcMar>
              <w:top w:w="80" w:type="dxa"/>
              <w:start w:w="95" w:type="dxa"/>
              <w:bottom w:w="80" w:type="dxa"/>
              <w:end w:w="95" w:type="dxa"/>
            </w:tcMar>
            <w:shd w:fill="F3F6F8"/>
          </w:tcPr>
          <w:p>
            <w:pPr>
              <w:spacing w:after="0"/>
            </w:pPr>
            <w:r>
              <w:rPr>
                <w:sz w:val="16"/>
              </w:rPr>
              <w:t>Can results be checked against a benchmark or accepted procedure?</w:t>
            </w:r>
          </w:p>
        </w:tc>
      </w:tr>
      <w:tr>
        <w:tc>
          <w:tcPr>
            <w:tcW w:type="dxa" w:w="2304"/>
            <w:vAlign w:val="center"/>
            <w:tcMar>
              <w:top w:w="80" w:type="dxa"/>
              <w:start w:w="95" w:type="dxa"/>
              <w:bottom w:w="80" w:type="dxa"/>
              <w:end w:w="95" w:type="dxa"/>
            </w:tcMar>
          </w:tcPr>
          <w:p>
            <w:pPr>
              <w:spacing w:after="0"/>
            </w:pPr>
            <w:r>
              <w:rPr>
                <w:b/>
                <w:color w:val="0B6B69"/>
                <w:sz w:val="16"/>
              </w:rPr>
              <w:t>Risk</w:t>
            </w:r>
          </w:p>
        </w:tc>
        <w:tc>
          <w:tcPr>
            <w:tcW w:type="dxa" w:w="7056"/>
            <w:vAlign w:val="center"/>
            <w:tcMar>
              <w:top w:w="80" w:type="dxa"/>
              <w:start w:w="95" w:type="dxa"/>
              <w:bottom w:w="80" w:type="dxa"/>
              <w:end w:w="95" w:type="dxa"/>
            </w:tcMar>
          </w:tcPr>
          <w:p>
            <w:pPr>
              <w:spacing w:after="0"/>
            </w:pPr>
            <w:r>
              <w:rPr>
                <w:sz w:val="16"/>
              </w:rPr>
              <w:t>Are confidentiality, bias, methodological and reputational risks manageable?</w:t>
            </w:r>
          </w:p>
        </w:tc>
      </w:tr>
      <w:tr>
        <w:tc>
          <w:tcPr>
            <w:tcW w:type="dxa" w:w="2304"/>
            <w:vAlign w:val="center"/>
            <w:tcMar>
              <w:top w:w="80" w:type="dxa"/>
              <w:start w:w="95" w:type="dxa"/>
              <w:bottom w:w="80" w:type="dxa"/>
              <w:end w:w="95" w:type="dxa"/>
            </w:tcMar>
            <w:shd w:fill="F3F6F8"/>
          </w:tcPr>
          <w:p>
            <w:pPr>
              <w:spacing w:after="0"/>
            </w:pPr>
            <w:r>
              <w:rPr>
                <w:b/>
                <w:color w:val="0B6B69"/>
                <w:sz w:val="16"/>
              </w:rPr>
              <w:t>Sustainability</w:t>
            </w:r>
          </w:p>
        </w:tc>
        <w:tc>
          <w:tcPr>
            <w:tcW w:type="dxa" w:w="7056"/>
            <w:vAlign w:val="center"/>
            <w:tcMar>
              <w:top w:w="80" w:type="dxa"/>
              <w:start w:w="95" w:type="dxa"/>
              <w:bottom w:w="80" w:type="dxa"/>
              <w:end w:w="95" w:type="dxa"/>
            </w:tcMar>
            <w:shd w:fill="F3F6F8"/>
          </w:tcPr>
          <w:p>
            <w:pPr>
              <w:spacing w:after="0"/>
            </w:pPr>
            <w:r>
              <w:rPr>
                <w:sz w:val="16"/>
              </w:rPr>
              <w:t>Can the institution operate and finance the solution after the pilot?</w:t>
            </w:r>
          </w:p>
        </w:tc>
      </w:tr>
      <w:tr>
        <w:tc>
          <w:tcPr>
            <w:tcW w:type="dxa" w:w="2304"/>
            <w:vAlign w:val="center"/>
            <w:tcMar>
              <w:top w:w="80" w:type="dxa"/>
              <w:start w:w="95" w:type="dxa"/>
              <w:bottom w:w="80" w:type="dxa"/>
              <w:end w:w="95" w:type="dxa"/>
            </w:tcMar>
          </w:tcPr>
          <w:p>
            <w:pPr>
              <w:spacing w:after="0"/>
            </w:pPr>
            <w:r>
              <w:rPr>
                <w:b/>
                <w:color w:val="0B6B69"/>
                <w:sz w:val="16"/>
              </w:rPr>
              <w:t>Transferability</w:t>
            </w:r>
          </w:p>
        </w:tc>
        <w:tc>
          <w:tcPr>
            <w:tcW w:type="dxa" w:w="7056"/>
            <w:vAlign w:val="center"/>
            <w:tcMar>
              <w:top w:w="80" w:type="dxa"/>
              <w:start w:w="95" w:type="dxa"/>
              <w:bottom w:w="80" w:type="dxa"/>
              <w:end w:w="95" w:type="dxa"/>
            </w:tcMar>
          </w:tcPr>
          <w:p>
            <w:pPr>
              <w:spacing w:after="0"/>
            </w:pPr>
            <w:r>
              <w:rPr>
                <w:sz w:val="16"/>
              </w:rPr>
              <w:t>Can the workflow or competence be reused across products or institutions?</w:t>
            </w:r>
          </w:p>
        </w:tc>
      </w:tr>
      <w:tr>
        <w:tc>
          <w:tcPr>
            <w:tcW w:type="dxa" w:w="2304"/>
            <w:vAlign w:val="center"/>
            <w:tcMar>
              <w:top w:w="80" w:type="dxa"/>
              <w:start w:w="95" w:type="dxa"/>
              <w:bottom w:w="80" w:type="dxa"/>
              <w:end w:w="95" w:type="dxa"/>
            </w:tcMar>
            <w:shd w:fill="F3F6F8"/>
          </w:tcPr>
          <w:p>
            <w:pPr>
              <w:spacing w:after="0"/>
            </w:pPr>
            <w:r>
              <w:rPr>
                <w:b/>
                <w:color w:val="0B6B69"/>
                <w:sz w:val="16"/>
              </w:rPr>
              <w:t>Learning value</w:t>
            </w:r>
          </w:p>
        </w:tc>
        <w:tc>
          <w:tcPr>
            <w:tcW w:type="dxa" w:w="7056"/>
            <w:vAlign w:val="center"/>
            <w:tcMar>
              <w:top w:w="80" w:type="dxa"/>
              <w:start w:w="95" w:type="dxa"/>
              <w:bottom w:w="80" w:type="dxa"/>
              <w:end w:w="95" w:type="dxa"/>
            </w:tcMar>
            <w:shd w:fill="F3F6F8"/>
          </w:tcPr>
          <w:p>
            <w:pPr>
              <w:spacing w:after="0"/>
            </w:pPr>
            <w:r>
              <w:rPr>
                <w:sz w:val="16"/>
              </w:rPr>
              <w:t>Will the case build capabilities needed for more advanced adoption?</w:t>
            </w:r>
          </w:p>
        </w:tc>
      </w:tr>
    </w:tbl>
    <w:p>
      <w:pPr>
        <w:spacing w:after="0"/>
      </w:pPr>
    </w:p>
    <w:p>
      <w:pPr>
        <w:pStyle w:val="Heading2"/>
      </w:pPr>
      <w:r>
        <w:t>31. Suggested first-wave applications</w:t>
      </w:r>
    </w:p>
    <w:p>
      <w:pPr>
        <w:pStyle w:val="ListBullet"/>
        <w:spacing w:after="50"/>
      </w:pPr>
      <w:r>
        <w:t>Searching and synthesizing approved methodological documentation.</w:t>
      </w:r>
    </w:p>
    <w:p>
      <w:pPr>
        <w:pStyle w:val="ListBullet"/>
        <w:spacing w:after="50"/>
      </w:pPr>
      <w:r>
        <w:t>Generating and reviewing non-sensitive statistical code.</w:t>
      </w:r>
    </w:p>
    <w:p>
      <w:pPr>
        <w:pStyle w:val="ListBullet"/>
        <w:spacing w:after="50"/>
      </w:pPr>
      <w:r>
        <w:t>Comparing questionnaires, classifications and metadata across versions.</w:t>
      </w:r>
    </w:p>
    <w:p>
      <w:pPr>
        <w:pStyle w:val="ListBullet"/>
        <w:spacing w:after="50"/>
      </w:pPr>
      <w:r>
        <w:t>Drafting metadata and quality reports from verified inputs.</w:t>
      </w:r>
    </w:p>
    <w:p>
      <w:pPr>
        <w:pStyle w:val="ListBullet"/>
        <w:spacing w:after="50"/>
      </w:pPr>
      <w:r>
        <w:t>Classifying non-sensitive text against an approved coding frame.</w:t>
      </w:r>
    </w:p>
    <w:p>
      <w:pPr>
        <w:pStyle w:val="ListBullet"/>
        <w:spacing w:after="50"/>
      </w:pPr>
      <w:r>
        <w:t>Preparing reproducible validation summaries and exception reports.</w:t>
      </w:r>
    </w:p>
    <w:p>
      <w:pPr>
        <w:pStyle w:val="ListBullet"/>
        <w:spacing w:after="50"/>
      </w:pPr>
      <w:r>
        <w:t>Documenting statistical production processes and identifying bottlenecks.</w:t>
      </w:r>
    </w:p>
    <w:p>
      <w:pPr>
        <w:pStyle w:val="Heading2"/>
      </w:pPr>
      <w:r>
        <w:t>32. Applications requiring later-stage controls</w:t>
      </w:r>
    </w:p>
    <w:p>
      <w:pPr>
        <w:pStyle w:val="ListBullet"/>
        <w:spacing w:after="50"/>
      </w:pPr>
      <w:r>
        <w:t>Autonomous editing or imputation affecting published estimates.</w:t>
      </w:r>
    </w:p>
    <w:p>
      <w:pPr>
        <w:pStyle w:val="ListBullet"/>
        <w:spacing w:after="50"/>
      </w:pPr>
      <w:r>
        <w:t>Confidential record linkage using opaque or external services.</w:t>
      </w:r>
    </w:p>
    <w:p>
      <w:pPr>
        <w:pStyle w:val="ListBullet"/>
        <w:spacing w:after="50"/>
      </w:pPr>
      <w:r>
        <w:t>Official estimates produced primarily by an unvalidated model.</w:t>
      </w:r>
    </w:p>
    <w:p>
      <w:pPr>
        <w:pStyle w:val="ListBullet"/>
        <w:spacing w:after="50"/>
      </w:pPr>
      <w:r>
        <w:t>Public-facing assistants with access to restricted information.</w:t>
      </w:r>
    </w:p>
    <w:p>
      <w:pPr>
        <w:pStyle w:val="ListBullet"/>
        <w:spacing w:after="50"/>
      </w:pPr>
      <w:r>
        <w:t>Decisions affecting individual benefits, eligibility, enforcement or rights.</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pStyle w:val="Callout"/>
              <w:ind w:left="0" w:right="0"/>
            </w:pPr>
            <w:r>
              <w:t>Begin with important, bounded and verifiable work. Institutional learning is a programme result—not a side effect of acquiring technology.</w:t>
            </w:r>
          </w:p>
        </w:tc>
      </w:tr>
    </w:tbl>
    <w:p>
      <w:pPr>
        <w:spacing w:after="0"/>
      </w:pPr>
    </w:p>
    <w:p>
      <w:r>
        <w:br w:type="page"/>
      </w:r>
    </w:p>
    <w:p>
      <w:pPr>
        <w:pStyle w:val="Heading1"/>
      </w:pPr>
      <w:r>
        <w:t>Programme governance, monitoring and sustainability</w:t>
      </w:r>
    </w:p>
    <w:p>
      <w:pPr>
        <w:pStyle w:val="Heading2"/>
      </w:pPr>
      <w:r>
        <w:t>33. Proposed governance structure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7"/>
              </w:rPr>
              <w:t>Body</w:t>
            </w:r>
          </w:p>
        </w:tc>
        <w:tc>
          <w:tcPr>
            <w:tcW w:type="dxa" w:w="4997"/>
            <w:shd w:fill="17324D"/>
            <w:tcMar>
              <w:top w:w="90" w:type="dxa"/>
              <w:start w:w="100" w:type="dxa"/>
              <w:bottom w:w="90" w:type="dxa"/>
              <w:end w:w="100" w:type="dxa"/>
            </w:tcMar>
          </w:tcPr>
          <w:p>
            <w:pPr>
              <w:spacing w:after="0"/>
            </w:pPr>
            <w:r>
              <w:rPr>
                <w:b/>
                <w:color w:val="FFFFFF"/>
                <w:sz w:val="17"/>
              </w:rPr>
              <w:t>Principal responsibility</w:t>
            </w:r>
          </w:p>
        </w:tc>
      </w:tr>
      <w:tr>
        <w:tc>
          <w:tcPr>
            <w:tcW w:type="dxa" w:w="2952"/>
            <w:vAlign w:val="center"/>
            <w:tcMar>
              <w:top w:w="80" w:type="dxa"/>
              <w:start w:w="95" w:type="dxa"/>
              <w:bottom w:w="80" w:type="dxa"/>
              <w:end w:w="95" w:type="dxa"/>
            </w:tcMar>
            <w:shd w:fill="F3F6F8"/>
          </w:tcPr>
          <w:p>
            <w:pPr>
              <w:spacing w:after="0"/>
            </w:pPr>
            <w:r>
              <w:rPr>
                <w:b/>
                <w:color w:val="0B6B69"/>
                <w:sz w:val="17"/>
              </w:rPr>
              <w:t>Programme steering group</w:t>
            </w:r>
          </w:p>
        </w:tc>
        <w:tc>
          <w:tcPr>
            <w:tcW w:type="dxa" w:w="6408"/>
            <w:vAlign w:val="center"/>
            <w:tcMar>
              <w:top w:w="80" w:type="dxa"/>
              <w:start w:w="95" w:type="dxa"/>
              <w:bottom w:w="80" w:type="dxa"/>
              <w:end w:w="95" w:type="dxa"/>
            </w:tcMar>
            <w:shd w:fill="F3F6F8"/>
          </w:tcPr>
          <w:p>
            <w:pPr>
              <w:spacing w:after="0"/>
            </w:pPr>
            <w:r>
              <w:rPr>
                <w:sz w:val="17"/>
              </w:rPr>
              <w:t>Strategic direction, country ownership, resources and institutional alignment.</w:t>
            </w:r>
          </w:p>
        </w:tc>
      </w:tr>
      <w:tr>
        <w:tc>
          <w:tcPr>
            <w:tcW w:type="dxa" w:w="2952"/>
            <w:vAlign w:val="center"/>
            <w:tcMar>
              <w:top w:w="80" w:type="dxa"/>
              <w:start w:w="95" w:type="dxa"/>
              <w:bottom w:w="80" w:type="dxa"/>
              <w:end w:w="95" w:type="dxa"/>
            </w:tcMar>
          </w:tcPr>
          <w:p>
            <w:pPr>
              <w:spacing w:after="0"/>
            </w:pPr>
            <w:r>
              <w:rPr>
                <w:b/>
                <w:color w:val="0B6B69"/>
                <w:sz w:val="17"/>
              </w:rPr>
              <w:t>Technical advisory group</w:t>
            </w:r>
          </w:p>
        </w:tc>
        <w:tc>
          <w:tcPr>
            <w:tcW w:type="dxa" w:w="6408"/>
            <w:vAlign w:val="center"/>
            <w:tcMar>
              <w:top w:w="80" w:type="dxa"/>
              <w:start w:w="95" w:type="dxa"/>
              <w:bottom w:w="80" w:type="dxa"/>
              <w:end w:w="95" w:type="dxa"/>
            </w:tcMar>
          </w:tcPr>
          <w:p>
            <w:pPr>
              <w:spacing w:after="0"/>
            </w:pPr>
            <w:r>
              <w:rPr>
                <w:sz w:val="17"/>
              </w:rPr>
              <w:t>Statistical methods, AI, quality, ethics, confidentiality and domain standards.</w:t>
            </w:r>
          </w:p>
        </w:tc>
      </w:tr>
      <w:tr>
        <w:tc>
          <w:tcPr>
            <w:tcW w:type="dxa" w:w="2952"/>
            <w:vAlign w:val="center"/>
            <w:tcMar>
              <w:top w:w="80" w:type="dxa"/>
              <w:start w:w="95" w:type="dxa"/>
              <w:bottom w:w="80" w:type="dxa"/>
              <w:end w:w="95" w:type="dxa"/>
            </w:tcMar>
            <w:shd w:fill="F3F6F8"/>
          </w:tcPr>
          <w:p>
            <w:pPr>
              <w:spacing w:after="0"/>
            </w:pPr>
            <w:r>
              <w:rPr>
                <w:b/>
                <w:color w:val="0B6B69"/>
                <w:sz w:val="17"/>
              </w:rPr>
              <w:t>Curriculum and faculty team</w:t>
            </w:r>
          </w:p>
        </w:tc>
        <w:tc>
          <w:tcPr>
            <w:tcW w:type="dxa" w:w="6408"/>
            <w:vAlign w:val="center"/>
            <w:tcMar>
              <w:top w:w="80" w:type="dxa"/>
              <w:start w:w="95" w:type="dxa"/>
              <w:bottom w:w="80" w:type="dxa"/>
              <w:end w:w="95" w:type="dxa"/>
            </w:tcMar>
            <w:shd w:fill="F3F6F8"/>
          </w:tcPr>
          <w:p>
            <w:pPr>
              <w:spacing w:after="0"/>
            </w:pPr>
            <w:r>
              <w:rPr>
                <w:sz w:val="17"/>
              </w:rPr>
              <w:t>Learning design, laboratories, assessment and facilitator development.</w:t>
            </w:r>
          </w:p>
        </w:tc>
      </w:tr>
      <w:tr>
        <w:tc>
          <w:tcPr>
            <w:tcW w:type="dxa" w:w="2952"/>
            <w:vAlign w:val="center"/>
            <w:tcMar>
              <w:top w:w="80" w:type="dxa"/>
              <w:start w:w="95" w:type="dxa"/>
              <w:bottom w:w="80" w:type="dxa"/>
              <w:end w:w="95" w:type="dxa"/>
            </w:tcMar>
          </w:tcPr>
          <w:p>
            <w:pPr>
              <w:spacing w:after="0"/>
            </w:pPr>
            <w:r>
              <w:rPr>
                <w:b/>
                <w:color w:val="0B6B69"/>
                <w:sz w:val="17"/>
              </w:rPr>
              <w:t>Country implementation team</w:t>
            </w:r>
          </w:p>
        </w:tc>
        <w:tc>
          <w:tcPr>
            <w:tcW w:type="dxa" w:w="6408"/>
            <w:vAlign w:val="center"/>
            <w:tcMar>
              <w:top w:w="80" w:type="dxa"/>
              <w:start w:w="95" w:type="dxa"/>
              <w:bottom w:w="80" w:type="dxa"/>
              <w:end w:w="95" w:type="dxa"/>
            </w:tcMar>
          </w:tcPr>
          <w:p>
            <w:pPr>
              <w:spacing w:after="0"/>
            </w:pPr>
            <w:r>
              <w:rPr>
                <w:sz w:val="17"/>
              </w:rPr>
              <w:t>Diagnostic, participant selection, local cases, infrastructure and capstone support.</w:t>
            </w:r>
          </w:p>
        </w:tc>
      </w:tr>
      <w:tr>
        <w:tc>
          <w:tcPr>
            <w:tcW w:type="dxa" w:w="2952"/>
            <w:vAlign w:val="center"/>
            <w:tcMar>
              <w:top w:w="80" w:type="dxa"/>
              <w:start w:w="95" w:type="dxa"/>
              <w:bottom w:w="80" w:type="dxa"/>
              <w:end w:w="95" w:type="dxa"/>
            </w:tcMar>
            <w:shd w:fill="F3F6F8"/>
          </w:tcPr>
          <w:p>
            <w:pPr>
              <w:spacing w:after="0"/>
            </w:pPr>
            <w:r>
              <w:rPr>
                <w:b/>
                <w:color w:val="0B6B69"/>
                <w:sz w:val="17"/>
              </w:rPr>
              <w:t>Independent quality review</w:t>
            </w:r>
          </w:p>
        </w:tc>
        <w:tc>
          <w:tcPr>
            <w:tcW w:type="dxa" w:w="6408"/>
            <w:vAlign w:val="center"/>
            <w:tcMar>
              <w:top w:w="80" w:type="dxa"/>
              <w:start w:w="95" w:type="dxa"/>
              <w:bottom w:w="80" w:type="dxa"/>
              <w:end w:w="95" w:type="dxa"/>
            </w:tcMar>
            <w:shd w:fill="F3F6F8"/>
          </w:tcPr>
          <w:p>
            <w:pPr>
              <w:spacing w:after="0"/>
            </w:pPr>
            <w:r>
              <w:rPr>
                <w:sz w:val="17"/>
              </w:rPr>
              <w:t>Review of programme standards, pilots, evidence and certification decisions.</w:t>
            </w:r>
          </w:p>
        </w:tc>
      </w:tr>
    </w:tbl>
    <w:p>
      <w:pPr>
        <w:spacing w:after="0"/>
      </w:pPr>
    </w:p>
    <w:p>
      <w:pPr>
        <w:pStyle w:val="Heading2"/>
      </w:pPr>
      <w:r>
        <w:t>34. Results framework</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tcPr>
          <w:p>
            <w:pPr>
              <w:spacing w:after="0"/>
            </w:pPr>
            <w:r>
              <w:rPr>
                <w:b/>
                <w:color w:val="FFFFFF"/>
                <w:sz w:val="16"/>
              </w:rPr>
              <w:t>Level</w:t>
            </w:r>
          </w:p>
        </w:tc>
        <w:tc>
          <w:tcPr>
            <w:tcW w:type="dxa" w:w="3331"/>
            <w:shd w:fill="17324D"/>
            <w:tcMar>
              <w:top w:w="90" w:type="dxa"/>
              <w:start w:w="100" w:type="dxa"/>
              <w:bottom w:w="90" w:type="dxa"/>
              <w:end w:w="100" w:type="dxa"/>
            </w:tcMar>
          </w:tcPr>
          <w:p>
            <w:pPr>
              <w:spacing w:after="0"/>
            </w:pPr>
            <w:r>
              <w:rPr>
                <w:b/>
                <w:color w:val="FFFFFF"/>
                <w:sz w:val="16"/>
              </w:rPr>
              <w:t>Illustrative result</w:t>
            </w:r>
          </w:p>
        </w:tc>
        <w:tc>
          <w:tcPr>
            <w:tcW w:type="dxa" w:w="3331"/>
            <w:shd w:fill="17324D"/>
            <w:tcMar>
              <w:top w:w="90" w:type="dxa"/>
              <w:start w:w="100" w:type="dxa"/>
              <w:bottom w:w="90" w:type="dxa"/>
              <w:end w:w="100" w:type="dxa"/>
            </w:tcMar>
          </w:tcPr>
          <w:p>
            <w:pPr>
              <w:spacing w:after="0"/>
            </w:pPr>
            <w:r>
              <w:rPr>
                <w:b/>
                <w:color w:val="FFFFFF"/>
                <w:sz w:val="16"/>
              </w:rPr>
              <w:t>Possible indicator</w:t>
            </w:r>
          </w:p>
        </w:tc>
      </w:tr>
      <w:tr>
        <w:tc>
          <w:tcPr>
            <w:tcW w:type="dxa" w:w="1512"/>
            <w:vAlign w:val="center"/>
            <w:tcMar>
              <w:top w:w="80" w:type="dxa"/>
              <w:start w:w="95" w:type="dxa"/>
              <w:bottom w:w="80" w:type="dxa"/>
              <w:end w:w="95" w:type="dxa"/>
            </w:tcMar>
            <w:shd w:fill="F3F6F8"/>
          </w:tcPr>
          <w:p>
            <w:pPr>
              <w:spacing w:after="0"/>
            </w:pPr>
            <w:r>
              <w:rPr>
                <w:b/>
                <w:color w:val="0B6B69"/>
                <w:sz w:val="16"/>
              </w:rPr>
              <w:t>Individual</w:t>
            </w:r>
          </w:p>
        </w:tc>
        <w:tc>
          <w:tcPr>
            <w:tcW w:type="dxa" w:w="4392"/>
            <w:vAlign w:val="center"/>
            <w:tcMar>
              <w:top w:w="80" w:type="dxa"/>
              <w:start w:w="95" w:type="dxa"/>
              <w:bottom w:w="80" w:type="dxa"/>
              <w:end w:w="95" w:type="dxa"/>
            </w:tcMar>
            <w:shd w:fill="F3F6F8"/>
          </w:tcPr>
          <w:p>
            <w:pPr>
              <w:spacing w:after="0"/>
            </w:pPr>
            <w:r>
              <w:rPr>
                <w:sz w:val="16"/>
              </w:rPr>
              <w:t>Statisticians perform AI-assisted tasks safely and reproducibly.</w:t>
            </w:r>
          </w:p>
        </w:tc>
        <w:tc>
          <w:tcPr>
            <w:tcW w:type="dxa" w:w="3456"/>
            <w:vAlign w:val="center"/>
            <w:tcMar>
              <w:top w:w="80" w:type="dxa"/>
              <w:start w:w="95" w:type="dxa"/>
              <w:bottom w:w="80" w:type="dxa"/>
              <w:end w:w="95" w:type="dxa"/>
            </w:tcMar>
            <w:shd w:fill="F3F6F8"/>
          </w:tcPr>
          <w:p>
            <w:pPr>
              <w:spacing w:after="0"/>
            </w:pPr>
            <w:r>
              <w:rPr>
                <w:sz w:val="16"/>
              </w:rPr>
              <w:t>Share meeting defined competency standard.</w:t>
            </w:r>
          </w:p>
        </w:tc>
      </w:tr>
      <w:tr>
        <w:tc>
          <w:tcPr>
            <w:tcW w:type="dxa" w:w="1512"/>
            <w:vAlign w:val="center"/>
            <w:tcMar>
              <w:top w:w="80" w:type="dxa"/>
              <w:start w:w="95" w:type="dxa"/>
              <w:bottom w:w="80" w:type="dxa"/>
              <w:end w:w="95" w:type="dxa"/>
            </w:tcMar>
          </w:tcPr>
          <w:p>
            <w:pPr>
              <w:spacing w:after="0"/>
            </w:pPr>
            <w:r>
              <w:rPr>
                <w:b/>
                <w:color w:val="0B6B69"/>
                <w:sz w:val="16"/>
              </w:rPr>
              <w:t>Workflow</w:t>
            </w:r>
          </w:p>
        </w:tc>
        <w:tc>
          <w:tcPr>
            <w:tcW w:type="dxa" w:w="4392"/>
            <w:vAlign w:val="center"/>
            <w:tcMar>
              <w:top w:w="80" w:type="dxa"/>
              <w:start w:w="95" w:type="dxa"/>
              <w:bottom w:w="80" w:type="dxa"/>
              <w:end w:w="95" w:type="dxa"/>
            </w:tcMar>
          </w:tcPr>
          <w:p>
            <w:pPr>
              <w:spacing w:after="0"/>
            </w:pPr>
            <w:r>
              <w:rPr>
                <w:sz w:val="16"/>
              </w:rPr>
              <w:t>Selected production processes improve without unacceptable quality loss.</w:t>
            </w:r>
          </w:p>
        </w:tc>
        <w:tc>
          <w:tcPr>
            <w:tcW w:type="dxa" w:w="3456"/>
            <w:vAlign w:val="center"/>
            <w:tcMar>
              <w:top w:w="80" w:type="dxa"/>
              <w:start w:w="95" w:type="dxa"/>
              <w:bottom w:w="80" w:type="dxa"/>
              <w:end w:w="95" w:type="dxa"/>
            </w:tcMar>
          </w:tcPr>
          <w:p>
            <w:pPr>
              <w:spacing w:after="0"/>
            </w:pPr>
            <w:r>
              <w:rPr>
                <w:sz w:val="16"/>
              </w:rPr>
              <w:t>Time, cost, error and documentation measures versus baseline.</w:t>
            </w:r>
          </w:p>
        </w:tc>
      </w:tr>
      <w:tr>
        <w:tc>
          <w:tcPr>
            <w:tcW w:type="dxa" w:w="1512"/>
            <w:vAlign w:val="center"/>
            <w:tcMar>
              <w:top w:w="80" w:type="dxa"/>
              <w:start w:w="95" w:type="dxa"/>
              <w:bottom w:w="80" w:type="dxa"/>
              <w:end w:w="95" w:type="dxa"/>
            </w:tcMar>
            <w:shd w:fill="F3F6F8"/>
          </w:tcPr>
          <w:p>
            <w:pPr>
              <w:spacing w:after="0"/>
            </w:pPr>
            <w:r>
              <w:rPr>
                <w:b/>
                <w:color w:val="0B6B69"/>
                <w:sz w:val="16"/>
              </w:rPr>
              <w:t>Institution</w:t>
            </w:r>
          </w:p>
        </w:tc>
        <w:tc>
          <w:tcPr>
            <w:tcW w:type="dxa" w:w="4392"/>
            <w:vAlign w:val="center"/>
            <w:tcMar>
              <w:top w:w="80" w:type="dxa"/>
              <w:start w:w="95" w:type="dxa"/>
              <w:bottom w:w="80" w:type="dxa"/>
              <w:end w:w="95" w:type="dxa"/>
            </w:tcMar>
            <w:shd w:fill="F3F6F8"/>
          </w:tcPr>
          <w:p>
            <w:pPr>
              <w:spacing w:after="0"/>
            </w:pPr>
            <w:r>
              <w:rPr>
                <w:sz w:val="16"/>
              </w:rPr>
              <w:t>Governance, infrastructure and multidisciplinary capacity become operational.</w:t>
            </w:r>
          </w:p>
        </w:tc>
        <w:tc>
          <w:tcPr>
            <w:tcW w:type="dxa" w:w="3456"/>
            <w:vAlign w:val="center"/>
            <w:tcMar>
              <w:top w:w="80" w:type="dxa"/>
              <w:start w:w="95" w:type="dxa"/>
              <w:bottom w:w="80" w:type="dxa"/>
              <w:end w:w="95" w:type="dxa"/>
            </w:tcMar>
            <w:shd w:fill="F3F6F8"/>
          </w:tcPr>
          <w:p>
            <w:pPr>
              <w:spacing w:after="0"/>
            </w:pPr>
            <w:r>
              <w:rPr>
                <w:sz w:val="16"/>
              </w:rPr>
              <w:t>Approved policies, environment, teams and use-case register.</w:t>
            </w:r>
          </w:p>
        </w:tc>
      </w:tr>
      <w:tr>
        <w:tc>
          <w:tcPr>
            <w:tcW w:type="dxa" w:w="1512"/>
            <w:vAlign w:val="center"/>
            <w:tcMar>
              <w:top w:w="80" w:type="dxa"/>
              <w:start w:w="95" w:type="dxa"/>
              <w:bottom w:w="80" w:type="dxa"/>
              <w:end w:w="95" w:type="dxa"/>
            </w:tcMar>
          </w:tcPr>
          <w:p>
            <w:pPr>
              <w:spacing w:after="0"/>
            </w:pPr>
            <w:r>
              <w:rPr>
                <w:b/>
                <w:color w:val="0B6B69"/>
                <w:sz w:val="16"/>
              </w:rPr>
              <w:t>NSS</w:t>
            </w:r>
          </w:p>
        </w:tc>
        <w:tc>
          <w:tcPr>
            <w:tcW w:type="dxa" w:w="4392"/>
            <w:vAlign w:val="center"/>
            <w:tcMar>
              <w:top w:w="80" w:type="dxa"/>
              <w:start w:w="95" w:type="dxa"/>
              <w:bottom w:w="80" w:type="dxa"/>
              <w:end w:w="95" w:type="dxa"/>
            </w:tcMar>
          </w:tcPr>
          <w:p>
            <w:pPr>
              <w:spacing w:after="0"/>
            </w:pPr>
            <w:r>
              <w:rPr>
                <w:sz w:val="16"/>
              </w:rPr>
              <w:t>Institutions coordinate AI standards, shared services and investments.</w:t>
            </w:r>
          </w:p>
        </w:tc>
        <w:tc>
          <w:tcPr>
            <w:tcW w:type="dxa" w:w="3456"/>
            <w:vAlign w:val="center"/>
            <w:tcMar>
              <w:top w:w="80" w:type="dxa"/>
              <w:start w:w="95" w:type="dxa"/>
              <w:bottom w:w="80" w:type="dxa"/>
              <w:end w:w="95" w:type="dxa"/>
            </w:tcMar>
          </w:tcPr>
          <w:p>
            <w:pPr>
              <w:spacing w:after="0"/>
            </w:pPr>
            <w:r>
              <w:rPr>
                <w:sz w:val="16"/>
              </w:rPr>
              <w:t>Common framework and number of participating producers.</w:t>
            </w:r>
          </w:p>
        </w:tc>
      </w:tr>
      <w:tr>
        <w:tc>
          <w:tcPr>
            <w:tcW w:type="dxa" w:w="1512"/>
            <w:vAlign w:val="center"/>
            <w:tcMar>
              <w:top w:w="80" w:type="dxa"/>
              <w:start w:w="95" w:type="dxa"/>
              <w:bottom w:w="80" w:type="dxa"/>
              <w:end w:w="95" w:type="dxa"/>
            </w:tcMar>
            <w:shd w:fill="F3F6F8"/>
          </w:tcPr>
          <w:p>
            <w:pPr>
              <w:spacing w:after="0"/>
            </w:pPr>
            <w:r>
              <w:rPr>
                <w:b/>
                <w:color w:val="0B6B69"/>
                <w:sz w:val="16"/>
              </w:rPr>
              <w:t>Public value</w:t>
            </w:r>
          </w:p>
        </w:tc>
        <w:tc>
          <w:tcPr>
            <w:tcW w:type="dxa" w:w="4392"/>
            <w:vAlign w:val="center"/>
            <w:tcMar>
              <w:top w:w="80" w:type="dxa"/>
              <w:start w:w="95" w:type="dxa"/>
              <w:bottom w:w="80" w:type="dxa"/>
              <w:end w:w="95" w:type="dxa"/>
            </w:tcMar>
            <w:shd w:fill="F3F6F8"/>
          </w:tcPr>
          <w:p>
            <w:pPr>
              <w:spacing w:after="0"/>
            </w:pPr>
            <w:r>
              <w:rPr>
                <w:sz w:val="16"/>
              </w:rPr>
              <w:t>Statistics become more useful while trust is protected.</w:t>
            </w:r>
          </w:p>
        </w:tc>
        <w:tc>
          <w:tcPr>
            <w:tcW w:type="dxa" w:w="3456"/>
            <w:vAlign w:val="center"/>
            <w:tcMar>
              <w:top w:w="80" w:type="dxa"/>
              <w:start w:w="95" w:type="dxa"/>
              <w:bottom w:w="80" w:type="dxa"/>
              <w:end w:w="95" w:type="dxa"/>
            </w:tcMar>
            <w:shd w:fill="F3F6F8"/>
          </w:tcPr>
          <w:p>
            <w:pPr>
              <w:spacing w:after="0"/>
            </w:pPr>
            <w:r>
              <w:rPr>
                <w:sz w:val="16"/>
              </w:rPr>
              <w:t>User measures, release performance, transparency and incidents.</w:t>
            </w:r>
          </w:p>
        </w:tc>
      </w:tr>
    </w:tbl>
    <w:p>
      <w:pPr>
        <w:spacing w:after="0"/>
      </w:pPr>
    </w:p>
    <w:p>
      <w:pPr>
        <w:pStyle w:val="Heading2"/>
      </w:pPr>
      <w:r>
        <w:t>35. Sustainability requirements</w:t>
      </w:r>
    </w:p>
    <w:p>
      <w:pPr>
        <w:pStyle w:val="ListBullet"/>
        <w:spacing w:after="50"/>
      </w:pPr>
      <w:r>
        <w:t>Country-owned priorities and integration with the national statistical strategy.</w:t>
      </w:r>
    </w:p>
    <w:p>
      <w:pPr>
        <w:pStyle w:val="ListBullet"/>
        <w:spacing w:after="50"/>
      </w:pPr>
      <w:r>
        <w:t>Costed recurrent financing, not only externally funded pilots.</w:t>
      </w:r>
    </w:p>
    <w:p>
      <w:pPr>
        <w:pStyle w:val="ListBullet"/>
        <w:spacing w:after="50"/>
      </w:pPr>
      <w:r>
        <w:t>Training of trainers and retention of institutional knowledge.</w:t>
      </w:r>
    </w:p>
    <w:p>
      <w:pPr>
        <w:pStyle w:val="ListBullet"/>
        <w:spacing w:after="50"/>
      </w:pPr>
      <w:r>
        <w:t>Reusable code, prompts, datasets, documentation and evaluation instruments.</w:t>
      </w:r>
    </w:p>
    <w:p>
      <w:pPr>
        <w:pStyle w:val="ListBullet"/>
        <w:spacing w:after="50"/>
      </w:pPr>
      <w:r>
        <w:t>Open standards and explicit management of vendor dependency.</w:t>
      </w:r>
    </w:p>
    <w:p>
      <w:pPr>
        <w:pStyle w:val="ListBullet"/>
        <w:spacing w:after="50"/>
      </w:pPr>
      <w:r>
        <w:t>Communities of practice across sectors and countries.</w:t>
      </w:r>
    </w:p>
    <w:p>
      <w:pPr>
        <w:pStyle w:val="ListBullet"/>
        <w:spacing w:after="50"/>
      </w:pPr>
      <w:r>
        <w:t>Periodic revision as AI methods, laws and official-statistics standards evolve.</w:t>
      </w:r>
    </w:p>
    <w:p>
      <w:r>
        <w:br w:type="page"/>
      </w:r>
    </w:p>
    <w:p>
      <w:pPr>
        <w:pStyle w:val="Heading1"/>
      </w:pPr>
      <w:r>
        <w:t>Annex A. National Information Ecosystem mapping template</w:t>
      </w:r>
    </w:p>
    <w:p>
      <w:r>
        <w:t>The following template should be completed for each major information system and high-priority data flow.</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5"/>
              </w:rPr>
              <w:t>Field</w:t>
            </w:r>
          </w:p>
        </w:tc>
        <w:tc>
          <w:tcPr>
            <w:tcW w:type="dxa" w:w="4997"/>
            <w:shd w:fill="17324D"/>
            <w:tcMar>
              <w:top w:w="90" w:type="dxa"/>
              <w:start w:w="100" w:type="dxa"/>
              <w:bottom w:w="90" w:type="dxa"/>
              <w:end w:w="100" w:type="dxa"/>
            </w:tcMar>
          </w:tcPr>
          <w:p>
            <w:pPr>
              <w:spacing w:after="0"/>
            </w:pPr>
            <w:r>
              <w:rPr>
                <w:b/>
                <w:color w:val="FFFFFF"/>
                <w:sz w:val="15"/>
              </w:rPr>
              <w:t>Questions to answer</w:t>
            </w:r>
          </w:p>
        </w:tc>
      </w:tr>
      <w:tr>
        <w:tc>
          <w:tcPr>
            <w:tcW w:type="dxa" w:w="2376"/>
            <w:vAlign w:val="center"/>
            <w:tcMar>
              <w:top w:w="80" w:type="dxa"/>
              <w:start w:w="95" w:type="dxa"/>
              <w:bottom w:w="80" w:type="dxa"/>
              <w:end w:w="95" w:type="dxa"/>
            </w:tcMar>
            <w:shd w:fill="F3F6F8"/>
          </w:tcPr>
          <w:p>
            <w:pPr>
              <w:spacing w:after="0"/>
            </w:pPr>
            <w:r>
              <w:rPr>
                <w:b/>
                <w:color w:val="0B6B69"/>
                <w:sz w:val="15"/>
              </w:rPr>
              <w:t>System/institution</w:t>
            </w:r>
          </w:p>
        </w:tc>
        <w:tc>
          <w:tcPr>
            <w:tcW w:type="dxa" w:w="6984"/>
            <w:vAlign w:val="center"/>
            <w:tcMar>
              <w:top w:w="80" w:type="dxa"/>
              <w:start w:w="95" w:type="dxa"/>
              <w:bottom w:w="80" w:type="dxa"/>
              <w:end w:w="95" w:type="dxa"/>
            </w:tcMar>
            <w:shd w:fill="F3F6F8"/>
          </w:tcPr>
          <w:p>
            <w:pPr>
              <w:spacing w:after="0"/>
            </w:pPr>
            <w:r>
              <w:rPr>
                <w:sz w:val="15"/>
              </w:rPr>
              <w:t>What is the system called, who owns it and what mandate applies?</w:t>
            </w:r>
          </w:p>
        </w:tc>
      </w:tr>
      <w:tr>
        <w:tc>
          <w:tcPr>
            <w:tcW w:type="dxa" w:w="2376"/>
            <w:vAlign w:val="center"/>
            <w:tcMar>
              <w:top w:w="80" w:type="dxa"/>
              <w:start w:w="95" w:type="dxa"/>
              <w:bottom w:w="80" w:type="dxa"/>
              <w:end w:w="95" w:type="dxa"/>
            </w:tcMar>
          </w:tcPr>
          <w:p>
            <w:pPr>
              <w:spacing w:after="0"/>
            </w:pPr>
            <w:r>
              <w:rPr>
                <w:b/>
                <w:color w:val="0B6B69"/>
                <w:sz w:val="15"/>
              </w:rPr>
              <w:t>Purpose and users</w:t>
            </w:r>
          </w:p>
        </w:tc>
        <w:tc>
          <w:tcPr>
            <w:tcW w:type="dxa" w:w="6984"/>
            <w:vAlign w:val="center"/>
            <w:tcMar>
              <w:top w:w="80" w:type="dxa"/>
              <w:start w:w="95" w:type="dxa"/>
              <w:bottom w:w="80" w:type="dxa"/>
              <w:end w:w="95" w:type="dxa"/>
            </w:tcMar>
          </w:tcPr>
          <w:p>
            <w:pPr>
              <w:spacing w:after="0"/>
            </w:pPr>
            <w:r>
              <w:rPr>
                <w:sz w:val="15"/>
              </w:rPr>
              <w:t>Why does it exist, who uses it and for which decisions?</w:t>
            </w:r>
          </w:p>
        </w:tc>
      </w:tr>
      <w:tr>
        <w:tc>
          <w:tcPr>
            <w:tcW w:type="dxa" w:w="2376"/>
            <w:vAlign w:val="center"/>
            <w:tcMar>
              <w:top w:w="80" w:type="dxa"/>
              <w:start w:w="95" w:type="dxa"/>
              <w:bottom w:w="80" w:type="dxa"/>
              <w:end w:w="95" w:type="dxa"/>
            </w:tcMar>
            <w:shd w:fill="F3F6F8"/>
          </w:tcPr>
          <w:p>
            <w:pPr>
              <w:spacing w:after="0"/>
            </w:pPr>
            <w:r>
              <w:rPr>
                <w:b/>
                <w:color w:val="0B6B69"/>
                <w:sz w:val="15"/>
              </w:rPr>
              <w:t>Evidence produced</w:t>
            </w:r>
          </w:p>
        </w:tc>
        <w:tc>
          <w:tcPr>
            <w:tcW w:type="dxa" w:w="6984"/>
            <w:vAlign w:val="center"/>
            <w:tcMar>
              <w:top w:w="80" w:type="dxa"/>
              <w:start w:w="95" w:type="dxa"/>
              <w:bottom w:w="80" w:type="dxa"/>
              <w:end w:w="95" w:type="dxa"/>
            </w:tcMar>
            <w:shd w:fill="F3F6F8"/>
          </w:tcPr>
          <w:p>
            <w:pPr>
              <w:spacing w:after="0"/>
            </w:pPr>
            <w:r>
              <w:rPr>
                <w:sz w:val="15"/>
              </w:rPr>
              <w:t>What data, records, indicators, findings, models or forecasts are produced?</w:t>
            </w:r>
          </w:p>
        </w:tc>
      </w:tr>
      <w:tr>
        <w:tc>
          <w:tcPr>
            <w:tcW w:type="dxa" w:w="2376"/>
            <w:vAlign w:val="center"/>
            <w:tcMar>
              <w:top w:w="80" w:type="dxa"/>
              <w:start w:w="95" w:type="dxa"/>
              <w:bottom w:w="80" w:type="dxa"/>
              <w:end w:w="95" w:type="dxa"/>
            </w:tcMar>
          </w:tcPr>
          <w:p>
            <w:pPr>
              <w:spacing w:after="0"/>
            </w:pPr>
            <w:r>
              <w:rPr>
                <w:b/>
                <w:color w:val="0B6B69"/>
                <w:sz w:val="15"/>
              </w:rPr>
              <w:t>Evidence status</w:t>
            </w:r>
          </w:p>
        </w:tc>
        <w:tc>
          <w:tcPr>
            <w:tcW w:type="dxa" w:w="6984"/>
            <w:vAlign w:val="center"/>
            <w:tcMar>
              <w:top w:w="80" w:type="dxa"/>
              <w:start w:w="95" w:type="dxa"/>
              <w:bottom w:w="80" w:type="dxa"/>
              <w:end w:w="95" w:type="dxa"/>
            </w:tcMar>
          </w:tcPr>
          <w:p>
            <w:pPr>
              <w:spacing w:after="0"/>
            </w:pPr>
            <w:r>
              <w:rPr>
                <w:sz w:val="15"/>
              </w:rPr>
              <w:t>Official, experimental, administrative, research, modelled, forecast or operational?</w:t>
            </w:r>
          </w:p>
        </w:tc>
      </w:tr>
      <w:tr>
        <w:tc>
          <w:tcPr>
            <w:tcW w:type="dxa" w:w="2376"/>
            <w:vAlign w:val="center"/>
            <w:tcMar>
              <w:top w:w="80" w:type="dxa"/>
              <w:start w:w="95" w:type="dxa"/>
              <w:bottom w:w="80" w:type="dxa"/>
              <w:end w:w="95" w:type="dxa"/>
            </w:tcMar>
            <w:shd w:fill="F3F6F8"/>
          </w:tcPr>
          <w:p>
            <w:pPr>
              <w:spacing w:after="0"/>
            </w:pPr>
            <w:r>
              <w:rPr>
                <w:b/>
                <w:color w:val="0B6B69"/>
                <w:sz w:val="15"/>
              </w:rPr>
              <w:t>Population and coverage</w:t>
            </w:r>
          </w:p>
        </w:tc>
        <w:tc>
          <w:tcPr>
            <w:tcW w:type="dxa" w:w="6984"/>
            <w:vAlign w:val="center"/>
            <w:tcMar>
              <w:top w:w="80" w:type="dxa"/>
              <w:start w:w="95" w:type="dxa"/>
              <w:bottom w:w="80" w:type="dxa"/>
              <w:end w:w="95" w:type="dxa"/>
            </w:tcMar>
            <w:shd w:fill="F3F6F8"/>
          </w:tcPr>
          <w:p>
            <w:pPr>
              <w:spacing w:after="0"/>
            </w:pPr>
            <w:r>
              <w:rPr>
                <w:sz w:val="15"/>
              </w:rPr>
              <w:t>What units, geography, groups and periods are covered or excluded?</w:t>
            </w:r>
          </w:p>
        </w:tc>
      </w:tr>
      <w:tr>
        <w:tc>
          <w:tcPr>
            <w:tcW w:type="dxa" w:w="2376"/>
            <w:vAlign w:val="center"/>
            <w:tcMar>
              <w:top w:w="80" w:type="dxa"/>
              <w:start w:w="95" w:type="dxa"/>
              <w:bottom w:w="80" w:type="dxa"/>
              <w:end w:w="95" w:type="dxa"/>
            </w:tcMar>
          </w:tcPr>
          <w:p>
            <w:pPr>
              <w:spacing w:after="0"/>
            </w:pPr>
            <w:r>
              <w:rPr>
                <w:b/>
                <w:color w:val="0B6B69"/>
                <w:sz w:val="15"/>
              </w:rPr>
              <w:t>Collection/acquisition</w:t>
            </w:r>
          </w:p>
        </w:tc>
        <w:tc>
          <w:tcPr>
            <w:tcW w:type="dxa" w:w="6984"/>
            <w:vAlign w:val="center"/>
            <w:tcMar>
              <w:top w:w="80" w:type="dxa"/>
              <w:start w:w="95" w:type="dxa"/>
              <w:bottom w:w="80" w:type="dxa"/>
              <w:end w:w="95" w:type="dxa"/>
            </w:tcMar>
          </w:tcPr>
          <w:p>
            <w:pPr>
              <w:spacing w:after="0"/>
            </w:pPr>
            <w:r>
              <w:rPr>
                <w:sz w:val="15"/>
              </w:rPr>
              <w:t>How, when and by whom are data obtained?</w:t>
            </w:r>
          </w:p>
        </w:tc>
      </w:tr>
      <w:tr>
        <w:tc>
          <w:tcPr>
            <w:tcW w:type="dxa" w:w="2376"/>
            <w:vAlign w:val="center"/>
            <w:tcMar>
              <w:top w:w="80" w:type="dxa"/>
              <w:start w:w="95" w:type="dxa"/>
              <w:bottom w:w="80" w:type="dxa"/>
              <w:end w:w="95" w:type="dxa"/>
            </w:tcMar>
            <w:shd w:fill="F3F6F8"/>
          </w:tcPr>
          <w:p>
            <w:pPr>
              <w:spacing w:after="0"/>
            </w:pPr>
            <w:r>
              <w:rPr>
                <w:b/>
                <w:color w:val="0B6B69"/>
                <w:sz w:val="15"/>
              </w:rPr>
              <w:t>Standards</w:t>
            </w:r>
          </w:p>
        </w:tc>
        <w:tc>
          <w:tcPr>
            <w:tcW w:type="dxa" w:w="6984"/>
            <w:vAlign w:val="center"/>
            <w:tcMar>
              <w:top w:w="80" w:type="dxa"/>
              <w:start w:w="95" w:type="dxa"/>
              <w:bottom w:w="80" w:type="dxa"/>
              <w:end w:w="95" w:type="dxa"/>
            </w:tcMar>
            <w:shd w:fill="F3F6F8"/>
          </w:tcPr>
          <w:p>
            <w:pPr>
              <w:spacing w:after="0"/>
            </w:pPr>
            <w:r>
              <w:rPr>
                <w:sz w:val="15"/>
              </w:rPr>
              <w:t>Which concepts, classifications, identifiers and units are used?</w:t>
            </w:r>
          </w:p>
        </w:tc>
      </w:tr>
      <w:tr>
        <w:tc>
          <w:tcPr>
            <w:tcW w:type="dxa" w:w="2376"/>
            <w:vAlign w:val="center"/>
            <w:tcMar>
              <w:top w:w="80" w:type="dxa"/>
              <w:start w:w="95" w:type="dxa"/>
              <w:bottom w:w="80" w:type="dxa"/>
              <w:end w:w="95" w:type="dxa"/>
            </w:tcMar>
          </w:tcPr>
          <w:p>
            <w:pPr>
              <w:spacing w:after="0"/>
            </w:pPr>
            <w:r>
              <w:rPr>
                <w:b/>
                <w:color w:val="0B6B69"/>
                <w:sz w:val="15"/>
              </w:rPr>
              <w:t>Quality</w:t>
            </w:r>
          </w:p>
        </w:tc>
        <w:tc>
          <w:tcPr>
            <w:tcW w:type="dxa" w:w="6984"/>
            <w:vAlign w:val="center"/>
            <w:tcMar>
              <w:top w:w="80" w:type="dxa"/>
              <w:start w:w="95" w:type="dxa"/>
              <w:bottom w:w="80" w:type="dxa"/>
              <w:end w:w="95" w:type="dxa"/>
            </w:tcMar>
          </w:tcPr>
          <w:p>
            <w:pPr>
              <w:spacing w:after="0"/>
            </w:pPr>
            <w:r>
              <w:rPr>
                <w:sz w:val="15"/>
              </w:rPr>
              <w:t>What errors, controls, evaluations and limitations are documented?</w:t>
            </w:r>
          </w:p>
        </w:tc>
      </w:tr>
      <w:tr>
        <w:tc>
          <w:tcPr>
            <w:tcW w:type="dxa" w:w="2376"/>
            <w:vAlign w:val="center"/>
            <w:tcMar>
              <w:top w:w="80" w:type="dxa"/>
              <w:start w:w="95" w:type="dxa"/>
              <w:bottom w:w="80" w:type="dxa"/>
              <w:end w:w="95" w:type="dxa"/>
            </w:tcMar>
            <w:shd w:fill="F3F6F8"/>
          </w:tcPr>
          <w:p>
            <w:pPr>
              <w:spacing w:after="0"/>
            </w:pPr>
            <w:r>
              <w:rPr>
                <w:b/>
                <w:color w:val="0B6B69"/>
                <w:sz w:val="15"/>
              </w:rPr>
              <w:t>Legal and confidentiality</w:t>
            </w:r>
          </w:p>
        </w:tc>
        <w:tc>
          <w:tcPr>
            <w:tcW w:type="dxa" w:w="6984"/>
            <w:vAlign w:val="center"/>
            <w:tcMar>
              <w:top w:w="80" w:type="dxa"/>
              <w:start w:w="95" w:type="dxa"/>
              <w:bottom w:w="80" w:type="dxa"/>
              <w:end w:w="95" w:type="dxa"/>
            </w:tcMar>
            <w:shd w:fill="F3F6F8"/>
          </w:tcPr>
          <w:p>
            <w:pPr>
              <w:spacing w:after="0"/>
            </w:pPr>
            <w:r>
              <w:rPr>
                <w:sz w:val="15"/>
              </w:rPr>
              <w:t>What access, sharing, retention and disclosure rules apply?</w:t>
            </w:r>
          </w:p>
        </w:tc>
      </w:tr>
      <w:tr>
        <w:tc>
          <w:tcPr>
            <w:tcW w:type="dxa" w:w="2376"/>
            <w:vAlign w:val="center"/>
            <w:tcMar>
              <w:top w:w="80" w:type="dxa"/>
              <w:start w:w="95" w:type="dxa"/>
              <w:bottom w:w="80" w:type="dxa"/>
              <w:end w:w="95" w:type="dxa"/>
            </w:tcMar>
          </w:tcPr>
          <w:p>
            <w:pPr>
              <w:spacing w:after="0"/>
            </w:pPr>
            <w:r>
              <w:rPr>
                <w:b/>
                <w:color w:val="0B6B69"/>
                <w:sz w:val="15"/>
              </w:rPr>
              <w:t>Technology</w:t>
            </w:r>
          </w:p>
        </w:tc>
        <w:tc>
          <w:tcPr>
            <w:tcW w:type="dxa" w:w="6984"/>
            <w:vAlign w:val="center"/>
            <w:tcMar>
              <w:top w:w="80" w:type="dxa"/>
              <w:start w:w="95" w:type="dxa"/>
              <w:bottom w:w="80" w:type="dxa"/>
              <w:end w:w="95" w:type="dxa"/>
            </w:tcMar>
          </w:tcPr>
          <w:p>
            <w:pPr>
              <w:spacing w:after="0"/>
            </w:pPr>
            <w:r>
              <w:rPr>
                <w:sz w:val="15"/>
              </w:rPr>
              <w:t>Which systems, formats, interfaces and security controls are used?</w:t>
            </w:r>
          </w:p>
        </w:tc>
      </w:tr>
      <w:tr>
        <w:tc>
          <w:tcPr>
            <w:tcW w:type="dxa" w:w="2376"/>
            <w:vAlign w:val="center"/>
            <w:tcMar>
              <w:top w:w="80" w:type="dxa"/>
              <w:start w:w="95" w:type="dxa"/>
              <w:bottom w:w="80" w:type="dxa"/>
              <w:end w:w="95" w:type="dxa"/>
            </w:tcMar>
            <w:shd w:fill="F3F6F8"/>
          </w:tcPr>
          <w:p>
            <w:pPr>
              <w:spacing w:after="0"/>
            </w:pPr>
            <w:r>
              <w:rPr>
                <w:b/>
                <w:color w:val="0B6B69"/>
                <w:sz w:val="15"/>
              </w:rPr>
              <w:t>Connections</w:t>
            </w:r>
          </w:p>
        </w:tc>
        <w:tc>
          <w:tcPr>
            <w:tcW w:type="dxa" w:w="6984"/>
            <w:vAlign w:val="center"/>
            <w:tcMar>
              <w:top w:w="80" w:type="dxa"/>
              <w:start w:w="95" w:type="dxa"/>
              <w:bottom w:w="80" w:type="dxa"/>
              <w:end w:w="95" w:type="dxa"/>
            </w:tcMar>
            <w:shd w:fill="F3F6F8"/>
          </w:tcPr>
          <w:p>
            <w:pPr>
              <w:spacing w:after="0"/>
            </w:pPr>
            <w:r>
              <w:rPr>
                <w:sz w:val="15"/>
              </w:rPr>
              <w:t>Which other systems provide inputs or consume outputs?</w:t>
            </w:r>
          </w:p>
        </w:tc>
      </w:tr>
      <w:tr>
        <w:tc>
          <w:tcPr>
            <w:tcW w:type="dxa" w:w="2376"/>
            <w:vAlign w:val="center"/>
            <w:tcMar>
              <w:top w:w="80" w:type="dxa"/>
              <w:start w:w="95" w:type="dxa"/>
              <w:bottom w:w="80" w:type="dxa"/>
              <w:end w:w="95" w:type="dxa"/>
            </w:tcMar>
          </w:tcPr>
          <w:p>
            <w:pPr>
              <w:spacing w:after="0"/>
            </w:pPr>
            <w:r>
              <w:rPr>
                <w:b/>
                <w:color w:val="0B6B69"/>
                <w:sz w:val="15"/>
              </w:rPr>
              <w:t>AI opportunity</w:t>
            </w:r>
          </w:p>
        </w:tc>
        <w:tc>
          <w:tcPr>
            <w:tcW w:type="dxa" w:w="6984"/>
            <w:vAlign w:val="center"/>
            <w:tcMar>
              <w:top w:w="80" w:type="dxa"/>
              <w:start w:w="95" w:type="dxa"/>
              <w:bottom w:w="80" w:type="dxa"/>
              <w:end w:w="95" w:type="dxa"/>
            </w:tcMar>
          </w:tcPr>
          <w:p>
            <w:pPr>
              <w:spacing w:after="0"/>
            </w:pPr>
            <w:r>
              <w:rPr>
                <w:sz w:val="15"/>
              </w:rPr>
              <w:t>Which bounded task might AI improve?</w:t>
            </w:r>
          </w:p>
        </w:tc>
      </w:tr>
      <w:tr>
        <w:tc>
          <w:tcPr>
            <w:tcW w:type="dxa" w:w="2376"/>
            <w:vAlign w:val="center"/>
            <w:tcMar>
              <w:top w:w="80" w:type="dxa"/>
              <w:start w:w="95" w:type="dxa"/>
              <w:bottom w:w="80" w:type="dxa"/>
              <w:end w:w="95" w:type="dxa"/>
            </w:tcMar>
            <w:shd w:fill="F3F6F8"/>
          </w:tcPr>
          <w:p>
            <w:pPr>
              <w:spacing w:after="0"/>
            </w:pPr>
            <w:r>
              <w:rPr>
                <w:b/>
                <w:color w:val="0B6B69"/>
                <w:sz w:val="15"/>
              </w:rPr>
              <w:t>AI risk</w:t>
            </w:r>
          </w:p>
        </w:tc>
        <w:tc>
          <w:tcPr>
            <w:tcW w:type="dxa" w:w="6984"/>
            <w:vAlign w:val="center"/>
            <w:tcMar>
              <w:top w:w="80" w:type="dxa"/>
              <w:start w:w="95" w:type="dxa"/>
              <w:bottom w:w="80" w:type="dxa"/>
              <w:end w:w="95" w:type="dxa"/>
            </w:tcMar>
            <w:shd w:fill="F3F6F8"/>
          </w:tcPr>
          <w:p>
            <w:pPr>
              <w:spacing w:after="0"/>
            </w:pPr>
            <w:r>
              <w:rPr>
                <w:sz w:val="15"/>
              </w:rPr>
              <w:t>What statistical, legal, ethical, operational or reputational harm could occur?</w:t>
            </w:r>
          </w:p>
        </w:tc>
      </w:tr>
      <w:tr>
        <w:tc>
          <w:tcPr>
            <w:tcW w:type="dxa" w:w="2376"/>
            <w:vAlign w:val="center"/>
            <w:tcMar>
              <w:top w:w="80" w:type="dxa"/>
              <w:start w:w="95" w:type="dxa"/>
              <w:bottom w:w="80" w:type="dxa"/>
              <w:end w:w="95" w:type="dxa"/>
            </w:tcMar>
          </w:tcPr>
          <w:p>
            <w:pPr>
              <w:spacing w:after="0"/>
            </w:pPr>
            <w:r>
              <w:rPr>
                <w:b/>
                <w:color w:val="0B6B69"/>
                <w:sz w:val="15"/>
              </w:rPr>
              <w:t>Accountability</w:t>
            </w:r>
          </w:p>
        </w:tc>
        <w:tc>
          <w:tcPr>
            <w:tcW w:type="dxa" w:w="6984"/>
            <w:vAlign w:val="center"/>
            <w:tcMar>
              <w:top w:w="80" w:type="dxa"/>
              <w:start w:w="95" w:type="dxa"/>
              <w:bottom w:w="80" w:type="dxa"/>
              <w:end w:w="95" w:type="dxa"/>
            </w:tcMar>
          </w:tcPr>
          <w:p>
            <w:pPr>
              <w:spacing w:after="0"/>
            </w:pPr>
            <w:r>
              <w:rPr>
                <w:sz w:val="15"/>
              </w:rPr>
              <w:t>Who validates, approves, publishes and responds to incidents?</w:t>
            </w:r>
          </w:p>
        </w:tc>
      </w:tr>
    </w:tbl>
    <w:p>
      <w:pPr>
        <w:spacing w:after="0"/>
      </w:pPr>
    </w:p>
    <w:p>
      <w:r>
        <w:br w:type="page"/>
      </w:r>
    </w:p>
    <w:p>
      <w:pPr>
        <w:pStyle w:val="Heading1"/>
      </w:pPr>
      <w:r>
        <w:t>Annex B. Use-case concept note template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tcPr>
          <w:p>
            <w:pPr>
              <w:spacing w:after="0"/>
            </w:pPr>
            <w:r>
              <w:rPr>
                <w:b/>
                <w:color w:val="FFFFFF"/>
                <w:sz w:val="16"/>
              </w:rPr>
              <w:t>Section</w:t>
            </w:r>
          </w:p>
        </w:tc>
        <w:tc>
          <w:tcPr>
            <w:tcW w:type="dxa" w:w="4997"/>
            <w:shd w:fill="17324D"/>
            <w:tcMar>
              <w:top w:w="90" w:type="dxa"/>
              <w:start w:w="100" w:type="dxa"/>
              <w:bottom w:w="90" w:type="dxa"/>
              <w:end w:w="100" w:type="dxa"/>
            </w:tcMar>
          </w:tcPr>
          <w:p>
            <w:pPr>
              <w:spacing w:after="0"/>
            </w:pPr>
            <w:r>
              <w:rPr>
                <w:b/>
                <w:color w:val="FFFFFF"/>
                <w:sz w:val="16"/>
              </w:rPr>
              <w:t>Required content</w:t>
            </w:r>
          </w:p>
        </w:tc>
      </w:tr>
      <w:tr>
        <w:tc>
          <w:tcPr>
            <w:tcW w:type="dxa" w:w="2520"/>
            <w:vAlign w:val="center"/>
            <w:tcMar>
              <w:top w:w="80" w:type="dxa"/>
              <w:start w:w="95" w:type="dxa"/>
              <w:bottom w:w="80" w:type="dxa"/>
              <w:end w:w="95" w:type="dxa"/>
            </w:tcMar>
            <w:shd w:fill="F3F6F8"/>
          </w:tcPr>
          <w:p>
            <w:pPr>
              <w:spacing w:after="0"/>
            </w:pPr>
            <w:r>
              <w:rPr>
                <w:b/>
                <w:color w:val="0B6B69"/>
                <w:sz w:val="16"/>
              </w:rPr>
              <w:t>1. Statistical problem</w:t>
            </w:r>
          </w:p>
        </w:tc>
        <w:tc>
          <w:tcPr>
            <w:tcW w:type="dxa" w:w="6840"/>
            <w:vAlign w:val="center"/>
            <w:tcMar>
              <w:top w:w="80" w:type="dxa"/>
              <w:start w:w="95" w:type="dxa"/>
              <w:bottom w:w="80" w:type="dxa"/>
              <w:end w:w="95" w:type="dxa"/>
            </w:tcMar>
            <w:shd w:fill="F3F6F8"/>
          </w:tcPr>
          <w:p>
            <w:pPr>
              <w:spacing w:after="0"/>
            </w:pPr>
            <w:r>
              <w:rPr>
                <w:sz w:val="16"/>
              </w:rPr>
              <w:t>Current need, workflow, bottleneck and affected outputs.</w:t>
            </w:r>
          </w:p>
        </w:tc>
      </w:tr>
      <w:tr>
        <w:tc>
          <w:tcPr>
            <w:tcW w:type="dxa" w:w="2520"/>
            <w:vAlign w:val="center"/>
            <w:tcMar>
              <w:top w:w="80" w:type="dxa"/>
              <w:start w:w="95" w:type="dxa"/>
              <w:bottom w:w="80" w:type="dxa"/>
              <w:end w:w="95" w:type="dxa"/>
            </w:tcMar>
          </w:tcPr>
          <w:p>
            <w:pPr>
              <w:spacing w:after="0"/>
            </w:pPr>
            <w:r>
              <w:rPr>
                <w:b/>
                <w:color w:val="0B6B69"/>
                <w:sz w:val="16"/>
              </w:rPr>
              <w:t>2. Intended use</w:t>
            </w:r>
          </w:p>
        </w:tc>
        <w:tc>
          <w:tcPr>
            <w:tcW w:type="dxa" w:w="6840"/>
            <w:vAlign w:val="center"/>
            <w:tcMar>
              <w:top w:w="80" w:type="dxa"/>
              <w:start w:w="95" w:type="dxa"/>
              <w:bottom w:w="80" w:type="dxa"/>
              <w:end w:w="95" w:type="dxa"/>
            </w:tcMar>
          </w:tcPr>
          <w:p>
            <w:pPr>
              <w:spacing w:after="0"/>
            </w:pPr>
            <w:r>
              <w:rPr>
                <w:sz w:val="16"/>
              </w:rPr>
              <w:t>Users, decisions, geographic/detail level and consequences of error.</w:t>
            </w:r>
          </w:p>
        </w:tc>
      </w:tr>
      <w:tr>
        <w:tc>
          <w:tcPr>
            <w:tcW w:type="dxa" w:w="2520"/>
            <w:vAlign w:val="center"/>
            <w:tcMar>
              <w:top w:w="80" w:type="dxa"/>
              <w:start w:w="95" w:type="dxa"/>
              <w:bottom w:w="80" w:type="dxa"/>
              <w:end w:w="95" w:type="dxa"/>
            </w:tcMar>
            <w:shd w:fill="F3F6F8"/>
          </w:tcPr>
          <w:p>
            <w:pPr>
              <w:spacing w:after="0"/>
            </w:pPr>
            <w:r>
              <w:rPr>
                <w:b/>
                <w:color w:val="0B6B69"/>
                <w:sz w:val="16"/>
              </w:rPr>
              <w:t>3. Current baseline</w:t>
            </w:r>
          </w:p>
        </w:tc>
        <w:tc>
          <w:tcPr>
            <w:tcW w:type="dxa" w:w="6840"/>
            <w:vAlign w:val="center"/>
            <w:tcMar>
              <w:top w:w="80" w:type="dxa"/>
              <w:start w:w="95" w:type="dxa"/>
              <w:bottom w:w="80" w:type="dxa"/>
              <w:end w:w="95" w:type="dxa"/>
            </w:tcMar>
            <w:shd w:fill="F3F6F8"/>
          </w:tcPr>
          <w:p>
            <w:pPr>
              <w:spacing w:after="0"/>
            </w:pPr>
            <w:r>
              <w:rPr>
                <w:sz w:val="16"/>
              </w:rPr>
              <w:t>Time, cost, quality, error and staffing measures.</w:t>
            </w:r>
          </w:p>
        </w:tc>
      </w:tr>
      <w:tr>
        <w:tc>
          <w:tcPr>
            <w:tcW w:type="dxa" w:w="2520"/>
            <w:vAlign w:val="center"/>
            <w:tcMar>
              <w:top w:w="80" w:type="dxa"/>
              <w:start w:w="95" w:type="dxa"/>
              <w:bottom w:w="80" w:type="dxa"/>
              <w:end w:w="95" w:type="dxa"/>
            </w:tcMar>
          </w:tcPr>
          <w:p>
            <w:pPr>
              <w:spacing w:after="0"/>
            </w:pPr>
            <w:r>
              <w:rPr>
                <w:b/>
                <w:color w:val="0B6B69"/>
                <w:sz w:val="16"/>
              </w:rPr>
              <w:t>4. Proposed AI role</w:t>
            </w:r>
          </w:p>
        </w:tc>
        <w:tc>
          <w:tcPr>
            <w:tcW w:type="dxa" w:w="6840"/>
            <w:vAlign w:val="center"/>
            <w:tcMar>
              <w:top w:w="80" w:type="dxa"/>
              <w:start w:w="95" w:type="dxa"/>
              <w:bottom w:w="80" w:type="dxa"/>
              <w:end w:w="95" w:type="dxa"/>
            </w:tcMar>
          </w:tcPr>
          <w:p>
            <w:pPr>
              <w:spacing w:after="0"/>
            </w:pPr>
            <w:r>
              <w:rPr>
                <w:sz w:val="16"/>
              </w:rPr>
              <w:t>Precisely what AI will and will not do.</w:t>
            </w:r>
          </w:p>
        </w:tc>
      </w:tr>
      <w:tr>
        <w:tc>
          <w:tcPr>
            <w:tcW w:type="dxa" w:w="2520"/>
            <w:vAlign w:val="center"/>
            <w:tcMar>
              <w:top w:w="80" w:type="dxa"/>
              <w:start w:w="95" w:type="dxa"/>
              <w:bottom w:w="80" w:type="dxa"/>
              <w:end w:w="95" w:type="dxa"/>
            </w:tcMar>
            <w:shd w:fill="F3F6F8"/>
          </w:tcPr>
          <w:p>
            <w:pPr>
              <w:spacing w:after="0"/>
            </w:pPr>
            <w:r>
              <w:rPr>
                <w:b/>
                <w:color w:val="0B6B69"/>
                <w:sz w:val="16"/>
              </w:rPr>
              <w:t>5. Data and authority</w:t>
            </w:r>
          </w:p>
        </w:tc>
        <w:tc>
          <w:tcPr>
            <w:tcW w:type="dxa" w:w="6840"/>
            <w:vAlign w:val="center"/>
            <w:tcMar>
              <w:top w:w="80" w:type="dxa"/>
              <w:start w:w="95" w:type="dxa"/>
              <w:bottom w:w="80" w:type="dxa"/>
              <w:end w:w="95" w:type="dxa"/>
            </w:tcMar>
            <w:shd w:fill="F3F6F8"/>
          </w:tcPr>
          <w:p>
            <w:pPr>
              <w:spacing w:after="0"/>
            </w:pPr>
            <w:r>
              <w:rPr>
                <w:sz w:val="16"/>
              </w:rPr>
              <w:t>Sources, access, sensitivity, provenance and legal basis.</w:t>
            </w:r>
          </w:p>
        </w:tc>
      </w:tr>
      <w:tr>
        <w:tc>
          <w:tcPr>
            <w:tcW w:type="dxa" w:w="2520"/>
            <w:vAlign w:val="center"/>
            <w:tcMar>
              <w:top w:w="80" w:type="dxa"/>
              <w:start w:w="95" w:type="dxa"/>
              <w:bottom w:w="80" w:type="dxa"/>
              <w:end w:w="95" w:type="dxa"/>
            </w:tcMar>
          </w:tcPr>
          <w:p>
            <w:pPr>
              <w:spacing w:after="0"/>
            </w:pPr>
            <w:r>
              <w:rPr>
                <w:b/>
                <w:color w:val="0B6B69"/>
                <w:sz w:val="16"/>
              </w:rPr>
              <w:t>6. Method and benchmark</w:t>
            </w:r>
          </w:p>
        </w:tc>
        <w:tc>
          <w:tcPr>
            <w:tcW w:type="dxa" w:w="6840"/>
            <w:vAlign w:val="center"/>
            <w:tcMar>
              <w:top w:w="80" w:type="dxa"/>
              <w:start w:w="95" w:type="dxa"/>
              <w:bottom w:w="80" w:type="dxa"/>
              <w:end w:w="95" w:type="dxa"/>
            </w:tcMar>
          </w:tcPr>
          <w:p>
            <w:pPr>
              <w:spacing w:after="0"/>
            </w:pPr>
            <w:r>
              <w:rPr>
                <w:sz w:val="16"/>
              </w:rPr>
              <w:t>Model/tool, comparison method and acceptance thresholds.</w:t>
            </w:r>
          </w:p>
        </w:tc>
      </w:tr>
      <w:tr>
        <w:tc>
          <w:tcPr>
            <w:tcW w:type="dxa" w:w="2520"/>
            <w:vAlign w:val="center"/>
            <w:tcMar>
              <w:top w:w="80" w:type="dxa"/>
              <w:start w:w="95" w:type="dxa"/>
              <w:bottom w:w="80" w:type="dxa"/>
              <w:end w:w="95" w:type="dxa"/>
            </w:tcMar>
            <w:shd w:fill="F3F6F8"/>
          </w:tcPr>
          <w:p>
            <w:pPr>
              <w:spacing w:after="0"/>
            </w:pPr>
            <w:r>
              <w:rPr>
                <w:b/>
                <w:color w:val="0B6B69"/>
                <w:sz w:val="16"/>
              </w:rPr>
              <w:t>7. Quality assessment</w:t>
            </w:r>
          </w:p>
        </w:tc>
        <w:tc>
          <w:tcPr>
            <w:tcW w:type="dxa" w:w="6840"/>
            <w:vAlign w:val="center"/>
            <w:tcMar>
              <w:top w:w="80" w:type="dxa"/>
              <w:start w:w="95" w:type="dxa"/>
              <w:bottom w:w="80" w:type="dxa"/>
              <w:end w:w="95" w:type="dxa"/>
            </w:tcMar>
            <w:shd w:fill="F3F6F8"/>
          </w:tcPr>
          <w:p>
            <w:pPr>
              <w:spacing w:after="0"/>
            </w:pPr>
            <w:r>
              <w:rPr>
                <w:sz w:val="16"/>
              </w:rPr>
              <w:t>Effects across source, process, AI-system and output quality.</w:t>
            </w:r>
          </w:p>
        </w:tc>
      </w:tr>
      <w:tr>
        <w:tc>
          <w:tcPr>
            <w:tcW w:type="dxa" w:w="2520"/>
            <w:vAlign w:val="center"/>
            <w:tcMar>
              <w:top w:w="80" w:type="dxa"/>
              <w:start w:w="95" w:type="dxa"/>
              <w:bottom w:w="80" w:type="dxa"/>
              <w:end w:w="95" w:type="dxa"/>
            </w:tcMar>
          </w:tcPr>
          <w:p>
            <w:pPr>
              <w:spacing w:after="0"/>
            </w:pPr>
            <w:r>
              <w:rPr>
                <w:b/>
                <w:color w:val="0B6B69"/>
                <w:sz w:val="16"/>
              </w:rPr>
              <w:t>8. Risk and controls</w:t>
            </w:r>
          </w:p>
        </w:tc>
        <w:tc>
          <w:tcPr>
            <w:tcW w:type="dxa" w:w="6840"/>
            <w:vAlign w:val="center"/>
            <w:tcMar>
              <w:top w:w="80" w:type="dxa"/>
              <w:start w:w="95" w:type="dxa"/>
              <w:bottom w:w="80" w:type="dxa"/>
              <w:end w:w="95" w:type="dxa"/>
            </w:tcMar>
          </w:tcPr>
          <w:p>
            <w:pPr>
              <w:spacing w:after="0"/>
            </w:pPr>
            <w:r>
              <w:rPr>
                <w:sz w:val="16"/>
              </w:rPr>
              <w:t>Confidentiality, bias, security, continuity and human oversight.</w:t>
            </w:r>
          </w:p>
        </w:tc>
      </w:tr>
      <w:tr>
        <w:tc>
          <w:tcPr>
            <w:tcW w:type="dxa" w:w="2520"/>
            <w:vAlign w:val="center"/>
            <w:tcMar>
              <w:top w:w="80" w:type="dxa"/>
              <w:start w:w="95" w:type="dxa"/>
              <w:bottom w:w="80" w:type="dxa"/>
              <w:end w:w="95" w:type="dxa"/>
            </w:tcMar>
            <w:shd w:fill="F3F6F8"/>
          </w:tcPr>
          <w:p>
            <w:pPr>
              <w:spacing w:after="0"/>
            </w:pPr>
            <w:r>
              <w:rPr>
                <w:b/>
                <w:color w:val="0B6B69"/>
                <w:sz w:val="16"/>
              </w:rPr>
              <w:t>9. Reproducibility</w:t>
            </w:r>
          </w:p>
        </w:tc>
        <w:tc>
          <w:tcPr>
            <w:tcW w:type="dxa" w:w="6840"/>
            <w:vAlign w:val="center"/>
            <w:tcMar>
              <w:top w:w="80" w:type="dxa"/>
              <w:start w:w="95" w:type="dxa"/>
              <w:bottom w:w="80" w:type="dxa"/>
              <w:end w:w="95" w:type="dxa"/>
            </w:tcMar>
            <w:shd w:fill="F3F6F8"/>
          </w:tcPr>
          <w:p>
            <w:pPr>
              <w:spacing w:after="0"/>
            </w:pPr>
            <w:r>
              <w:rPr>
                <w:sz w:val="16"/>
              </w:rPr>
              <w:t>Versions, prompts, code, data, logs and documentation.</w:t>
            </w:r>
          </w:p>
        </w:tc>
      </w:tr>
      <w:tr>
        <w:tc>
          <w:tcPr>
            <w:tcW w:type="dxa" w:w="2520"/>
            <w:vAlign w:val="center"/>
            <w:tcMar>
              <w:top w:w="80" w:type="dxa"/>
              <w:start w:w="95" w:type="dxa"/>
              <w:bottom w:w="80" w:type="dxa"/>
              <w:end w:w="95" w:type="dxa"/>
            </w:tcMar>
          </w:tcPr>
          <w:p>
            <w:pPr>
              <w:spacing w:after="0"/>
            </w:pPr>
            <w:r>
              <w:rPr>
                <w:b/>
                <w:color w:val="0B6B69"/>
                <w:sz w:val="16"/>
              </w:rPr>
              <w:t>10. Implementation</w:t>
            </w:r>
          </w:p>
        </w:tc>
        <w:tc>
          <w:tcPr>
            <w:tcW w:type="dxa" w:w="6840"/>
            <w:vAlign w:val="center"/>
            <w:tcMar>
              <w:top w:w="80" w:type="dxa"/>
              <w:start w:w="95" w:type="dxa"/>
              <w:bottom w:w="80" w:type="dxa"/>
              <w:end w:w="95" w:type="dxa"/>
            </w:tcMar>
          </w:tcPr>
          <w:p>
            <w:pPr>
              <w:spacing w:after="0"/>
            </w:pPr>
            <w:r>
              <w:rPr>
                <w:sz w:val="16"/>
              </w:rPr>
              <w:t>Roles, infrastructure, schedule, costs and sustainability.</w:t>
            </w:r>
          </w:p>
        </w:tc>
      </w:tr>
      <w:tr>
        <w:tc>
          <w:tcPr>
            <w:tcW w:type="dxa" w:w="2520"/>
            <w:vAlign w:val="center"/>
            <w:tcMar>
              <w:top w:w="80" w:type="dxa"/>
              <w:start w:w="95" w:type="dxa"/>
              <w:bottom w:w="80" w:type="dxa"/>
              <w:end w:w="95" w:type="dxa"/>
            </w:tcMar>
            <w:shd w:fill="F3F6F8"/>
          </w:tcPr>
          <w:p>
            <w:pPr>
              <w:spacing w:after="0"/>
            </w:pPr>
            <w:r>
              <w:rPr>
                <w:b/>
                <w:color w:val="0B6B69"/>
                <w:sz w:val="16"/>
              </w:rPr>
              <w:t>11. Decision</w:t>
            </w:r>
          </w:p>
        </w:tc>
        <w:tc>
          <w:tcPr>
            <w:tcW w:type="dxa" w:w="6840"/>
            <w:vAlign w:val="center"/>
            <w:tcMar>
              <w:top w:w="80" w:type="dxa"/>
              <w:start w:w="95" w:type="dxa"/>
              <w:bottom w:w="80" w:type="dxa"/>
              <w:end w:w="95" w:type="dxa"/>
            </w:tcMar>
            <w:shd w:fill="F3F6F8"/>
          </w:tcPr>
          <w:p>
            <w:pPr>
              <w:spacing w:after="0"/>
            </w:pPr>
            <w:r>
              <w:rPr>
                <w:sz w:val="16"/>
              </w:rPr>
              <w:t>Reject, redesign, experimental pilot, reviewed operation or production approval.</w:t>
            </w:r>
          </w:p>
        </w:tc>
      </w:tr>
    </w:tbl>
    <w:p>
      <w:pPr>
        <w:spacing w:after="0"/>
      </w:pPr>
    </w:p>
    <w:p>
      <w:pPr>
        <w:pStyle w:val="Heading1"/>
      </w:pPr>
      <w:r>
        <w:t>Annex C. Capstone evidence package</w:t>
      </w:r>
    </w:p>
    <w:p>
      <w:pPr>
        <w:pStyle w:val="ListBullet"/>
        <w:spacing w:after="50"/>
      </w:pPr>
      <w:r>
        <w:t>Problem statement and institutional owner.</w:t>
      </w:r>
    </w:p>
    <w:p>
      <w:pPr>
        <w:pStyle w:val="ListBullet"/>
        <w:spacing w:after="50"/>
      </w:pPr>
      <w:r>
        <w:t>Mapped traditional and proposed workflows.</w:t>
      </w:r>
    </w:p>
    <w:p>
      <w:pPr>
        <w:pStyle w:val="ListBullet"/>
        <w:spacing w:after="50"/>
      </w:pPr>
      <w:r>
        <w:t>Data-protection and source-quality assessment.</w:t>
      </w:r>
    </w:p>
    <w:p>
      <w:pPr>
        <w:pStyle w:val="ListBullet"/>
        <w:spacing w:after="50"/>
      </w:pPr>
      <w:r>
        <w:t>Reproducible technical implementation.</w:t>
      </w:r>
    </w:p>
    <w:p>
      <w:pPr>
        <w:pStyle w:val="ListBullet"/>
        <w:spacing w:after="50"/>
      </w:pPr>
      <w:r>
        <w:t>Benchmark comparison and error analysis.</w:t>
      </w:r>
    </w:p>
    <w:p>
      <w:pPr>
        <w:pStyle w:val="ListBullet"/>
        <w:spacing w:after="50"/>
      </w:pPr>
      <w:r>
        <w:t>Assessment of statistical quality and subgroup effects.</w:t>
      </w:r>
    </w:p>
    <w:p>
      <w:pPr>
        <w:pStyle w:val="ListBullet"/>
        <w:spacing w:after="50"/>
      </w:pPr>
      <w:r>
        <w:t>Human-review, escalation and fallback procedures.</w:t>
      </w:r>
    </w:p>
    <w:p>
      <w:pPr>
        <w:pStyle w:val="ListBullet"/>
        <w:spacing w:after="50"/>
      </w:pPr>
      <w:r>
        <w:t>Cost, time, workforce and sustainability analysis.</w:t>
      </w:r>
    </w:p>
    <w:p>
      <w:pPr>
        <w:pStyle w:val="ListBullet"/>
        <w:spacing w:after="50"/>
      </w:pPr>
      <w:r>
        <w:t>Recommendation on evidence status and production approval.</w:t>
      </w:r>
    </w:p>
    <w:p>
      <w:pPr>
        <w:pStyle w:val="ListBullet"/>
        <w:spacing w:after="50"/>
      </w:pPr>
      <w:r>
        <w:t>Management presentation and implementation plan.</w:t>
      </w:r>
    </w:p>
    <w:p>
      <w:r>
        <w:br w:type="page"/>
      </w:r>
    </w:p>
    <w:p>
      <w:pPr>
        <w:pStyle w:val="Heading1"/>
      </w:pPr>
      <w:r>
        <w:t>Annex D. International reference frameworks</w:t>
      </w:r>
    </w:p>
    <w:p>
      <w:pPr>
        <w:spacing w:after="100"/>
      </w:pPr>
      <w:r>
        <w:rPr>
          <w:b/>
        </w:rPr>
        <w:t>United Nations Fundamental Principles of Official Statistics</w:t>
      </w:r>
      <w:r>
        <w:rPr>
          <w:color w:val="0B6B69"/>
          <w:sz w:val="16"/>
        </w:rPr>
        <w:br/>
        <w:t>https://unstats.un.org/fpos/</w:t>
      </w:r>
    </w:p>
    <w:p>
      <w:pPr>
        <w:spacing w:after="100"/>
      </w:pPr>
      <w:r>
        <w:rPr>
          <w:b/>
        </w:rPr>
        <w:t>United Nations National Quality Assurance Frameworks Manual for Official Statistics</w:t>
      </w:r>
      <w:r>
        <w:rPr>
          <w:color w:val="0B6B69"/>
          <w:sz w:val="16"/>
        </w:rPr>
        <w:br/>
        <w:t>https://unstats.un.org/UNSDWebsite/nqaf/Attachment%20B-UNNAQF%20Manual%20in%20PDF.pdf</w:t>
      </w:r>
    </w:p>
    <w:p>
      <w:pPr>
        <w:spacing w:after="100"/>
      </w:pPr>
      <w:r>
        <w:rPr>
          <w:b/>
        </w:rPr>
        <w:t>UNECE Generic Statistical Business Process Model (GSBPM), version 5.2</w:t>
      </w:r>
      <w:r>
        <w:rPr>
          <w:color w:val="0B6B69"/>
          <w:sz w:val="16"/>
        </w:rPr>
        <w:br/>
        <w:t>https://unece.org/statistics/gsbpm-v5.2</w:t>
      </w:r>
    </w:p>
    <w:p>
      <w:pPr>
        <w:spacing w:after="100"/>
      </w:pPr>
      <w:r>
        <w:rPr>
          <w:b/>
        </w:rPr>
        <w:t>UNECE Generic Activity Model for Statistical Organizations (GAMSO)</w:t>
      </w:r>
      <w:r>
        <w:rPr>
          <w:color w:val="0B6B69"/>
          <w:sz w:val="16"/>
        </w:rPr>
        <w:br/>
        <w:t>https://unece.org/statistics/modernstats/gamso</w:t>
      </w:r>
    </w:p>
    <w:p>
      <w:pPr>
        <w:spacing w:after="100"/>
      </w:pPr>
      <w:r>
        <w:rPr>
          <w:b/>
        </w:rPr>
        <w:t>UNECE Classification of Statistical Activities</w:t>
      </w:r>
      <w:r>
        <w:rPr>
          <w:color w:val="0B6B69"/>
          <w:sz w:val="16"/>
        </w:rPr>
        <w:br/>
        <w:t>https://unece.org/sites/default/files/2022-05/ECE_CES_2022_8-2205369E.pdf</w:t>
      </w:r>
    </w:p>
    <w:p>
      <w:pPr>
        <w:spacing w:after="100"/>
      </w:pPr>
      <w:r>
        <w:rPr>
          <w:b/>
        </w:rPr>
        <w:t>PARIS21 Guidelines for National Strategies for the Development of Statistics</w:t>
      </w:r>
      <w:r>
        <w:rPr>
          <w:color w:val="0B6B69"/>
          <w:sz w:val="16"/>
        </w:rPr>
        <w:br/>
        <w:t>https://nsdsguidelines.paris21.org/en</w:t>
      </w:r>
    </w:p>
    <w:p>
      <w:pPr>
        <w:spacing w:after="100"/>
      </w:pPr>
      <w:r>
        <w:rPr>
          <w:b/>
        </w:rPr>
        <w:t>FAO Statistics Quality Assurance Framework</w:t>
      </w:r>
      <w:r>
        <w:rPr>
          <w:color w:val="0B6B69"/>
          <w:sz w:val="16"/>
        </w:rPr>
        <w:br/>
        <w:t>https://www.fao.org/4/i3664e/i3664e.pdf</w:t>
      </w:r>
    </w:p>
    <w:p>
      <w:pPr>
        <w:spacing w:after="100"/>
      </w:pPr>
      <w:r>
        <w:rPr>
          <w:b/>
        </w:rPr>
        <w:t>UN Statistical Commission: Data science for official statistics</w:t>
      </w:r>
      <w:r>
        <w:rPr>
          <w:color w:val="0B6B69"/>
          <w:sz w:val="16"/>
        </w:rPr>
        <w:br/>
        <w:t>https://unstats.un.org/UNSDWebsite/statcom/session_56/documents/2025-20-DataScience-EE.pdf</w:t>
      </w:r>
    </w:p>
    <w:p>
      <w:pPr>
        <w:pStyle w:val="Heading2"/>
      </w:pPr>
      <w:r>
        <w:t>Closing direction</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pStyle w:val="Callout"/>
              <w:ind w:left="0" w:right="0"/>
            </w:pPr>
            <w:r>
              <w:t>The next implementation product should be the National Information Ecosystem and AI Readiness Diagnostic Toolkit: questionnaires, interview guides, mapping tables, maturity scoring rules and workshop materials.</w:t>
            </w:r>
          </w:p>
        </w:tc>
      </w:tr>
    </w:tbl>
    <w:p>
      <w:pPr>
        <w:spacing w:after="0"/>
      </w:pPr>
    </w:p>
    <w:p>
      <w:r>
        <w:t>That toolkit will convert this conceptual architecture into the first operational stage of the programme and provide the evidence needed to finalize competencies, modules, duration, delivery modes and pilot-country requirements.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B76"/>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6B69"/>
        <w:sz w:val="15"/>
      </w:rPr>
      <w:t>AI-AUGMENTED OFFICIAL STATISTICS  |  NATIONAL INFORMATION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color w:val="203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B6B69"/>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B6B6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03040"/>
      <w:sz w:val="17"/>
    </w:rPr>
  </w:style>
  <w:style w:type="paragraph" w:styleId="ListBullet2">
    <w:name w:val="List Bullet 2"/>
    <w:basedOn w:val="Normal"/>
    <w:uiPriority w:val="99"/>
    <w:unhideWhenUsed/>
    <w:rsid w:val="00326F90"/>
    <w:pPr>
      <w:numPr>
        <w:numId w:val="2"/>
      </w:numPr>
      <w:contextualSpacing/>
    </w:pPr>
    <w:rPr>
      <w:rFonts w:ascii="Aptos" w:hAnsi="Aptos"/>
      <w:color w:val="203040"/>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03040"/>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17" w:right="317"/>
    </w:pPr>
    <w:rPr>
      <w:rFonts w:ascii="Aptos" w:hAnsi="Aptos"/>
      <w:b/>
      <w:color w:val="0B6B69"/>
      <w:sz w:val="22"/>
    </w:rPr>
  </w:style>
  <w:style w:type="paragraph" w:customStyle="1" w:styleId="Small">
    <w:name w:val="Small"/>
    <w:pPr>
      <w:spacing w:after="60"/>
    </w:pPr>
    <w:rPr>
      <w:rFonts w:ascii="Aptos" w:hAnsi="Aptos"/>
      <w:color w:val="5C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AI-Augmented Official Statistics: National Information Ecosystem Map and Programme Architecture</dc:title>
  <dc:subject>Programme document for official statistics, AI, data quality and national information systems</dc:subject>
  <dc:creator>python-docx</dc:creator>
  <cp:keywords>official statistics, artificial intelligence, national statistical system, data quality, information ecosystem</cp:keywords>
  <dc:description>generated by python-docx</dc:description>
  <cp:lastModifiedBy/>
  <cp:revision>1</cp:revision>
  <dcterms:created xsi:type="dcterms:W3CDTF">2013-12-23T23:15:00Z</dcterms:created>
  <dcterms:modified xsi:type="dcterms:W3CDTF">2013-12-23T23:15:00Z</dcterms:modified>
  <cp:category/>
</cp:coreProperties>
</file>