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NATIONAL INFORMATION ECOSYSTEM AND AI PROGRAMME</w:t>
      </w:r>
    </w:p>
    <w:p>
      <w:pPr>
        <w:pStyle w:val="Title"/>
      </w:pPr>
      <w:r>
        <w:t>Phase 1 Package Review and Phase 2 Design Brief</w:t>
      </w:r>
    </w:p>
    <w:p>
      <w:r>
        <w:rPr>
          <w:rFonts w:ascii="Aptos" w:hAnsi="Aptos"/>
          <w:color w:val="4F4F4F"/>
          <w:sz w:val="24"/>
        </w:rPr>
        <w:t>Review of Phases 1A to 1G  |  Version 1.0  |  September 2026</w:t>
      </w:r>
    </w:p>
    <w:p>
      <w:pPr>
        <w:pStyle w:val="Heading2"/>
      </w:pPr>
      <w:r>
        <w:t>Review conclusion</w:t>
      </w:r>
    </w:p>
    <w:p>
      <w:r>
        <w:t>Phase 1 is substantively complete and forms a coherent operational system. It covers diagnosis, evidence collection, maturity interpretation, ecosystem mapping, use-case prioritization, controlled experimentation and national planning. It is suitable for a structured country field test. It should not yet be treated as a finished global standard or mass-delivery product: a limited harmonization and field-validation cycle is required before broad rollout.</w:t>
      </w:r>
    </w:p>
    <w:p>
      <w:pPr>
        <w:pStyle w:val="Heading2"/>
      </w:pPr>
      <w:r>
        <w:t>Decision</w:t>
      </w:r>
    </w:p>
    <w:p>
      <w:r>
        <w:t>Proceed to Phase 2 curriculum design now, using the Phase 1 instruments as the practical backbone. In parallel, prepare a controlled Version 1.1 harmonization release after the first country application. Do not delay the curriculum until every instrument is cosmetically identical; correct the cross-instrument control issues identified in this review before the first formal field deployment.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7"/>
        <w:gridCol w:w="5047"/>
      </w:tblGrid>
      <w:tr>
        <w:trPr>
          <w:tblHeader w:val="true"/>
        </w:trPr>
        <w:tc>
          <w:tcPr>
            <w:tcW w:type="dxa" w:w="3168"/>
            <w:shd w:fill="17365D"/>
            <w:tcMar>
              <w:top w:w="95" w:type="dxa"/>
              <w:start w:w="95" w:type="dxa"/>
              <w:bottom w:w="95" w:type="dxa"/>
              <w:end w:w="95" w:type="dxa"/>
            </w:tcMar>
            <w:vAlign w:val="center"/>
          </w:tcPr>
          <w:p>
            <w:pPr>
              <w:spacing w:after="0"/>
              <w:jc w:val="center"/>
            </w:pPr>
            <w:r>
              <w:rPr>
                <w:rFonts w:ascii="Aptos" w:hAnsi="Aptos"/>
                <w:b/>
                <w:color w:val="FFFFFF"/>
                <w:sz w:val="17"/>
              </w:rPr>
              <w:t>Review question</w:t>
            </w:r>
          </w:p>
        </w:tc>
        <w:tc>
          <w:tcPr>
            <w:tcW w:type="dxa" w:w="6624"/>
            <w:shd w:fill="17365D"/>
            <w:tcMar>
              <w:top w:w="95" w:type="dxa"/>
              <w:start w:w="95" w:type="dxa"/>
              <w:bottom w:w="95" w:type="dxa"/>
              <w:end w:w="95" w:type="dxa"/>
            </w:tcMar>
            <w:vAlign w:val="center"/>
          </w:tcPr>
          <w:p>
            <w:pPr>
              <w:spacing w:after="0"/>
              <w:jc w:val="center"/>
            </w:pPr>
            <w:r>
              <w:rPr>
                <w:rFonts w:ascii="Aptos" w:hAnsi="Aptos"/>
                <w:b/>
                <w:color w:val="FFFFFF"/>
                <w:sz w:val="17"/>
              </w:rPr>
              <w:t>Conclusion</w:t>
            </w:r>
          </w:p>
        </w:tc>
      </w:tr>
      <w:tr>
        <w:tc>
          <w:tcPr>
            <w:tcW w:type="dxa" w:w="3168"/>
            <w:tcMar>
              <w:top w:w="95" w:type="dxa"/>
              <w:start w:w="95" w:type="dxa"/>
              <w:bottom w:w="95" w:type="dxa"/>
              <w:end w:w="95" w:type="dxa"/>
            </w:tcMar>
            <w:vAlign w:val="center"/>
          </w:tcPr>
          <w:p>
            <w:pPr>
              <w:spacing w:after="0" w:line="240" w:lineRule="auto"/>
            </w:pPr>
            <w:r>
              <w:rPr>
                <w:rFonts w:ascii="Aptos" w:hAnsi="Aptos"/>
                <w:color w:val="000000"/>
                <w:sz w:val="17"/>
              </w:rPr>
              <w:t>Is the coverage complete enough for field use?</w:t>
            </w:r>
          </w:p>
        </w:tc>
        <w:tc>
          <w:tcPr>
            <w:tcW w:type="dxa" w:w="6624"/>
            <w:tcMar>
              <w:top w:w="95" w:type="dxa"/>
              <w:start w:w="95" w:type="dxa"/>
              <w:bottom w:w="95" w:type="dxa"/>
              <w:end w:w="95" w:type="dxa"/>
            </w:tcMar>
            <w:vAlign w:val="center"/>
          </w:tcPr>
          <w:p>
            <w:pPr>
              <w:spacing w:after="0" w:line="240" w:lineRule="auto"/>
            </w:pPr>
            <w:r>
              <w:rPr>
                <w:rFonts w:ascii="Aptos" w:hAnsi="Aptos"/>
                <w:color w:val="000000"/>
                <w:sz w:val="17"/>
              </w:rPr>
              <w:t>Yes. All essential levels, data origins, quality dimensions, institutional conditions and pilot controls are represented.</w:t>
            </w:r>
          </w:p>
        </w:tc>
      </w:tr>
      <w:tr>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7"/>
              </w:rPr>
              <w:t>Do the instruments form one workflow?</w:t>
            </w:r>
          </w:p>
        </w:tc>
        <w:tc>
          <w:tcPr>
            <w:tcW w:type="dxa" w:w="6624"/>
            <w:tcMar>
              <w:top w:w="95" w:type="dxa"/>
              <w:start w:w="95" w:type="dxa"/>
              <w:bottom w:w="95" w:type="dxa"/>
              <w:end w:w="95" w:type="dxa"/>
            </w:tcMar>
            <w:vAlign w:val="center"/>
            <w:shd w:fill="F3F6F9"/>
          </w:tcPr>
          <w:p>
            <w:pPr>
              <w:spacing w:after="0" w:line="240" w:lineRule="auto"/>
            </w:pPr>
            <w:r>
              <w:rPr>
                <w:rFonts w:ascii="Aptos" w:hAnsi="Aptos"/>
                <w:color w:val="000000"/>
                <w:sz w:val="17"/>
              </w:rPr>
              <w:t>Yes, but handoffs require a common identifier and terminology crosswalk.</w:t>
            </w:r>
          </w:p>
        </w:tc>
      </w:tr>
      <w:tr>
        <w:tc>
          <w:tcPr>
            <w:tcW w:type="dxa" w:w="3168"/>
            <w:tcMar>
              <w:top w:w="95" w:type="dxa"/>
              <w:start w:w="95" w:type="dxa"/>
              <w:bottom w:w="95" w:type="dxa"/>
              <w:end w:w="95" w:type="dxa"/>
            </w:tcMar>
            <w:vAlign w:val="center"/>
          </w:tcPr>
          <w:p>
            <w:pPr>
              <w:spacing w:after="0" w:line="240" w:lineRule="auto"/>
            </w:pPr>
            <w:r>
              <w:rPr>
                <w:rFonts w:ascii="Aptos" w:hAnsi="Aptos"/>
                <w:color w:val="000000"/>
                <w:sz w:val="17"/>
              </w:rPr>
              <w:t>Are safeguards adequate?</w:t>
            </w:r>
          </w:p>
        </w:tc>
        <w:tc>
          <w:tcPr>
            <w:tcW w:type="dxa" w:w="6624"/>
            <w:tcMar>
              <w:top w:w="95" w:type="dxa"/>
              <w:start w:w="95" w:type="dxa"/>
              <w:bottom w:w="95" w:type="dxa"/>
              <w:end w:w="95" w:type="dxa"/>
            </w:tcMar>
            <w:vAlign w:val="center"/>
          </w:tcPr>
          <w:p>
            <w:pPr>
              <w:spacing w:after="0" w:line="240" w:lineRule="auto"/>
            </w:pPr>
            <w:r>
              <w:rPr>
                <w:rFonts w:ascii="Aptos" w:hAnsi="Aptos"/>
                <w:color w:val="000000"/>
                <w:sz w:val="17"/>
              </w:rPr>
              <w:t>Strong. Gate logic, professional authority, confidentiality, quality and fallback are consistently protected.</w:t>
            </w:r>
          </w:p>
        </w:tc>
      </w:tr>
      <w:tr>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7"/>
              </w:rPr>
              <w:t>Can resource-constrained systems use it?</w:t>
            </w:r>
          </w:p>
        </w:tc>
        <w:tc>
          <w:tcPr>
            <w:tcW w:type="dxa" w:w="6624"/>
            <w:tcMar>
              <w:top w:w="95" w:type="dxa"/>
              <w:start w:w="95" w:type="dxa"/>
              <w:bottom w:w="95" w:type="dxa"/>
              <w:end w:w="95" w:type="dxa"/>
            </w:tcMar>
            <w:vAlign w:val="center"/>
            <w:shd w:fill="F3F6F9"/>
          </w:tcPr>
          <w:p>
            <w:pPr>
              <w:spacing w:after="0" w:line="240" w:lineRule="auto"/>
            </w:pPr>
            <w:r>
              <w:rPr>
                <w:rFonts w:ascii="Aptos" w:hAnsi="Aptos"/>
                <w:color w:val="000000"/>
                <w:sz w:val="17"/>
              </w:rPr>
              <w:t>Yes, if a minimum viable pathway and facilitated support are provided.</w:t>
            </w:r>
          </w:p>
        </w:tc>
      </w:tr>
      <w:tr>
        <w:tc>
          <w:tcPr>
            <w:tcW w:type="dxa" w:w="3168"/>
            <w:tcMar>
              <w:top w:w="95" w:type="dxa"/>
              <w:start w:w="95" w:type="dxa"/>
              <w:bottom w:w="95" w:type="dxa"/>
              <w:end w:w="95" w:type="dxa"/>
            </w:tcMar>
            <w:vAlign w:val="center"/>
          </w:tcPr>
          <w:p>
            <w:pPr>
              <w:spacing w:after="0" w:line="240" w:lineRule="auto"/>
            </w:pPr>
            <w:r>
              <w:rPr>
                <w:rFonts w:ascii="Aptos" w:hAnsi="Aptos"/>
                <w:color w:val="000000"/>
                <w:sz w:val="17"/>
              </w:rPr>
              <w:t>What should happen next?</w:t>
            </w:r>
          </w:p>
        </w:tc>
        <w:tc>
          <w:tcPr>
            <w:tcW w:type="dxa" w:w="6624"/>
            <w:tcMar>
              <w:top w:w="95" w:type="dxa"/>
              <w:start w:w="95" w:type="dxa"/>
              <w:bottom w:w="95" w:type="dxa"/>
              <w:end w:w="95" w:type="dxa"/>
            </w:tcMar>
            <w:vAlign w:val="center"/>
          </w:tcPr>
          <w:p>
            <w:pPr>
              <w:spacing w:after="0" w:line="240" w:lineRule="auto"/>
            </w:pPr>
            <w:r>
              <w:rPr>
                <w:rFonts w:ascii="Aptos" w:hAnsi="Aptos"/>
                <w:color w:val="000000"/>
                <w:sz w:val="17"/>
              </w:rPr>
              <w:t>Begin Phase 2 design and prepare a field-test and harmonization pack.</w:t>
            </w:r>
          </w:p>
        </w:tc>
      </w:tr>
    </w:tbl>
    <w:p>
      <w:pPr>
        <w:spacing w:after="20"/>
      </w:pPr>
    </w:p>
    <w:p>
      <w:r>
        <w:br w:type="page"/>
      </w:r>
    </w:p>
    <w:p>
      <w:pPr>
        <w:pStyle w:val="Heading1"/>
      </w:pPr>
      <w:r>
        <w:t>1 Scope and review method</w:t>
      </w:r>
    </w:p>
    <w:p>
      <w:r>
        <w:t>The review examined each Phase 1 component as part of one decision chain. It considered scope, users, evidence standards, terminology, duplication, handoffs, safeguards, usability and suitability for centralized, decentralized, advanced and resource-constrained statistical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6"/>
              </w:rPr>
              <w:t>Component</w:t>
            </w:r>
          </w:p>
        </w:tc>
        <w:tc>
          <w:tcPr>
            <w:tcW w:type="dxa" w:w="3672"/>
            <w:shd w:fill="17365D"/>
            <w:tcMar>
              <w:top w:w="95" w:type="dxa"/>
              <w:start w:w="95" w:type="dxa"/>
              <w:bottom w:w="95" w:type="dxa"/>
              <w:end w:w="95" w:type="dxa"/>
            </w:tcMar>
            <w:vAlign w:val="center"/>
          </w:tcPr>
          <w:p>
            <w:pPr>
              <w:spacing w:after="0"/>
              <w:jc w:val="center"/>
            </w:pPr>
            <w:r>
              <w:rPr>
                <w:rFonts w:ascii="Aptos" w:hAnsi="Aptos"/>
                <w:b/>
                <w:color w:val="FFFFFF"/>
                <w:sz w:val="16"/>
              </w:rPr>
              <w:t>Primary function</w:t>
            </w:r>
          </w:p>
        </w:tc>
        <w:tc>
          <w:tcPr>
            <w:tcW w:type="dxa" w:w="4104"/>
            <w:shd w:fill="17365D"/>
            <w:tcMar>
              <w:top w:w="95" w:type="dxa"/>
              <w:start w:w="95" w:type="dxa"/>
              <w:bottom w:w="95" w:type="dxa"/>
              <w:end w:w="95" w:type="dxa"/>
            </w:tcMar>
            <w:vAlign w:val="center"/>
          </w:tcPr>
          <w:p>
            <w:pPr>
              <w:spacing w:after="0"/>
              <w:jc w:val="center"/>
            </w:pPr>
            <w:r>
              <w:rPr>
                <w:rFonts w:ascii="Aptos" w:hAnsi="Aptos"/>
                <w:b/>
                <w:color w:val="FFFFFF"/>
                <w:sz w:val="16"/>
              </w:rPr>
              <w:t>Review perspective</w:t>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1A Diagnostic framework</w:t>
            </w:r>
          </w:p>
        </w:tc>
        <w:tc>
          <w:tcPr>
            <w:tcW w:type="dxa" w:w="3672"/>
            <w:tcMar>
              <w:top w:w="95" w:type="dxa"/>
              <w:start w:w="95" w:type="dxa"/>
              <w:bottom w:w="95" w:type="dxa"/>
              <w:end w:w="95" w:type="dxa"/>
            </w:tcMar>
            <w:vAlign w:val="center"/>
          </w:tcPr>
          <w:p>
            <w:pPr>
              <w:spacing w:after="0" w:line="240" w:lineRule="auto"/>
            </w:pPr>
            <w:r>
              <w:rPr>
                <w:rFonts w:ascii="Aptos" w:hAnsi="Aptos"/>
                <w:color w:val="000000"/>
                <w:sz w:val="16"/>
              </w:rPr>
              <w:t>Defines units, dimensions, maturity, evidence and gates.</w:t>
            </w:r>
          </w:p>
        </w:tc>
        <w:tc>
          <w:tcPr>
            <w:tcW w:type="dxa" w:w="4104"/>
            <w:tcMar>
              <w:top w:w="95" w:type="dxa"/>
              <w:start w:w="95" w:type="dxa"/>
              <w:bottom w:w="95" w:type="dxa"/>
              <w:end w:w="95" w:type="dxa"/>
            </w:tcMar>
            <w:vAlign w:val="center"/>
          </w:tcPr>
          <w:p>
            <w:pPr>
              <w:spacing w:after="0" w:line="240" w:lineRule="auto"/>
            </w:pPr>
            <w:r>
              <w:rPr>
                <w:rFonts w:ascii="Aptos" w:hAnsi="Aptos"/>
                <w:color w:val="000000"/>
                <w:sz w:val="16"/>
              </w:rPr>
              <w:t>Is the assessment architecture complete and defensible?</w:t>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1B Readiness questionnaire</w:t>
            </w:r>
          </w:p>
        </w:tc>
        <w:tc>
          <w:tcPr>
            <w:tcW w:type="dxa" w:w="3672"/>
            <w:tcMar>
              <w:top w:w="95" w:type="dxa"/>
              <w:start w:w="95" w:type="dxa"/>
              <w:bottom w:w="95" w:type="dxa"/>
              <w:end w:w="95" w:type="dxa"/>
            </w:tcMar>
            <w:vAlign w:val="center"/>
            <w:shd w:fill="F3F6F9"/>
          </w:tcPr>
          <w:p>
            <w:pPr>
              <w:spacing w:after="0" w:line="240" w:lineRule="auto"/>
            </w:pPr>
            <w:r>
              <w:rPr>
                <w:rFonts w:ascii="Aptos" w:hAnsi="Aptos"/>
                <w:color w:val="000000"/>
                <w:sz w:val="16"/>
              </w:rPr>
              <w:t>Collects institutional and national-system evidence.</w:t>
            </w:r>
          </w:p>
        </w:tc>
        <w:tc>
          <w:tcPr>
            <w:tcW w:type="dxa" w:w="4104"/>
            <w:tcMar>
              <w:top w:w="95" w:type="dxa"/>
              <w:start w:w="95" w:type="dxa"/>
              <w:bottom w:w="95" w:type="dxa"/>
              <w:end w:w="95" w:type="dxa"/>
            </w:tcMar>
            <w:vAlign w:val="center"/>
            <w:shd w:fill="F3F6F9"/>
          </w:tcPr>
          <w:p>
            <w:pPr>
              <w:spacing w:after="0" w:line="240" w:lineRule="auto"/>
            </w:pPr>
            <w:r>
              <w:rPr>
                <w:rFonts w:ascii="Aptos" w:hAnsi="Aptos"/>
                <w:color w:val="000000"/>
                <w:sz w:val="16"/>
              </w:rPr>
              <w:t>Can respondents supply evidence rather than opinion?</w:t>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1C Scoring workbook</w:t>
            </w:r>
          </w:p>
        </w:tc>
        <w:tc>
          <w:tcPr>
            <w:tcW w:type="dxa" w:w="3672"/>
            <w:tcMar>
              <w:top w:w="95" w:type="dxa"/>
              <w:start w:w="95" w:type="dxa"/>
              <w:bottom w:w="95" w:type="dxa"/>
              <w:end w:w="95" w:type="dxa"/>
            </w:tcMar>
            <w:vAlign w:val="center"/>
          </w:tcPr>
          <w:p>
            <w:pPr>
              <w:spacing w:after="0" w:line="240" w:lineRule="auto"/>
            </w:pPr>
            <w:r>
              <w:rPr>
                <w:rFonts w:ascii="Aptos" w:hAnsi="Aptos"/>
                <w:color w:val="000000"/>
                <w:sz w:val="16"/>
              </w:rPr>
              <w:t>Converts evidence into profiles, targets, gates and actions.</w:t>
            </w:r>
          </w:p>
        </w:tc>
        <w:tc>
          <w:tcPr>
            <w:tcW w:type="dxa" w:w="4104"/>
            <w:tcMar>
              <w:top w:w="95" w:type="dxa"/>
              <w:start w:w="95" w:type="dxa"/>
              <w:bottom w:w="95" w:type="dxa"/>
              <w:end w:w="95" w:type="dxa"/>
            </w:tcMar>
            <w:vAlign w:val="center"/>
          </w:tcPr>
          <w:p>
            <w:pPr>
              <w:spacing w:after="0" w:line="240" w:lineRule="auto"/>
            </w:pPr>
            <w:r>
              <w:rPr>
                <w:rFonts w:ascii="Aptos" w:hAnsi="Aptos"/>
                <w:color w:val="000000"/>
                <w:sz w:val="16"/>
              </w:rPr>
              <w:t>Does scoring preserve uncertainty and critical safeguards?</w:t>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1D Ecosystem mapping toolkit</w:t>
            </w:r>
          </w:p>
        </w:tc>
        <w:tc>
          <w:tcPr>
            <w:tcW w:type="dxa" w:w="3672"/>
            <w:tcMar>
              <w:top w:w="95" w:type="dxa"/>
              <w:start w:w="95" w:type="dxa"/>
              <w:bottom w:w="95" w:type="dxa"/>
              <w:end w:w="95" w:type="dxa"/>
            </w:tcMar>
            <w:vAlign w:val="center"/>
            <w:shd w:fill="F3F6F9"/>
          </w:tcPr>
          <w:p>
            <w:pPr>
              <w:spacing w:after="0" w:line="240" w:lineRule="auto"/>
            </w:pPr>
            <w:r>
              <w:rPr>
                <w:rFonts w:ascii="Aptos" w:hAnsi="Aptos"/>
                <w:color w:val="000000"/>
                <w:sz w:val="16"/>
              </w:rPr>
              <w:t>Maps actors, assets, flows, needs, coordination and risks.</w:t>
            </w:r>
          </w:p>
        </w:tc>
        <w:tc>
          <w:tcPr>
            <w:tcW w:type="dxa" w:w="4104"/>
            <w:tcMar>
              <w:top w:w="95" w:type="dxa"/>
              <w:start w:w="95" w:type="dxa"/>
              <w:bottom w:w="95" w:type="dxa"/>
              <w:end w:w="95" w:type="dxa"/>
            </w:tcMar>
            <w:vAlign w:val="center"/>
            <w:shd w:fill="F3F6F9"/>
          </w:tcPr>
          <w:p>
            <w:pPr>
              <w:spacing w:after="0" w:line="240" w:lineRule="auto"/>
            </w:pPr>
            <w:r>
              <w:rPr>
                <w:rFonts w:ascii="Aptos" w:hAnsi="Aptos"/>
                <w:color w:val="000000"/>
                <w:sz w:val="16"/>
              </w:rPr>
              <w:t>Does it represent the national information system beyond the NSO?</w:t>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1E Use-case toolkit</w:t>
            </w:r>
          </w:p>
        </w:tc>
        <w:tc>
          <w:tcPr>
            <w:tcW w:type="dxa" w:w="3672"/>
            <w:tcMar>
              <w:top w:w="95" w:type="dxa"/>
              <w:start w:w="95" w:type="dxa"/>
              <w:bottom w:w="95" w:type="dxa"/>
              <w:end w:w="95" w:type="dxa"/>
            </w:tcMar>
            <w:vAlign w:val="center"/>
          </w:tcPr>
          <w:p>
            <w:pPr>
              <w:spacing w:after="0" w:line="240" w:lineRule="auto"/>
            </w:pPr>
            <w:r>
              <w:rPr>
                <w:rFonts w:ascii="Aptos" w:hAnsi="Aptos"/>
                <w:color w:val="000000"/>
                <w:sz w:val="16"/>
              </w:rPr>
              <w:t>Registers, screens, gates and selects proposals.</w:t>
            </w:r>
          </w:p>
        </w:tc>
        <w:tc>
          <w:tcPr>
            <w:tcW w:type="dxa" w:w="4104"/>
            <w:tcMar>
              <w:top w:w="95" w:type="dxa"/>
              <w:start w:w="95" w:type="dxa"/>
              <w:bottom w:w="95" w:type="dxa"/>
              <w:end w:w="95" w:type="dxa"/>
            </w:tcMar>
            <w:vAlign w:val="center"/>
          </w:tcPr>
          <w:p>
            <w:pPr>
              <w:spacing w:after="0" w:line="240" w:lineRule="auto"/>
            </w:pPr>
            <w:r>
              <w:rPr>
                <w:rFonts w:ascii="Aptos" w:hAnsi="Aptos"/>
                <w:color w:val="000000"/>
                <w:sz w:val="16"/>
              </w:rPr>
              <w:t>Does value ranking remain subordinate to risk and authority?</w:t>
            </w:r>
          </w:p>
        </w:tc>
      </w:tr>
      <w:tr>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1F Pilot protocol</w:t>
            </w:r>
          </w:p>
        </w:tc>
        <w:tc>
          <w:tcPr>
            <w:tcW w:type="dxa" w:w="3672"/>
            <w:tcMar>
              <w:top w:w="95" w:type="dxa"/>
              <w:start w:w="95" w:type="dxa"/>
              <w:bottom w:w="95" w:type="dxa"/>
              <w:end w:w="95" w:type="dxa"/>
            </w:tcMar>
            <w:vAlign w:val="center"/>
            <w:shd w:fill="F3F6F9"/>
          </w:tcPr>
          <w:p>
            <w:pPr>
              <w:spacing w:after="0" w:line="240" w:lineRule="auto"/>
            </w:pPr>
            <w:r>
              <w:rPr>
                <w:rFonts w:ascii="Aptos" w:hAnsi="Aptos"/>
                <w:color w:val="000000"/>
                <w:sz w:val="16"/>
              </w:rPr>
              <w:t>Tests selected uses against approved benchmarks.</w:t>
            </w:r>
          </w:p>
        </w:tc>
        <w:tc>
          <w:tcPr>
            <w:tcW w:type="dxa" w:w="4104"/>
            <w:tcMar>
              <w:top w:w="95" w:type="dxa"/>
              <w:start w:w="95" w:type="dxa"/>
              <w:bottom w:w="95" w:type="dxa"/>
              <w:end w:w="95" w:type="dxa"/>
            </w:tcMar>
            <w:vAlign w:val="center"/>
            <w:shd w:fill="F3F6F9"/>
          </w:tcPr>
          <w:p>
            <w:pPr>
              <w:spacing w:after="0" w:line="240" w:lineRule="auto"/>
            </w:pPr>
            <w:r>
              <w:rPr>
                <w:rFonts w:ascii="Aptos" w:hAnsi="Aptos"/>
                <w:color w:val="000000"/>
                <w:sz w:val="16"/>
              </w:rPr>
              <w:t>Can a pilot produce a defensible statistical assurance decision?</w:t>
            </w:r>
          </w:p>
        </w:tc>
      </w:tr>
      <w:tr>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1G Synthesis and action-plan template</w:t>
            </w:r>
          </w:p>
        </w:tc>
        <w:tc>
          <w:tcPr>
            <w:tcW w:type="dxa" w:w="3672"/>
            <w:tcMar>
              <w:top w:w="95" w:type="dxa"/>
              <w:start w:w="95" w:type="dxa"/>
              <w:bottom w:w="95" w:type="dxa"/>
              <w:end w:w="95" w:type="dxa"/>
            </w:tcMar>
            <w:vAlign w:val="center"/>
          </w:tcPr>
          <w:p>
            <w:pPr>
              <w:spacing w:after="0" w:line="240" w:lineRule="auto"/>
            </w:pPr>
            <w:r>
              <w:rPr>
                <w:rFonts w:ascii="Aptos" w:hAnsi="Aptos"/>
                <w:color w:val="000000"/>
                <w:sz w:val="16"/>
              </w:rPr>
              <w:t>Converts evidence into a national programme.</w:t>
            </w:r>
          </w:p>
        </w:tc>
        <w:tc>
          <w:tcPr>
            <w:tcW w:type="dxa" w:w="4104"/>
            <w:tcMar>
              <w:top w:w="95" w:type="dxa"/>
              <w:start w:w="95" w:type="dxa"/>
              <w:bottom w:w="95" w:type="dxa"/>
              <w:end w:w="95" w:type="dxa"/>
            </w:tcMar>
            <w:vAlign w:val="center"/>
          </w:tcPr>
          <w:p>
            <w:pPr>
              <w:spacing w:after="0" w:line="240" w:lineRule="auto"/>
            </w:pPr>
            <w:r>
              <w:rPr>
                <w:rFonts w:ascii="Aptos" w:hAnsi="Aptos"/>
                <w:color w:val="000000"/>
                <w:sz w:val="16"/>
              </w:rPr>
              <w:t>Does it create an owned, costed and monitored roadmap?</w:t>
            </w:r>
          </w:p>
        </w:tc>
      </w:tr>
    </w:tbl>
    <w:p>
      <w:pPr>
        <w:spacing w:after="20"/>
      </w:pPr>
    </w:p>
    <w:p>
      <w:pPr>
        <w:pStyle w:val="Heading2"/>
      </w:pPr>
      <w:r>
        <w:t>Review criteria</w:t>
      </w:r>
    </w:p>
    <w:p>
      <w:pPr>
        <w:pStyle w:val="ListBullet"/>
        <w:spacing w:after="60"/>
      </w:pPr>
      <w:r>
        <w:t>Logical completeness from information need to monitored production.</w:t>
      </w:r>
    </w:p>
    <w:p>
      <w:pPr>
        <w:pStyle w:val="ListBullet"/>
        <w:spacing w:after="60"/>
      </w:pPr>
      <w:r>
        <w:t>Consistency of roles, risk concepts, evidence and gate decisions.</w:t>
      </w:r>
    </w:p>
    <w:p>
      <w:pPr>
        <w:pStyle w:val="ListBullet"/>
        <w:spacing w:after="60"/>
      </w:pPr>
      <w:r>
        <w:t>Traceability of findings and decisions across instruments.</w:t>
      </w:r>
    </w:p>
    <w:p>
      <w:pPr>
        <w:pStyle w:val="ListBullet"/>
        <w:spacing w:after="60"/>
      </w:pPr>
      <w:r>
        <w:t>Fitness for different statistical domains and data origins.</w:t>
      </w:r>
    </w:p>
    <w:p>
      <w:pPr>
        <w:pStyle w:val="ListBullet"/>
        <w:spacing w:after="60"/>
      </w:pPr>
      <w:r>
        <w:t>Proportionality to consequence and national resource constraints.</w:t>
      </w:r>
    </w:p>
    <w:p>
      <w:pPr>
        <w:pStyle w:val="ListBullet"/>
        <w:spacing w:after="60"/>
      </w:pPr>
      <w:r>
        <w:t>Ability to support practical learning and institutional change.</w:t>
      </w:r>
    </w:p>
    <w:p>
      <w:pPr>
        <w:pStyle w:val="Heading1"/>
      </w:pPr>
      <w:r>
        <w:t>2 Architecture of the package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trPr>
          <w:tblHeader w:val="true"/>
        </w:trPr>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6"/>
              </w:rPr>
              <w:t>Decision stage</w:t>
            </w:r>
          </w:p>
        </w:tc>
        <w:tc>
          <w:tcPr>
            <w:tcW w:type="dxa" w:w="1440"/>
            <w:shd w:fill="17365D"/>
            <w:tcMar>
              <w:top w:w="95" w:type="dxa"/>
              <w:start w:w="95" w:type="dxa"/>
              <w:bottom w:w="95" w:type="dxa"/>
              <w:end w:w="95" w:type="dxa"/>
            </w:tcMar>
            <w:vAlign w:val="center"/>
          </w:tcPr>
          <w:p>
            <w:pPr>
              <w:spacing w:after="0"/>
              <w:jc w:val="center"/>
            </w:pPr>
            <w:r>
              <w:rPr>
                <w:rFonts w:ascii="Aptos" w:hAnsi="Aptos"/>
                <w:b/>
                <w:color w:val="FFFFFF"/>
                <w:sz w:val="16"/>
              </w:rPr>
              <w:t>Instrument</w:t>
            </w:r>
          </w:p>
        </w:tc>
        <w:tc>
          <w:tcPr>
            <w:tcW w:type="dxa" w:w="4320"/>
            <w:shd w:fill="17365D"/>
            <w:tcMar>
              <w:top w:w="95" w:type="dxa"/>
              <w:start w:w="95" w:type="dxa"/>
              <w:bottom w:w="95" w:type="dxa"/>
              <w:end w:w="95" w:type="dxa"/>
            </w:tcMar>
            <w:vAlign w:val="center"/>
          </w:tcPr>
          <w:p>
            <w:pPr>
              <w:spacing w:after="0"/>
              <w:jc w:val="center"/>
            </w:pPr>
            <w:r>
              <w:rPr>
                <w:rFonts w:ascii="Aptos" w:hAnsi="Aptos"/>
                <w:b/>
                <w:color w:val="FFFFFF"/>
                <w:sz w:val="16"/>
              </w:rPr>
              <w:t>Authoritative output</w:t>
            </w:r>
          </w:p>
        </w:tc>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6"/>
              </w:rPr>
              <w:t>Feeds</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Define the assessment</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t>1A</w:t>
            </w:r>
          </w:p>
        </w:tc>
        <w:tc>
          <w:tcPr>
            <w:tcW w:type="dxa" w:w="4320"/>
            <w:tcMar>
              <w:top w:w="95" w:type="dxa"/>
              <w:start w:w="95" w:type="dxa"/>
              <w:bottom w:w="95" w:type="dxa"/>
              <w:end w:w="95" w:type="dxa"/>
            </w:tcMar>
            <w:vAlign w:val="center"/>
          </w:tcPr>
          <w:p>
            <w:pPr>
              <w:spacing w:after="0" w:line="240" w:lineRule="auto"/>
            </w:pPr>
            <w:r>
              <w:rPr>
                <w:rFonts w:ascii="Aptos" w:hAnsi="Aptos"/>
                <w:color w:val="000000"/>
                <w:sz w:val="16"/>
              </w:rPr>
              <w:t>Scope, dimensions, maturity rules and evidence standard.</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1B and 1C</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Collect evidence</w:t>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t>1B</w:t>
            </w:r>
          </w:p>
        </w:tc>
        <w:tc>
          <w:tcPr>
            <w:tcW w:type="dxa" w:w="4320"/>
            <w:tcMar>
              <w:top w:w="95" w:type="dxa"/>
              <w:start w:w="95" w:type="dxa"/>
              <w:bottom w:w="95" w:type="dxa"/>
              <w:end w:w="95" w:type="dxa"/>
            </w:tcMar>
            <w:vAlign w:val="center"/>
            <w:shd w:fill="F3F6F9"/>
          </w:tcPr>
          <w:p>
            <w:pPr>
              <w:spacing w:after="0" w:line="240" w:lineRule="auto"/>
            </w:pPr>
            <w:r>
              <w:rPr>
                <w:rFonts w:ascii="Aptos" w:hAnsi="Aptos"/>
                <w:color w:val="000000"/>
                <w:sz w:val="16"/>
              </w:rPr>
              <w:t>Responses, references, gaps and respondent confidence.</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1C and 1G</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Interpret readiness</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t>1C</w:t>
            </w:r>
          </w:p>
        </w:tc>
        <w:tc>
          <w:tcPr>
            <w:tcW w:type="dxa" w:w="4320"/>
            <w:tcMar>
              <w:top w:w="95" w:type="dxa"/>
              <w:start w:w="95" w:type="dxa"/>
              <w:bottom w:w="95" w:type="dxa"/>
              <w:end w:w="95" w:type="dxa"/>
            </w:tcMar>
            <w:vAlign w:val="center"/>
          </w:tcPr>
          <w:p>
            <w:pPr>
              <w:spacing w:after="0" w:line="240" w:lineRule="auto"/>
            </w:pPr>
            <w:r>
              <w:rPr>
                <w:rFonts w:ascii="Aptos" w:hAnsi="Aptos"/>
                <w:color w:val="000000"/>
                <w:sz w:val="16"/>
              </w:rPr>
              <w:t>Dimension profile, target gaps, confidence, gate decision and actions.</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1E and 1G</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Map the ecosystem</w:t>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t>1D</w:t>
            </w:r>
          </w:p>
        </w:tc>
        <w:tc>
          <w:tcPr>
            <w:tcW w:type="dxa" w:w="4320"/>
            <w:tcMar>
              <w:top w:w="95" w:type="dxa"/>
              <w:start w:w="95" w:type="dxa"/>
              <w:bottom w:w="95" w:type="dxa"/>
              <w:end w:w="95" w:type="dxa"/>
            </w:tcMar>
            <w:vAlign w:val="center"/>
            <w:shd w:fill="F3F6F9"/>
          </w:tcPr>
          <w:p>
            <w:pPr>
              <w:spacing w:after="0" w:line="240" w:lineRule="auto"/>
            </w:pPr>
            <w:r>
              <w:rPr>
                <w:rFonts w:ascii="Aptos" w:hAnsi="Aptos"/>
                <w:color w:val="000000"/>
                <w:sz w:val="16"/>
              </w:rPr>
              <w:t>Stable IDs for institutions, assets, flows, users, coordination and risks.</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1E and 1G</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Select opportunities</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t>1E</w:t>
            </w:r>
          </w:p>
        </w:tc>
        <w:tc>
          <w:tcPr>
            <w:tcW w:type="dxa" w:w="4320"/>
            <w:tcMar>
              <w:top w:w="95" w:type="dxa"/>
              <w:start w:w="95" w:type="dxa"/>
              <w:bottom w:w="95" w:type="dxa"/>
              <w:end w:w="95" w:type="dxa"/>
            </w:tcMar>
            <w:vAlign w:val="center"/>
          </w:tcPr>
          <w:p>
            <w:pPr>
              <w:spacing w:after="0" w:line="240" w:lineRule="auto"/>
            </w:pPr>
            <w:r>
              <w:rPr>
                <w:rFonts w:ascii="Aptos" w:hAnsi="Aptos"/>
                <w:color w:val="000000"/>
                <w:sz w:val="16"/>
              </w:rPr>
              <w:t>Prioritized portfolio, risk class, gates and decision log.</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1F and 1G</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Test controlled pilots</w:t>
            </w:r>
          </w:p>
        </w:tc>
        <w:tc>
          <w:tcPr>
            <w:tcW w:type="dxa" w:w="1440"/>
            <w:tcMar>
              <w:top w:w="95" w:type="dxa"/>
              <w:start w:w="95" w:type="dxa"/>
              <w:bottom w:w="95" w:type="dxa"/>
              <w:end w:w="95" w:type="dxa"/>
            </w:tcMar>
            <w:vAlign w:val="center"/>
            <w:shd w:fill="F3F6F9"/>
          </w:tcPr>
          <w:p>
            <w:pPr>
              <w:spacing w:after="0" w:line="240" w:lineRule="auto"/>
            </w:pPr>
            <w:r>
              <w:rPr>
                <w:rFonts w:ascii="Aptos" w:hAnsi="Aptos"/>
                <w:color w:val="000000"/>
                <w:sz w:val="16"/>
              </w:rPr>
              <w:t>1F</w:t>
            </w:r>
          </w:p>
        </w:tc>
        <w:tc>
          <w:tcPr>
            <w:tcW w:type="dxa" w:w="4320"/>
            <w:tcMar>
              <w:top w:w="95" w:type="dxa"/>
              <w:start w:w="95" w:type="dxa"/>
              <w:bottom w:w="95" w:type="dxa"/>
              <w:end w:w="95" w:type="dxa"/>
            </w:tcMar>
            <w:vAlign w:val="center"/>
            <w:shd w:fill="F3F6F9"/>
          </w:tcPr>
          <w:p>
            <w:pPr>
              <w:spacing w:after="0" w:line="240" w:lineRule="auto"/>
            </w:pPr>
            <w:r>
              <w:rPr>
                <w:rFonts w:ascii="Aptos" w:hAnsi="Aptos"/>
                <w:color w:val="000000"/>
                <w:sz w:val="16"/>
              </w:rPr>
              <w:t>Charter, benchmark, validation, incident evidence and assurance decision.</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1G and production governance</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Approve national action</w:t>
            </w:r>
          </w:p>
        </w:tc>
        <w:tc>
          <w:tcPr>
            <w:tcW w:type="dxa" w:w="1440"/>
            <w:tcMar>
              <w:top w:w="95" w:type="dxa"/>
              <w:start w:w="95" w:type="dxa"/>
              <w:bottom w:w="95" w:type="dxa"/>
              <w:end w:w="95" w:type="dxa"/>
            </w:tcMar>
            <w:vAlign w:val="center"/>
          </w:tcPr>
          <w:p>
            <w:pPr>
              <w:spacing w:after="0" w:line="240" w:lineRule="auto"/>
            </w:pPr>
            <w:r>
              <w:rPr>
                <w:rFonts w:ascii="Aptos" w:hAnsi="Aptos"/>
                <w:color w:val="000000"/>
                <w:sz w:val="16"/>
              </w:rPr>
              <w:t>1G</w:t>
            </w:r>
          </w:p>
        </w:tc>
        <w:tc>
          <w:tcPr>
            <w:tcW w:type="dxa" w:w="4320"/>
            <w:tcMar>
              <w:top w:w="95" w:type="dxa"/>
              <w:start w:w="95" w:type="dxa"/>
              <w:bottom w:w="95" w:type="dxa"/>
              <w:end w:w="95" w:type="dxa"/>
            </w:tcMar>
            <w:vAlign w:val="center"/>
          </w:tcPr>
          <w:p>
            <w:pPr>
              <w:spacing w:after="0" w:line="240" w:lineRule="auto"/>
            </w:pPr>
            <w:r>
              <w:rPr>
                <w:rFonts w:ascii="Aptos" w:hAnsi="Aptos"/>
                <w:color w:val="000000"/>
                <w:sz w:val="16"/>
              </w:rPr>
              <w:t>Operating model, sequenced actions, financing, indicators and annual review.</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Phase 2 and implementation</w:t>
            </w:r>
          </w:p>
        </w:tc>
      </w:tr>
    </w:tbl>
    <w:p>
      <w:pPr>
        <w:spacing w:after="20"/>
      </w:pPr>
    </w:p>
    <w:p>
      <w:r>
        <w:t>The architecture is strong because no instrument attempts to do everything. The central design choice—separate maturity profiles, evidence confidence and non-compensatory gates—protects the programme from superficial scoring and technology-led investment.</w:t>
      </w:r>
    </w:p>
    <w:p>
      <w:pPr>
        <w:pStyle w:val="Heading1"/>
      </w:pPr>
      <w:r>
        <w:t>3 Major strengths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7"/>
        <w:gridCol w:w="5047"/>
      </w:tblGrid>
      <w:tr>
        <w:trPr>
          <w:tblHeader w:val="true"/>
        </w:trPr>
        <w:tc>
          <w:tcPr>
            <w:tcW w:type="dxa" w:w="3024"/>
            <w:shd w:fill="17365D"/>
            <w:tcMar>
              <w:top w:w="95" w:type="dxa"/>
              <w:start w:w="95" w:type="dxa"/>
              <w:bottom w:w="95" w:type="dxa"/>
              <w:end w:w="95" w:type="dxa"/>
            </w:tcMar>
            <w:vAlign w:val="center"/>
          </w:tcPr>
          <w:p>
            <w:pPr>
              <w:spacing w:after="0"/>
              <w:jc w:val="center"/>
            </w:pPr>
            <w:r>
              <w:rPr>
                <w:rFonts w:ascii="Aptos" w:hAnsi="Aptos"/>
                <w:b/>
                <w:color w:val="FFFFFF"/>
                <w:sz w:val="17"/>
              </w:rPr>
              <w:t>Strength</w:t>
            </w:r>
          </w:p>
        </w:tc>
        <w:tc>
          <w:tcPr>
            <w:tcW w:type="dxa" w:w="6768"/>
            <w:shd w:fill="17365D"/>
            <w:tcMar>
              <w:top w:w="95" w:type="dxa"/>
              <w:start w:w="95" w:type="dxa"/>
              <w:bottom w:w="95" w:type="dxa"/>
              <w:end w:w="95" w:type="dxa"/>
            </w:tcMar>
            <w:vAlign w:val="center"/>
          </w:tcPr>
          <w:p>
            <w:pPr>
              <w:spacing w:after="0"/>
              <w:jc w:val="center"/>
            </w:pPr>
            <w:r>
              <w:rPr>
                <w:rFonts w:ascii="Aptos" w:hAnsi="Aptos"/>
                <w:b/>
                <w:color w:val="FFFFFF"/>
                <w:sz w:val="17"/>
              </w:rPr>
              <w:t>Why it matters</w:t>
            </w:r>
          </w:p>
        </w:tc>
      </w:tr>
      <w:tr>
        <w:tc>
          <w:tcPr>
            <w:tcW w:type="dxa" w:w="3024"/>
            <w:tcMar>
              <w:top w:w="95" w:type="dxa"/>
              <w:start w:w="95" w:type="dxa"/>
              <w:bottom w:w="95" w:type="dxa"/>
              <w:end w:w="95" w:type="dxa"/>
            </w:tcMar>
            <w:vAlign w:val="center"/>
          </w:tcPr>
          <w:p>
            <w:pPr>
              <w:spacing w:after="0" w:line="240" w:lineRule="auto"/>
            </w:pPr>
            <w:r>
              <w:rPr>
                <w:rFonts w:ascii="Aptos" w:hAnsi="Aptos"/>
                <w:color w:val="000000"/>
                <w:sz w:val="17"/>
              </w:rPr>
              <w:t>National information ecosystem rather than NSO-only view</w:t>
            </w:r>
          </w:p>
        </w:tc>
        <w:tc>
          <w:tcPr>
            <w:tcW w:type="dxa" w:w="6768"/>
            <w:tcMar>
              <w:top w:w="95" w:type="dxa"/>
              <w:start w:w="95" w:type="dxa"/>
              <w:bottom w:w="95" w:type="dxa"/>
              <w:end w:w="95" w:type="dxa"/>
            </w:tcMar>
            <w:vAlign w:val="center"/>
          </w:tcPr>
          <w:p>
            <w:pPr>
              <w:spacing w:after="0" w:line="240" w:lineRule="auto"/>
            </w:pPr>
            <w:r>
              <w:rPr>
                <w:rFonts w:ascii="Aptos" w:hAnsi="Aptos"/>
                <w:color w:val="000000"/>
                <w:sz w:val="17"/>
              </w:rPr>
              <w:t>Captures sector producers, administrative sources, research information, geospatial data, private holders and users.</w:t>
            </w:r>
          </w:p>
        </w:tc>
      </w:tr>
      <w:tr>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7"/>
              </w:rPr>
              <w:t>Four assessment levels</w:t>
            </w:r>
          </w:p>
        </w:tc>
        <w:tc>
          <w:tcPr>
            <w:tcW w:type="dxa" w:w="6768"/>
            <w:tcMar>
              <w:top w:w="95" w:type="dxa"/>
              <w:start w:w="95" w:type="dxa"/>
              <w:bottom w:w="95" w:type="dxa"/>
              <w:end w:w="95" w:type="dxa"/>
            </w:tcMar>
            <w:vAlign w:val="center"/>
            <w:shd w:fill="F3F6F9"/>
          </w:tcPr>
          <w:p>
            <w:pPr>
              <w:spacing w:after="0" w:line="240" w:lineRule="auto"/>
            </w:pPr>
            <w:r>
              <w:rPr>
                <w:rFonts w:ascii="Aptos" w:hAnsi="Aptos"/>
                <w:color w:val="000000"/>
                <w:sz w:val="17"/>
              </w:rPr>
              <w:t>Distinguishes national-system, organization, workflow or use case, and individual capability.</w:t>
            </w:r>
          </w:p>
        </w:tc>
      </w:tr>
      <w:tr>
        <w:tc>
          <w:tcPr>
            <w:tcW w:type="dxa" w:w="3024"/>
            <w:tcMar>
              <w:top w:w="95" w:type="dxa"/>
              <w:start w:w="95" w:type="dxa"/>
              <w:bottom w:w="95" w:type="dxa"/>
              <w:end w:w="95" w:type="dxa"/>
            </w:tcMar>
            <w:vAlign w:val="center"/>
          </w:tcPr>
          <w:p>
            <w:pPr>
              <w:spacing w:after="0" w:line="240" w:lineRule="auto"/>
            </w:pPr>
            <w:r>
              <w:rPr>
                <w:rFonts w:ascii="Aptos" w:hAnsi="Aptos"/>
                <w:color w:val="000000"/>
                <w:sz w:val="17"/>
              </w:rPr>
              <w:t>No single readiness ranking</w:t>
            </w:r>
          </w:p>
        </w:tc>
        <w:tc>
          <w:tcPr>
            <w:tcW w:type="dxa" w:w="6768"/>
            <w:tcMar>
              <w:top w:w="95" w:type="dxa"/>
              <w:start w:w="95" w:type="dxa"/>
              <w:bottom w:w="95" w:type="dxa"/>
              <w:end w:w="95" w:type="dxa"/>
            </w:tcMar>
            <w:vAlign w:val="center"/>
          </w:tcPr>
          <w:p>
            <w:pPr>
              <w:spacing w:after="0" w:line="240" w:lineRule="auto"/>
            </w:pPr>
            <w:r>
              <w:rPr>
                <w:rFonts w:ascii="Aptos" w:hAnsi="Aptos"/>
                <w:color w:val="000000"/>
                <w:sz w:val="17"/>
              </w:rPr>
              <w:t>Prevents strong technology or skills from hiding a failed legal, quality or confidentiality safeguard.</w:t>
            </w:r>
          </w:p>
        </w:tc>
      </w:tr>
      <w:tr>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7"/>
              </w:rPr>
              <w:t>Evidence confidence and unknown status</w:t>
            </w:r>
          </w:p>
        </w:tc>
        <w:tc>
          <w:tcPr>
            <w:tcW w:type="dxa" w:w="6768"/>
            <w:tcMar>
              <w:top w:w="95" w:type="dxa"/>
              <w:start w:w="95" w:type="dxa"/>
              <w:bottom w:w="95" w:type="dxa"/>
              <w:end w:w="95" w:type="dxa"/>
            </w:tcMar>
            <w:vAlign w:val="center"/>
            <w:shd w:fill="F3F6F9"/>
          </w:tcPr>
          <w:p>
            <w:pPr>
              <w:spacing w:after="0" w:line="240" w:lineRule="auto"/>
            </w:pPr>
            <w:r>
              <w:rPr>
                <w:rFonts w:ascii="Aptos" w:hAnsi="Aptos"/>
                <w:color w:val="000000"/>
                <w:sz w:val="17"/>
              </w:rPr>
              <w:t>Separates absence from lack of evidence and makes weak claims visible.</w:t>
            </w:r>
          </w:p>
        </w:tc>
      </w:tr>
      <w:tr>
        <w:tc>
          <w:tcPr>
            <w:tcW w:type="dxa" w:w="3024"/>
            <w:tcMar>
              <w:top w:w="95" w:type="dxa"/>
              <w:start w:w="95" w:type="dxa"/>
              <w:bottom w:w="95" w:type="dxa"/>
              <w:end w:w="95" w:type="dxa"/>
            </w:tcMar>
            <w:vAlign w:val="center"/>
          </w:tcPr>
          <w:p>
            <w:pPr>
              <w:spacing w:after="0" w:line="240" w:lineRule="auto"/>
            </w:pPr>
            <w:r>
              <w:rPr>
                <w:rFonts w:ascii="Aptos" w:hAnsi="Aptos"/>
                <w:color w:val="000000"/>
                <w:sz w:val="17"/>
              </w:rPr>
              <w:t>Fitness for use and statistical quality</w:t>
            </w:r>
          </w:p>
        </w:tc>
        <w:tc>
          <w:tcPr>
            <w:tcW w:type="dxa" w:w="6768"/>
            <w:tcMar>
              <w:top w:w="95" w:type="dxa"/>
              <w:start w:w="95" w:type="dxa"/>
              <w:bottom w:w="95" w:type="dxa"/>
              <w:end w:w="95" w:type="dxa"/>
            </w:tcMar>
            <w:vAlign w:val="center"/>
          </w:tcPr>
          <w:p>
            <w:pPr>
              <w:spacing w:after="0" w:line="240" w:lineRule="auto"/>
            </w:pPr>
            <w:r>
              <w:rPr>
                <w:rFonts w:ascii="Aptos" w:hAnsi="Aptos"/>
                <w:color w:val="000000"/>
                <w:sz w:val="17"/>
              </w:rPr>
              <w:t>Tests relevance, accuracy, reliability, timeliness, coherence, comparability, accessibility and interpretability.</w:t>
            </w:r>
          </w:p>
        </w:tc>
      </w:tr>
      <w:tr>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7"/>
              </w:rPr>
              <w:t>Professional statistical authority</w:t>
            </w:r>
          </w:p>
        </w:tc>
        <w:tc>
          <w:tcPr>
            <w:tcW w:type="dxa" w:w="6768"/>
            <w:tcMar>
              <w:top w:w="95" w:type="dxa"/>
              <w:start w:w="95" w:type="dxa"/>
              <w:bottom w:w="95" w:type="dxa"/>
              <w:end w:w="95" w:type="dxa"/>
            </w:tcMar>
            <w:vAlign w:val="center"/>
            <w:shd w:fill="F3F6F9"/>
          </w:tcPr>
          <w:p>
            <w:pPr>
              <w:spacing w:after="0" w:line="240" w:lineRule="auto"/>
            </w:pPr>
            <w:r>
              <w:rPr>
                <w:rFonts w:ascii="Aptos" w:hAnsi="Aptos"/>
                <w:color w:val="000000"/>
                <w:sz w:val="17"/>
              </w:rPr>
              <w:t>Keeps methods, estimates, revisions and releases under accountable statistical control.</w:t>
            </w:r>
          </w:p>
        </w:tc>
      </w:tr>
      <w:tr>
        <w:tc>
          <w:tcPr>
            <w:tcW w:type="dxa" w:w="3024"/>
            <w:tcMar>
              <w:top w:w="95" w:type="dxa"/>
              <w:start w:w="95" w:type="dxa"/>
              <w:bottom w:w="95" w:type="dxa"/>
              <w:end w:w="95" w:type="dxa"/>
            </w:tcMar>
            <w:vAlign w:val="center"/>
          </w:tcPr>
          <w:p>
            <w:pPr>
              <w:spacing w:after="0" w:line="240" w:lineRule="auto"/>
            </w:pPr>
            <w:r>
              <w:rPr>
                <w:rFonts w:ascii="Aptos" w:hAnsi="Aptos"/>
                <w:color w:val="000000"/>
                <w:sz w:val="17"/>
              </w:rPr>
              <w:t>Controlled pilot discipline</w:t>
            </w:r>
          </w:p>
        </w:tc>
        <w:tc>
          <w:tcPr>
            <w:tcW w:type="dxa" w:w="6768"/>
            <w:tcMar>
              <w:top w:w="95" w:type="dxa"/>
              <w:start w:w="95" w:type="dxa"/>
              <w:bottom w:w="95" w:type="dxa"/>
              <w:end w:w="95" w:type="dxa"/>
            </w:tcMar>
            <w:vAlign w:val="center"/>
          </w:tcPr>
          <w:p>
            <w:pPr>
              <w:spacing w:after="0" w:line="240" w:lineRule="auto"/>
            </w:pPr>
            <w:r>
              <w:rPr>
                <w:rFonts w:ascii="Aptos" w:hAnsi="Aptos"/>
                <w:color w:val="000000"/>
                <w:sz w:val="17"/>
              </w:rPr>
              <w:t>Requires a benchmark, locked test, subgroup analysis, reproducibility, monitoring and fallback.</w:t>
            </w:r>
          </w:p>
        </w:tc>
      </w:tr>
      <w:tr>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7"/>
              </w:rPr>
              <w:t>Resource proportionality</w:t>
            </w:r>
          </w:p>
        </w:tc>
        <w:tc>
          <w:tcPr>
            <w:tcW w:type="dxa" w:w="6768"/>
            <w:tcMar>
              <w:top w:w="95" w:type="dxa"/>
              <w:start w:w="95" w:type="dxa"/>
              <w:bottom w:w="95" w:type="dxa"/>
              <w:end w:w="95" w:type="dxa"/>
            </w:tcMar>
            <w:vAlign w:val="center"/>
            <w:shd w:fill="F3F6F9"/>
          </w:tcPr>
          <w:p>
            <w:pPr>
              <w:spacing w:after="0" w:line="240" w:lineRule="auto"/>
            </w:pPr>
            <w:r>
              <w:rPr>
                <w:rFonts w:ascii="Aptos" w:hAnsi="Aptos"/>
                <w:color w:val="000000"/>
                <w:sz w:val="17"/>
              </w:rPr>
              <w:t>Allows different institutional arrangements while preserving minimum safeguards.</w:t>
            </w:r>
          </w:p>
        </w:tc>
      </w:tr>
      <w:tr>
        <w:tc>
          <w:tcPr>
            <w:tcW w:type="dxa" w:w="3024"/>
            <w:tcMar>
              <w:top w:w="95" w:type="dxa"/>
              <w:start w:w="95" w:type="dxa"/>
              <w:bottom w:w="95" w:type="dxa"/>
              <w:end w:w="95" w:type="dxa"/>
            </w:tcMar>
            <w:vAlign w:val="center"/>
          </w:tcPr>
          <w:p>
            <w:pPr>
              <w:spacing w:after="0" w:line="240" w:lineRule="auto"/>
            </w:pPr>
            <w:r>
              <w:rPr>
                <w:rFonts w:ascii="Aptos" w:hAnsi="Aptos"/>
                <w:color w:val="000000"/>
                <w:sz w:val="17"/>
              </w:rPr>
              <w:t>Action and sustainability focus</w:t>
            </w:r>
          </w:p>
        </w:tc>
        <w:tc>
          <w:tcPr>
            <w:tcW w:type="dxa" w:w="6768"/>
            <w:tcMar>
              <w:top w:w="95" w:type="dxa"/>
              <w:start w:w="95" w:type="dxa"/>
              <w:bottom w:w="95" w:type="dxa"/>
              <w:end w:w="95" w:type="dxa"/>
            </w:tcMar>
            <w:vAlign w:val="center"/>
          </w:tcPr>
          <w:p>
            <w:pPr>
              <w:spacing w:after="0" w:line="240" w:lineRule="auto"/>
            </w:pPr>
            <w:r>
              <w:rPr>
                <w:rFonts w:ascii="Aptos" w:hAnsi="Aptos"/>
                <w:color w:val="000000"/>
                <w:sz w:val="17"/>
              </w:rPr>
              <w:t>Connects recommendations to ownership, financing, recurring costs, procurement, monitoring and exit.</w:t>
            </w:r>
          </w:p>
        </w:tc>
      </w:tr>
    </w:tbl>
    <w:p>
      <w:pPr>
        <w:spacing w:after="20"/>
      </w:pPr>
    </w:p>
    <w:p>
      <w:pPr>
        <w:pStyle w:val="Heading1"/>
      </w:pPr>
      <w:r>
        <w:t>4 Coverage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3744"/>
            <w:shd w:fill="17365D"/>
            <w:tcMar>
              <w:top w:w="95" w:type="dxa"/>
              <w:start w:w="95" w:type="dxa"/>
              <w:bottom w:w="95" w:type="dxa"/>
              <w:end w:w="95" w:type="dxa"/>
            </w:tcMar>
            <w:vAlign w:val="center"/>
          </w:tcPr>
          <w:p>
            <w:pPr>
              <w:spacing w:after="0"/>
              <w:jc w:val="center"/>
            </w:pPr>
            <w:r>
              <w:rPr>
                <w:rFonts w:ascii="Aptos" w:hAnsi="Aptos"/>
                <w:b/>
                <w:color w:val="FFFFFF"/>
                <w:sz w:val="16"/>
              </w:rPr>
              <w:t>Required area</w:t>
            </w:r>
          </w:p>
        </w:tc>
        <w:tc>
          <w:tcPr>
            <w:tcW w:type="dxa" w:w="2016"/>
            <w:shd w:fill="17365D"/>
            <w:tcMar>
              <w:top w:w="95" w:type="dxa"/>
              <w:start w:w="95" w:type="dxa"/>
              <w:bottom w:w="95" w:type="dxa"/>
              <w:end w:w="95" w:type="dxa"/>
            </w:tcMar>
            <w:vAlign w:val="center"/>
          </w:tcPr>
          <w:p>
            <w:pPr>
              <w:spacing w:after="0"/>
              <w:jc w:val="center"/>
            </w:pPr>
            <w:r>
              <w:rPr>
                <w:rFonts w:ascii="Aptos" w:hAnsi="Aptos"/>
                <w:b/>
                <w:color w:val="FFFFFF"/>
                <w:sz w:val="16"/>
              </w:rPr>
              <w:t>Coverage</w:t>
            </w:r>
          </w:p>
        </w:tc>
        <w:tc>
          <w:tcPr>
            <w:tcW w:type="dxa" w:w="4032"/>
            <w:shd w:fill="17365D"/>
            <w:tcMar>
              <w:top w:w="95" w:type="dxa"/>
              <w:start w:w="95" w:type="dxa"/>
              <w:bottom w:w="95" w:type="dxa"/>
              <w:end w:w="95" w:type="dxa"/>
            </w:tcMar>
            <w:vAlign w:val="center"/>
          </w:tcPr>
          <w:p>
            <w:pPr>
              <w:spacing w:after="0"/>
              <w:jc w:val="center"/>
            </w:pPr>
            <w:r>
              <w:rPr>
                <w:rFonts w:ascii="Aptos" w:hAnsi="Aptos"/>
                <w:b/>
                <w:color w:val="FFFFFF"/>
                <w:sz w:val="16"/>
              </w:rPr>
              <w:t>Comment</w:t>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Economic social agricultural environmental and habitat domains</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Complete by adaptable architecture</w:t>
            </w:r>
          </w:p>
        </w:tc>
        <w:tc>
          <w:tcPr>
            <w:tcW w:type="dxa" w:w="4032"/>
            <w:tcMar>
              <w:top w:w="95" w:type="dxa"/>
              <w:start w:w="95" w:type="dxa"/>
              <w:bottom w:w="95" w:type="dxa"/>
              <w:end w:w="95" w:type="dxa"/>
            </w:tcMar>
            <w:vAlign w:val="center"/>
          </w:tcPr>
          <w:p>
            <w:pPr>
              <w:spacing w:after="0" w:line="240" w:lineRule="auto"/>
            </w:pPr>
            <w:r>
              <w:rPr>
                <w:rFonts w:ascii="Aptos" w:hAnsi="Aptos"/>
                <w:color w:val="000000"/>
                <w:sz w:val="16"/>
              </w:rPr>
              <w:t>Domain examples vary, but the method is not tied to one sector.</w:t>
            </w:r>
          </w:p>
        </w:tc>
      </w:tr>
      <w:tr>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t>Surveys censuses and administrative records</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Complete</w:t>
            </w:r>
          </w:p>
        </w:tc>
        <w:tc>
          <w:tcPr>
            <w:tcW w:type="dxa" w:w="4032"/>
            <w:tcMar>
              <w:top w:w="95" w:type="dxa"/>
              <w:start w:w="95" w:type="dxa"/>
              <w:bottom w:w="95" w:type="dxa"/>
              <w:end w:w="95" w:type="dxa"/>
            </w:tcMar>
            <w:vAlign w:val="center"/>
            <w:shd w:fill="F3F6F9"/>
          </w:tcPr>
          <w:p>
            <w:pPr>
              <w:spacing w:after="0" w:line="240" w:lineRule="auto"/>
            </w:pPr>
            <w:r>
              <w:rPr>
                <w:rFonts w:ascii="Aptos" w:hAnsi="Aptos"/>
                <w:color w:val="000000"/>
                <w:sz w:val="16"/>
              </w:rPr>
              <w:t>Data acquisition and process implications are addressed.</w:t>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Research and technological information</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Complete</w:t>
            </w:r>
          </w:p>
        </w:tc>
        <w:tc>
          <w:tcPr>
            <w:tcW w:type="dxa" w:w="4032"/>
            <w:tcMar>
              <w:top w:w="95" w:type="dxa"/>
              <w:start w:w="95" w:type="dxa"/>
              <w:bottom w:w="95" w:type="dxa"/>
              <w:end w:w="95" w:type="dxa"/>
            </w:tcMar>
            <w:vAlign w:val="center"/>
          </w:tcPr>
          <w:p>
            <w:pPr>
              <w:spacing w:after="0" w:line="240" w:lineRule="auto"/>
            </w:pPr>
            <w:r>
              <w:rPr>
                <w:rFonts w:ascii="Aptos" w:hAnsi="Aptos"/>
                <w:color w:val="000000"/>
                <w:sz w:val="16"/>
              </w:rPr>
              <w:t>Research institutions and experimental assets are explicitly mapped and gated for generalization.</w:t>
            </w:r>
          </w:p>
        </w:tc>
      </w:tr>
      <w:tr>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t>Data collection and production processes</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Complete</w:t>
            </w:r>
          </w:p>
        </w:tc>
        <w:tc>
          <w:tcPr>
            <w:tcW w:type="dxa" w:w="4032"/>
            <w:tcMar>
              <w:top w:w="95" w:type="dxa"/>
              <w:start w:w="95" w:type="dxa"/>
              <w:bottom w:w="95" w:type="dxa"/>
              <w:end w:w="95" w:type="dxa"/>
            </w:tcMar>
            <w:vAlign w:val="center"/>
            <w:shd w:fill="F3F6F9"/>
          </w:tcPr>
          <w:p>
            <w:pPr>
              <w:spacing w:after="0" w:line="240" w:lineRule="auto"/>
            </w:pPr>
            <w:r>
              <w:rPr>
                <w:rFonts w:ascii="Aptos" w:hAnsi="Aptos"/>
                <w:color w:val="000000"/>
                <w:sz w:val="16"/>
              </w:rPr>
              <w:t>Workflow and GSBPM-aligned stages are represented.</w:t>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Data quality and fitness for use</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Strong</w:t>
            </w:r>
          </w:p>
        </w:tc>
        <w:tc>
          <w:tcPr>
            <w:tcW w:type="dxa" w:w="4032"/>
            <w:tcMar>
              <w:top w:w="95" w:type="dxa"/>
              <w:start w:w="95" w:type="dxa"/>
              <w:bottom w:w="95" w:type="dxa"/>
              <w:end w:w="95" w:type="dxa"/>
            </w:tcMar>
            <w:vAlign w:val="center"/>
          </w:tcPr>
          <w:p>
            <w:pPr>
              <w:spacing w:after="0" w:line="240" w:lineRule="auto"/>
            </w:pPr>
            <w:r>
              <w:rPr>
                <w:rFonts w:ascii="Aptos" w:hAnsi="Aptos"/>
                <w:color w:val="000000"/>
                <w:sz w:val="16"/>
              </w:rPr>
              <w:t>Quality is treated as a decision condition rather than a final inspection.</w:t>
            </w:r>
          </w:p>
        </w:tc>
      </w:tr>
      <w:tr>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t>Institutional and decentralized systems</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Strong</w:t>
            </w:r>
          </w:p>
        </w:tc>
        <w:tc>
          <w:tcPr>
            <w:tcW w:type="dxa" w:w="4032"/>
            <w:tcMar>
              <w:top w:w="95" w:type="dxa"/>
              <w:start w:w="95" w:type="dxa"/>
              <w:bottom w:w="95" w:type="dxa"/>
              <w:end w:w="95" w:type="dxa"/>
            </w:tcMar>
            <w:vAlign w:val="center"/>
            <w:shd w:fill="F3F6F9"/>
          </w:tcPr>
          <w:p>
            <w:pPr>
              <w:spacing w:after="0" w:line="240" w:lineRule="auto"/>
            </w:pPr>
            <w:r>
              <w:rPr>
                <w:rFonts w:ascii="Aptos" w:hAnsi="Aptos"/>
                <w:color w:val="000000"/>
                <w:sz w:val="16"/>
              </w:rPr>
              <w:t>The NSO coordination role and sector ownership can coexist.</w:t>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Advanced and resource-constrained countries</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Adequate with support</w:t>
            </w:r>
          </w:p>
        </w:tc>
        <w:tc>
          <w:tcPr>
            <w:tcW w:type="dxa" w:w="4032"/>
            <w:tcMar>
              <w:top w:w="95" w:type="dxa"/>
              <w:start w:w="95" w:type="dxa"/>
              <w:bottom w:w="95" w:type="dxa"/>
              <w:end w:w="95" w:type="dxa"/>
            </w:tcMar>
            <w:vAlign w:val="center"/>
          </w:tcPr>
          <w:p>
            <w:pPr>
              <w:spacing w:after="0" w:line="240" w:lineRule="auto"/>
            </w:pPr>
            <w:r>
              <w:rPr>
                <w:rFonts w:ascii="Aptos" w:hAnsi="Aptos"/>
                <w:color w:val="000000"/>
                <w:sz w:val="16"/>
              </w:rPr>
              <w:t>Minimum viable pathway should be made explicit in delivery materials.</w:t>
            </w:r>
          </w:p>
        </w:tc>
      </w:tr>
      <w:tr>
        <w:tc>
          <w:tcPr>
            <w:tcW w:type="dxa" w:w="3744"/>
            <w:tcMar>
              <w:top w:w="95" w:type="dxa"/>
              <w:start w:w="95" w:type="dxa"/>
              <w:bottom w:w="95" w:type="dxa"/>
              <w:end w:w="95" w:type="dxa"/>
            </w:tcMar>
            <w:vAlign w:val="center"/>
            <w:shd w:fill="F3F6F9"/>
          </w:tcPr>
          <w:p>
            <w:pPr>
              <w:spacing w:after="0" w:line="240" w:lineRule="auto"/>
            </w:pPr>
            <w:r>
              <w:rPr>
                <w:rFonts w:ascii="Aptos" w:hAnsi="Aptos"/>
                <w:color w:val="000000"/>
                <w:sz w:val="16"/>
              </w:rPr>
              <w:t>Private data and alternative sources</w:t>
            </w:r>
          </w:p>
        </w:tc>
        <w:tc>
          <w:tcPr>
            <w:tcW w:type="dxa" w:w="2016"/>
            <w:tcMar>
              <w:top w:w="95" w:type="dxa"/>
              <w:start w:w="95" w:type="dxa"/>
              <w:bottom w:w="95" w:type="dxa"/>
              <w:end w:w="95" w:type="dxa"/>
            </w:tcMar>
            <w:vAlign w:val="center"/>
            <w:shd w:fill="F3F6F9"/>
          </w:tcPr>
          <w:p>
            <w:pPr>
              <w:spacing w:after="0" w:line="240" w:lineRule="auto"/>
            </w:pPr>
            <w:r>
              <w:rPr>
                <w:rFonts w:ascii="Aptos" w:hAnsi="Aptos"/>
                <w:color w:val="000000"/>
                <w:sz w:val="16"/>
              </w:rPr>
              <w:t>Complete at framework level</w:t>
            </w:r>
          </w:p>
        </w:tc>
        <w:tc>
          <w:tcPr>
            <w:tcW w:type="dxa" w:w="4032"/>
            <w:tcMar>
              <w:top w:w="95" w:type="dxa"/>
              <w:start w:w="95" w:type="dxa"/>
              <w:bottom w:w="95" w:type="dxa"/>
              <w:end w:w="95" w:type="dxa"/>
            </w:tcMar>
            <w:vAlign w:val="center"/>
            <w:shd w:fill="F3F6F9"/>
          </w:tcPr>
          <w:p>
            <w:pPr>
              <w:spacing w:after="0" w:line="240" w:lineRule="auto"/>
            </w:pPr>
            <w:r>
              <w:rPr>
                <w:rFonts w:ascii="Aptos" w:hAnsi="Aptos"/>
                <w:color w:val="000000"/>
                <w:sz w:val="16"/>
              </w:rPr>
              <w:t>Country applications will require jurisdiction-specific contracts and authority.</w:t>
            </w:r>
          </w:p>
        </w:tc>
      </w:tr>
      <w:tr>
        <w:tc>
          <w:tcPr>
            <w:tcW w:type="dxa" w:w="3744"/>
            <w:tcMar>
              <w:top w:w="95" w:type="dxa"/>
              <w:start w:w="95" w:type="dxa"/>
              <w:bottom w:w="95" w:type="dxa"/>
              <w:end w:w="95" w:type="dxa"/>
            </w:tcMar>
            <w:vAlign w:val="center"/>
          </w:tcPr>
          <w:p>
            <w:pPr>
              <w:spacing w:after="0" w:line="240" w:lineRule="auto"/>
            </w:pPr>
            <w:r>
              <w:rPr>
                <w:rFonts w:ascii="Aptos" w:hAnsi="Aptos"/>
                <w:color w:val="000000"/>
                <w:sz w:val="16"/>
              </w:rPr>
              <w:t>Generative AI and traditional machine learning</w:t>
            </w:r>
          </w:p>
        </w:tc>
        <w:tc>
          <w:tcPr>
            <w:tcW w:type="dxa" w:w="2016"/>
            <w:tcMar>
              <w:top w:w="95" w:type="dxa"/>
              <w:start w:w="95" w:type="dxa"/>
              <w:bottom w:w="95" w:type="dxa"/>
              <w:end w:w="95" w:type="dxa"/>
            </w:tcMar>
            <w:vAlign w:val="center"/>
          </w:tcPr>
          <w:p>
            <w:pPr>
              <w:spacing w:after="0" w:line="240" w:lineRule="auto"/>
            </w:pPr>
            <w:r>
              <w:rPr>
                <w:rFonts w:ascii="Aptos" w:hAnsi="Aptos"/>
                <w:color w:val="000000"/>
                <w:sz w:val="16"/>
              </w:rPr>
              <w:t>Complete</w:t>
            </w:r>
          </w:p>
        </w:tc>
        <w:tc>
          <w:tcPr>
            <w:tcW w:type="dxa" w:w="4032"/>
            <w:tcMar>
              <w:top w:w="95" w:type="dxa"/>
              <w:start w:w="95" w:type="dxa"/>
              <w:bottom w:w="95" w:type="dxa"/>
              <w:end w:w="95" w:type="dxa"/>
            </w:tcMar>
            <w:vAlign w:val="center"/>
          </w:tcPr>
          <w:p>
            <w:pPr>
              <w:spacing w:after="0" w:line="240" w:lineRule="auto"/>
            </w:pPr>
            <w:r>
              <w:rPr>
                <w:rFonts w:ascii="Aptos" w:hAnsi="Aptos"/>
                <w:color w:val="000000"/>
                <w:sz w:val="16"/>
              </w:rPr>
              <w:t>The package distinguishes use types and their failure modes.</w:t>
            </w:r>
          </w:p>
        </w:tc>
      </w:tr>
    </w:tbl>
    <w:p>
      <w:pPr>
        <w:spacing w:after="20"/>
      </w:pPr>
    </w:p>
    <w:p>
      <w:pPr>
        <w:pStyle w:val="Heading1"/>
      </w:pPr>
      <w:r>
        <w:t>5 Consistency findings and required refinements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2160"/>
            <w:shd w:fill="17365D"/>
            <w:tcMar>
              <w:top w:w="95" w:type="dxa"/>
              <w:start w:w="95" w:type="dxa"/>
              <w:bottom w:w="95" w:type="dxa"/>
              <w:end w:w="95" w:type="dxa"/>
            </w:tcMar>
            <w:vAlign w:val="center"/>
          </w:tcPr>
          <w:p>
            <w:pPr>
              <w:spacing w:after="0"/>
              <w:jc w:val="center"/>
            </w:pPr>
            <w:r>
              <w:rPr>
                <w:rFonts w:ascii="Aptos" w:hAnsi="Aptos"/>
                <w:b/>
                <w:color w:val="FFFFFF"/>
                <w:sz w:val="15"/>
              </w:rPr>
              <w:t>Issue</w:t>
            </w:r>
          </w:p>
        </w:tc>
        <w:tc>
          <w:tcPr>
            <w:tcW w:type="dxa" w:w="3456"/>
            <w:shd w:fill="17365D"/>
            <w:tcMar>
              <w:top w:w="95" w:type="dxa"/>
              <w:start w:w="95" w:type="dxa"/>
              <w:bottom w:w="95" w:type="dxa"/>
              <w:end w:w="95" w:type="dxa"/>
            </w:tcMar>
            <w:vAlign w:val="center"/>
          </w:tcPr>
          <w:p>
            <w:pPr>
              <w:spacing w:after="0"/>
              <w:jc w:val="center"/>
            </w:pPr>
            <w:r>
              <w:rPr>
                <w:rFonts w:ascii="Aptos" w:hAnsi="Aptos"/>
                <w:b/>
                <w:color w:val="FFFFFF"/>
                <w:sz w:val="15"/>
              </w:rPr>
              <w:t>Why it matters</w:t>
            </w:r>
          </w:p>
        </w:tc>
        <w:tc>
          <w:tcPr>
            <w:tcW w:type="dxa" w:w="4176"/>
            <w:shd w:fill="17365D"/>
            <w:tcMar>
              <w:top w:w="95" w:type="dxa"/>
              <w:start w:w="95" w:type="dxa"/>
              <w:bottom w:w="95" w:type="dxa"/>
              <w:end w:w="95" w:type="dxa"/>
            </w:tcMar>
            <w:vAlign w:val="center"/>
          </w:tcPr>
          <w:p>
            <w:pPr>
              <w:spacing w:after="0"/>
              <w:jc w:val="center"/>
            </w:pPr>
            <w:r>
              <w:rPr>
                <w:rFonts w:ascii="Aptos" w:hAnsi="Aptos"/>
                <w:b/>
                <w:color w:val="FFFFFF"/>
                <w:sz w:val="15"/>
              </w:rPr>
              <w:t>Required Version 1.1 treatment</w:t>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t>Dimension crosswalk</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5"/>
              </w:rPr>
              <w:t>1A uses twelve dimensions while later summaries group them. Users may think concepts disappeared.</w:t>
            </w:r>
          </w:p>
        </w:tc>
        <w:tc>
          <w:tcPr>
            <w:tcW w:type="dxa" w:w="4176"/>
            <w:tcMar>
              <w:top w:w="95" w:type="dxa"/>
              <w:start w:w="95" w:type="dxa"/>
              <w:bottom w:w="95" w:type="dxa"/>
              <w:end w:w="95" w:type="dxa"/>
            </w:tcMar>
            <w:vAlign w:val="center"/>
          </w:tcPr>
          <w:p>
            <w:pPr>
              <w:spacing w:after="0" w:line="240" w:lineRule="auto"/>
            </w:pPr>
            <w:r>
              <w:rPr>
                <w:rFonts w:ascii="Aptos" w:hAnsi="Aptos"/>
                <w:color w:val="000000"/>
                <w:sz w:val="15"/>
              </w:rPr>
              <w:t>Publish a canonical crosswalk from twelve detailed dimensions to seven or eight executive themes.</w:t>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t>Gate catalogue</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5"/>
              </w:rPr>
              <w:t>Gate names vary slightly across 1A, 1C, 1E and 1F. The logic is consistent but transfer is manual.</w:t>
            </w:r>
          </w:p>
        </w:tc>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5"/>
              </w:rPr>
              <w:t>Define one master gate catalogue with IDs, applicability and stage-specific evidence.</w:t>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t>Risk and consequence terminology</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5"/>
              </w:rPr>
              <w:t>Risk classes A–D, average risk scores and Low to Very high consequence levels serve different purposes.</w:t>
            </w:r>
          </w:p>
        </w:tc>
        <w:tc>
          <w:tcPr>
            <w:tcW w:type="dxa" w:w="4176"/>
            <w:tcMar>
              <w:top w:w="95" w:type="dxa"/>
              <w:start w:w="95" w:type="dxa"/>
              <w:bottom w:w="95" w:type="dxa"/>
              <w:end w:w="95" w:type="dxa"/>
            </w:tcMar>
            <w:vAlign w:val="center"/>
          </w:tcPr>
          <w:p>
            <w:pPr>
              <w:spacing w:after="0" w:line="240" w:lineRule="auto"/>
            </w:pPr>
            <w:r>
              <w:rPr>
                <w:rFonts w:ascii="Aptos" w:hAnsi="Aptos"/>
                <w:color w:val="000000"/>
                <w:sz w:val="15"/>
              </w:rPr>
              <w:t>Publish a mapping and state that inherent risk, consequence and residual risk are not interchangeable.</w:t>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t>Action-plan ownership</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5"/>
              </w:rPr>
              <w:t>1C, 1D and 1E contain action fields while 1G is the national plan. Duplication can produce conflicting records.</w:t>
            </w:r>
          </w:p>
        </w:tc>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5"/>
              </w:rPr>
              <w:t>Define 1G as the system of record; feeder tools retain source actions and stable IDs.</w:t>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t>Identifier model</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5"/>
              </w:rPr>
              <w:t>1D uses stable IDs and 1E references them, but no package-wide naming standard exists.</w:t>
            </w:r>
          </w:p>
        </w:tc>
        <w:tc>
          <w:tcPr>
            <w:tcW w:type="dxa" w:w="4176"/>
            <w:tcMar>
              <w:top w:w="95" w:type="dxa"/>
              <w:start w:w="95" w:type="dxa"/>
              <w:bottom w:w="95" w:type="dxa"/>
              <w:end w:w="95" w:type="dxa"/>
            </w:tcMar>
            <w:vAlign w:val="center"/>
          </w:tcPr>
          <w:p>
            <w:pPr>
              <w:spacing w:after="0" w:line="240" w:lineRule="auto"/>
            </w:pPr>
            <w:r>
              <w:rPr>
                <w:rFonts w:ascii="Aptos" w:hAnsi="Aptos"/>
                <w:color w:val="000000"/>
                <w:sz w:val="15"/>
              </w:rPr>
              <w:t>Create one ID convention for institutions, assets, flows, needs, risks, use cases, pilots, decisions and actions.</w:t>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t>Evidence references</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5"/>
              </w:rPr>
              <w:t>Evidence is required throughout, but citation fields and confidence labels are not fully standardized.</w:t>
            </w:r>
          </w:p>
        </w:tc>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5"/>
              </w:rPr>
              <w:t>Adopt a shared evidence-register schema and confidence vocabulary.</w:t>
            </w:r>
          </w:p>
        </w:tc>
      </w:tr>
      <w:tr>
        <w:tc>
          <w:tcPr>
            <w:tcW w:type="dxa" w:w="2160"/>
            <w:tcMar>
              <w:top w:w="95" w:type="dxa"/>
              <w:start w:w="95" w:type="dxa"/>
              <w:bottom w:w="95" w:type="dxa"/>
              <w:end w:w="95" w:type="dxa"/>
            </w:tcMar>
            <w:vAlign w:val="center"/>
          </w:tcPr>
          <w:p>
            <w:pPr>
              <w:spacing w:after="0" w:line="240" w:lineRule="auto"/>
            </w:pPr>
            <w:r>
              <w:rPr>
                <w:rFonts w:ascii="Aptos" w:hAnsi="Aptos"/>
                <w:color w:val="000000"/>
                <w:sz w:val="15"/>
              </w:rPr>
              <w:t>Version and change control</w:t>
            </w:r>
          </w:p>
        </w:tc>
        <w:tc>
          <w:tcPr>
            <w:tcW w:type="dxa" w:w="3456"/>
            <w:tcMar>
              <w:top w:w="95" w:type="dxa"/>
              <w:start w:w="95" w:type="dxa"/>
              <w:bottom w:w="95" w:type="dxa"/>
              <w:end w:w="95" w:type="dxa"/>
            </w:tcMar>
            <w:vAlign w:val="center"/>
          </w:tcPr>
          <w:p>
            <w:pPr>
              <w:spacing w:after="0" w:line="240" w:lineRule="auto"/>
            </w:pPr>
            <w:r>
              <w:rPr>
                <w:rFonts w:ascii="Aptos" w:hAnsi="Aptos"/>
                <w:color w:val="000000"/>
                <w:sz w:val="15"/>
              </w:rPr>
              <w:t>Each instrument has a version, but package-level compatibility is not specified.</w:t>
            </w:r>
          </w:p>
        </w:tc>
        <w:tc>
          <w:tcPr>
            <w:tcW w:type="dxa" w:w="4176"/>
            <w:tcMar>
              <w:top w:w="95" w:type="dxa"/>
              <w:start w:w="95" w:type="dxa"/>
              <w:bottom w:w="95" w:type="dxa"/>
              <w:end w:w="95" w:type="dxa"/>
            </w:tcMar>
            <w:vAlign w:val="center"/>
          </w:tcPr>
          <w:p>
            <w:pPr>
              <w:spacing w:after="0" w:line="240" w:lineRule="auto"/>
            </w:pPr>
            <w:r>
              <w:rPr>
                <w:rFonts w:ascii="Aptos" w:hAnsi="Aptos"/>
                <w:color w:val="000000"/>
                <w:sz w:val="15"/>
              </w:rPr>
              <w:t>Add a package manifest and compatibility table.</w:t>
            </w:r>
          </w:p>
        </w:tc>
      </w:tr>
      <w:tr>
        <w:tc>
          <w:tcPr>
            <w:tcW w:type="dxa" w:w="2160"/>
            <w:tcMar>
              <w:top w:w="95" w:type="dxa"/>
              <w:start w:w="95" w:type="dxa"/>
              <w:bottom w:w="95" w:type="dxa"/>
              <w:end w:w="95" w:type="dxa"/>
            </w:tcMar>
            <w:vAlign w:val="center"/>
            <w:shd w:fill="F3F6F9"/>
          </w:tcPr>
          <w:p>
            <w:pPr>
              <w:spacing w:after="0" w:line="240" w:lineRule="auto"/>
            </w:pPr>
            <w:r>
              <w:rPr>
                <w:rFonts w:ascii="Aptos" w:hAnsi="Aptos"/>
                <w:color w:val="000000"/>
                <w:sz w:val="15"/>
              </w:rPr>
              <w:t>Field facilitation</w:t>
            </w:r>
          </w:p>
        </w:tc>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5"/>
              </w:rPr>
              <w:t>The tools are operational but do not yet form a facilitator handbook.</w:t>
            </w:r>
          </w:p>
        </w:tc>
        <w:tc>
          <w:tcPr>
            <w:tcW w:type="dxa" w:w="4176"/>
            <w:tcMar>
              <w:top w:w="95" w:type="dxa"/>
              <w:start w:w="95" w:type="dxa"/>
              <w:bottom w:w="95" w:type="dxa"/>
              <w:end w:w="95" w:type="dxa"/>
            </w:tcMar>
            <w:vAlign w:val="center"/>
            <w:shd w:fill="F3F6F9"/>
          </w:tcPr>
          <w:p>
            <w:pPr>
              <w:spacing w:after="0" w:line="240" w:lineRule="auto"/>
            </w:pPr>
            <w:r>
              <w:rPr>
                <w:rFonts w:ascii="Aptos" w:hAnsi="Aptos"/>
                <w:color w:val="000000"/>
                <w:sz w:val="15"/>
              </w:rPr>
              <w:t>Create country-session agendas, respondent routing, evidence-request lists and consolidation instructions.</w:t>
            </w:r>
          </w:p>
        </w:tc>
      </w:tr>
    </w:tbl>
    <w:p>
      <w:pPr>
        <w:spacing w:after="20"/>
      </w:pPr>
    </w:p>
    <w:p>
      <w:pPr>
        <w:pStyle w:val="Heading1"/>
      </w:pPr>
      <w:r>
        <w:t>6 Duplication and system of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3456"/>
            <w:shd w:fill="17365D"/>
            <w:tcMar>
              <w:top w:w="95" w:type="dxa"/>
              <w:start w:w="95" w:type="dxa"/>
              <w:bottom w:w="95" w:type="dxa"/>
              <w:end w:w="95" w:type="dxa"/>
            </w:tcMar>
            <w:vAlign w:val="center"/>
          </w:tcPr>
          <w:p>
            <w:pPr>
              <w:spacing w:after="0"/>
              <w:jc w:val="center"/>
            </w:pPr>
            <w:r>
              <w:rPr>
                <w:rFonts w:ascii="Aptos" w:hAnsi="Aptos"/>
                <w:b/>
                <w:color w:val="FFFFFF"/>
                <w:sz w:val="16"/>
              </w:rPr>
              <w:t>Information object</w:t>
            </w:r>
          </w:p>
        </w:tc>
        <w:tc>
          <w:tcPr>
            <w:tcW w:type="dxa" w:w="3168"/>
            <w:shd w:fill="17365D"/>
            <w:tcMar>
              <w:top w:w="95" w:type="dxa"/>
              <w:start w:w="95" w:type="dxa"/>
              <w:bottom w:w="95" w:type="dxa"/>
              <w:end w:w="95" w:type="dxa"/>
            </w:tcMar>
            <w:vAlign w:val="center"/>
          </w:tcPr>
          <w:p>
            <w:pPr>
              <w:spacing w:after="0"/>
              <w:jc w:val="center"/>
            </w:pPr>
            <w:r>
              <w:rPr>
                <w:rFonts w:ascii="Aptos" w:hAnsi="Aptos"/>
                <w:b/>
                <w:color w:val="FFFFFF"/>
                <w:sz w:val="16"/>
              </w:rPr>
              <w:t>Create or maintain in</w:t>
            </w:r>
          </w:p>
        </w:tc>
        <w:tc>
          <w:tcPr>
            <w:tcW w:type="dxa" w:w="3168"/>
            <w:shd w:fill="17365D"/>
            <w:tcMar>
              <w:top w:w="95" w:type="dxa"/>
              <w:start w:w="95" w:type="dxa"/>
              <w:bottom w:w="95" w:type="dxa"/>
              <w:end w:w="95" w:type="dxa"/>
            </w:tcMar>
            <w:vAlign w:val="center"/>
          </w:tcPr>
          <w:p>
            <w:pPr>
              <w:spacing w:after="0"/>
              <w:jc w:val="center"/>
            </w:pPr>
            <w:r>
              <w:rPr>
                <w:rFonts w:ascii="Aptos" w:hAnsi="Aptos"/>
                <w:b/>
                <w:color w:val="FFFFFF"/>
                <w:sz w:val="16"/>
              </w:rPr>
              <w:t>Referenced by</w:t>
            </w:r>
          </w:p>
        </w:tc>
      </w:tr>
      <w:tr>
        <w:tc>
          <w:tcPr>
            <w:tcW w:type="dxa" w:w="3456"/>
            <w:tcMar>
              <w:top w:w="95" w:type="dxa"/>
              <w:start w:w="95" w:type="dxa"/>
              <w:bottom w:w="95" w:type="dxa"/>
              <w:end w:w="95" w:type="dxa"/>
            </w:tcMar>
            <w:vAlign w:val="center"/>
          </w:tcPr>
          <w:p>
            <w:pPr>
              <w:spacing w:after="0" w:line="240" w:lineRule="auto"/>
            </w:pPr>
            <w:r>
              <w:rPr>
                <w:rFonts w:ascii="Aptos" w:hAnsi="Aptos"/>
                <w:color w:val="000000"/>
                <w:sz w:val="16"/>
              </w:rPr>
              <w:t>Institution, data asset, flow, user need and coordination arrangement</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1D ecosystem map</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1B, 1E and 1G</w:t>
            </w:r>
          </w:p>
        </w:tc>
      </w:tr>
      <w:tr>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6"/>
              </w:rPr>
              <w:t>Readiness response and evidence</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1B questionnaire</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1C and 1G</w:t>
            </w:r>
          </w:p>
        </w:tc>
      </w:tr>
      <w:tr>
        <w:tc>
          <w:tcPr>
            <w:tcW w:type="dxa" w:w="3456"/>
            <w:tcMar>
              <w:top w:w="95" w:type="dxa"/>
              <w:start w:w="95" w:type="dxa"/>
              <w:bottom w:w="95" w:type="dxa"/>
              <w:end w:w="95" w:type="dxa"/>
            </w:tcMar>
            <w:vAlign w:val="center"/>
          </w:tcPr>
          <w:p>
            <w:pPr>
              <w:spacing w:after="0" w:line="240" w:lineRule="auto"/>
            </w:pPr>
            <w:r>
              <w:rPr>
                <w:rFonts w:ascii="Aptos" w:hAnsi="Aptos"/>
                <w:color w:val="000000"/>
                <w:sz w:val="16"/>
              </w:rPr>
              <w:t>Maturity score, target and gate decision</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1C scoring workbook</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1E and 1G</w:t>
            </w:r>
          </w:p>
        </w:tc>
      </w:tr>
      <w:tr>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6"/>
              </w:rPr>
              <w:t>Use case and portfolio decision</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1E toolkit</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1F and 1G</w:t>
            </w:r>
          </w:p>
        </w:tc>
      </w:tr>
      <w:tr>
        <w:tc>
          <w:tcPr>
            <w:tcW w:type="dxa" w:w="3456"/>
            <w:tcMar>
              <w:top w:w="95" w:type="dxa"/>
              <w:start w:w="95" w:type="dxa"/>
              <w:bottom w:w="95" w:type="dxa"/>
              <w:end w:w="95" w:type="dxa"/>
            </w:tcMar>
            <w:vAlign w:val="center"/>
          </w:tcPr>
          <w:p>
            <w:pPr>
              <w:spacing w:after="0" w:line="240" w:lineRule="auto"/>
            </w:pPr>
            <w:r>
              <w:rPr>
                <w:rFonts w:ascii="Aptos" w:hAnsi="Aptos"/>
                <w:color w:val="000000"/>
                <w:sz w:val="16"/>
              </w:rPr>
              <w:t>Pilot evidence and assurance decision</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1F protocol</w:t>
            </w:r>
          </w:p>
        </w:tc>
        <w:tc>
          <w:tcPr>
            <w:tcW w:type="dxa" w:w="3168"/>
            <w:tcMar>
              <w:top w:w="95" w:type="dxa"/>
              <w:start w:w="95" w:type="dxa"/>
              <w:bottom w:w="95" w:type="dxa"/>
              <w:end w:w="95" w:type="dxa"/>
            </w:tcMar>
            <w:vAlign w:val="center"/>
          </w:tcPr>
          <w:p>
            <w:pPr>
              <w:spacing w:after="0" w:line="240" w:lineRule="auto"/>
            </w:pPr>
            <w:r>
              <w:rPr>
                <w:rFonts w:ascii="Aptos" w:hAnsi="Aptos"/>
                <w:color w:val="000000"/>
                <w:sz w:val="16"/>
              </w:rPr>
              <w:t>1G and production governance</w:t>
            </w:r>
          </w:p>
        </w:tc>
      </w:tr>
      <w:tr>
        <w:tc>
          <w:tcPr>
            <w:tcW w:type="dxa" w:w="3456"/>
            <w:tcMar>
              <w:top w:w="95" w:type="dxa"/>
              <w:start w:w="95" w:type="dxa"/>
              <w:bottom w:w="95" w:type="dxa"/>
              <w:end w:w="95" w:type="dxa"/>
            </w:tcMar>
            <w:vAlign w:val="center"/>
            <w:shd w:fill="F3F6F9"/>
          </w:tcPr>
          <w:p>
            <w:pPr>
              <w:spacing w:after="0" w:line="240" w:lineRule="auto"/>
            </w:pPr>
            <w:r>
              <w:rPr>
                <w:rFonts w:ascii="Aptos" w:hAnsi="Aptos"/>
                <w:color w:val="000000"/>
                <w:sz w:val="16"/>
              </w:rPr>
              <w:t>National action, cost, indicator and annual status</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1G action plan</w:t>
            </w:r>
          </w:p>
        </w:tc>
        <w:tc>
          <w:tcPr>
            <w:tcW w:type="dxa" w:w="3168"/>
            <w:tcMar>
              <w:top w:w="95" w:type="dxa"/>
              <w:start w:w="95" w:type="dxa"/>
              <w:bottom w:w="95" w:type="dxa"/>
              <w:end w:w="95" w:type="dxa"/>
            </w:tcMar>
            <w:vAlign w:val="center"/>
            <w:shd w:fill="F3F6F9"/>
          </w:tcPr>
          <w:p>
            <w:pPr>
              <w:spacing w:after="0" w:line="240" w:lineRule="auto"/>
            </w:pPr>
            <w:r>
              <w:rPr>
                <w:rFonts w:ascii="Aptos" w:hAnsi="Aptos"/>
                <w:color w:val="000000"/>
                <w:sz w:val="16"/>
              </w:rPr>
              <w:t>Programme management and Phase 2</w:t>
            </w:r>
          </w:p>
        </w:tc>
      </w:tr>
    </w:tbl>
    <w:p>
      <w:pPr>
        <w:spacing w:after="20"/>
      </w:pPr>
    </w:p>
    <w:p>
      <w:r>
        <w:t>Feeder instruments should not be stripped of their action fields because actions arise during diagnosis. The improvement is to assign stable action IDs and require approved national actions to be consolidated in 1G. Source records remain linked evidence, not competing plans.</w:t>
      </w:r>
    </w:p>
    <w:p>
      <w:pPr>
        <w:pStyle w:val="Heading1"/>
      </w:pPr>
      <w:r>
        <w:t>7 Minimum viable and full implementation pathways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2088"/>
            <w:shd w:fill="17365D"/>
            <w:tcMar>
              <w:top w:w="95" w:type="dxa"/>
              <w:start w:w="95" w:type="dxa"/>
              <w:bottom w:w="95" w:type="dxa"/>
              <w:end w:w="95" w:type="dxa"/>
            </w:tcMar>
            <w:vAlign w:val="center"/>
          </w:tcPr>
          <w:p>
            <w:pPr>
              <w:spacing w:after="0"/>
              <w:jc w:val="center"/>
            </w:pPr>
            <w:r>
              <w:rPr>
                <w:rFonts w:ascii="Aptos" w:hAnsi="Aptos"/>
                <w:b/>
                <w:color w:val="FFFFFF"/>
                <w:sz w:val="16"/>
              </w:rPr>
              <w:t>Pathway</w:t>
            </w:r>
          </w:p>
        </w:tc>
        <w:tc>
          <w:tcPr>
            <w:tcW w:type="dxa" w:w="3312"/>
            <w:shd w:fill="17365D"/>
            <w:tcMar>
              <w:top w:w="95" w:type="dxa"/>
              <w:start w:w="95" w:type="dxa"/>
              <w:bottom w:w="95" w:type="dxa"/>
              <w:end w:w="95" w:type="dxa"/>
            </w:tcMar>
            <w:vAlign w:val="center"/>
          </w:tcPr>
          <w:p>
            <w:pPr>
              <w:spacing w:after="0"/>
              <w:jc w:val="center"/>
            </w:pPr>
            <w:r>
              <w:rPr>
                <w:rFonts w:ascii="Aptos" w:hAnsi="Aptos"/>
                <w:b/>
                <w:color w:val="FFFFFF"/>
                <w:sz w:val="16"/>
              </w:rPr>
              <w:t>Suitable context</w:t>
            </w:r>
          </w:p>
        </w:tc>
        <w:tc>
          <w:tcPr>
            <w:tcW w:type="dxa" w:w="5112"/>
            <w:shd w:fill="17365D"/>
            <w:tcMar>
              <w:top w:w="95" w:type="dxa"/>
              <w:start w:w="95" w:type="dxa"/>
              <w:bottom w:w="95" w:type="dxa"/>
              <w:end w:w="95" w:type="dxa"/>
            </w:tcMar>
            <w:vAlign w:val="center"/>
          </w:tcPr>
          <w:p>
            <w:pPr>
              <w:spacing w:after="0"/>
              <w:jc w:val="center"/>
            </w:pPr>
            <w:r>
              <w:rPr>
                <w:rFonts w:ascii="Aptos" w:hAnsi="Aptos"/>
                <w:b/>
                <w:color w:val="FFFFFF"/>
                <w:sz w:val="16"/>
              </w:rPr>
              <w:t>Minimum sequence</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Minimum viable assessment</w:t>
            </w:r>
          </w:p>
        </w:tc>
        <w:tc>
          <w:tcPr>
            <w:tcW w:type="dxa" w:w="3312"/>
            <w:tcMar>
              <w:top w:w="95" w:type="dxa"/>
              <w:start w:w="95" w:type="dxa"/>
              <w:bottom w:w="95" w:type="dxa"/>
              <w:end w:w="95" w:type="dxa"/>
            </w:tcMar>
            <w:vAlign w:val="center"/>
          </w:tcPr>
          <w:p>
            <w:pPr>
              <w:spacing w:after="0" w:line="240" w:lineRule="auto"/>
            </w:pPr>
            <w:r>
              <w:rPr>
                <w:rFonts w:ascii="Aptos" w:hAnsi="Aptos"/>
                <w:color w:val="000000"/>
                <w:sz w:val="16"/>
              </w:rPr>
              <w:t>Limited staff or financing, early national discussion, or one priority sector.</w:t>
            </w:r>
          </w:p>
        </w:tc>
        <w:tc>
          <w:tcPr>
            <w:tcW w:type="dxa" w:w="5112"/>
            <w:tcMar>
              <w:top w:w="95" w:type="dxa"/>
              <w:start w:w="95" w:type="dxa"/>
              <w:bottom w:w="95" w:type="dxa"/>
              <w:end w:w="95" w:type="dxa"/>
            </w:tcMar>
            <w:vAlign w:val="center"/>
          </w:tcPr>
          <w:p>
            <w:pPr>
              <w:spacing w:after="0" w:line="240" w:lineRule="auto"/>
            </w:pPr>
            <w:r>
              <w:rPr>
                <w:rFonts w:ascii="Aptos" w:hAnsi="Aptos"/>
                <w:color w:val="000000"/>
                <w:sz w:val="16"/>
              </w:rPr>
              <w:t>1A scope; selected 1B respondents; 1D critical actors and flows; 1C gates and priority dimensions; up to three 1E use cases; one 1F pilot charter; concise 1G plan.</w:t>
            </w:r>
          </w:p>
        </w:tc>
      </w:tr>
      <w:tr>
        <w:tc>
          <w:tcPr>
            <w:tcW w:type="dxa" w:w="2088"/>
            <w:tcMar>
              <w:top w:w="95" w:type="dxa"/>
              <w:start w:w="95" w:type="dxa"/>
              <w:bottom w:w="95" w:type="dxa"/>
              <w:end w:w="95" w:type="dxa"/>
            </w:tcMar>
            <w:vAlign w:val="center"/>
            <w:shd w:fill="F3F6F9"/>
          </w:tcPr>
          <w:p>
            <w:pPr>
              <w:spacing w:after="0" w:line="240" w:lineRule="auto"/>
            </w:pPr>
            <w:r>
              <w:rPr>
                <w:rFonts w:ascii="Aptos" w:hAnsi="Aptos"/>
                <w:color w:val="000000"/>
                <w:sz w:val="16"/>
              </w:rPr>
              <w:t>Standard national assessment</w:t>
            </w:r>
          </w:p>
        </w:tc>
        <w:tc>
          <w:tcPr>
            <w:tcW w:type="dxa" w:w="3312"/>
            <w:tcMar>
              <w:top w:w="95" w:type="dxa"/>
              <w:start w:w="95" w:type="dxa"/>
              <w:bottom w:w="95" w:type="dxa"/>
              <w:end w:w="95" w:type="dxa"/>
            </w:tcMar>
            <w:vAlign w:val="center"/>
            <w:shd w:fill="F3F6F9"/>
          </w:tcPr>
          <w:p>
            <w:pPr>
              <w:spacing w:after="0" w:line="240" w:lineRule="auto"/>
            </w:pPr>
            <w:r>
              <w:rPr>
                <w:rFonts w:ascii="Aptos" w:hAnsi="Aptos"/>
                <w:color w:val="000000"/>
                <w:sz w:val="16"/>
              </w:rPr>
              <w:t>Country-wide diagnosis with several producers and data sources.</w:t>
            </w:r>
          </w:p>
        </w:tc>
        <w:tc>
          <w:tcPr>
            <w:tcW w:type="dxa" w:w="5112"/>
            <w:tcMar>
              <w:top w:w="95" w:type="dxa"/>
              <w:start w:w="95" w:type="dxa"/>
              <w:bottom w:w="95" w:type="dxa"/>
              <w:end w:w="95" w:type="dxa"/>
            </w:tcMar>
            <w:vAlign w:val="center"/>
            <w:shd w:fill="F3F6F9"/>
          </w:tcPr>
          <w:p>
            <w:pPr>
              <w:spacing w:after="0" w:line="240" w:lineRule="auto"/>
            </w:pPr>
            <w:r>
              <w:rPr>
                <w:rFonts w:ascii="Aptos" w:hAnsi="Aptos"/>
                <w:color w:val="000000"/>
                <w:sz w:val="16"/>
              </w:rPr>
              <w:t>Complete 1A–1G workflow with stakeholder validation and costed three-year plan.</w:t>
            </w:r>
          </w:p>
        </w:tc>
      </w:tr>
      <w:tr>
        <w:tc>
          <w:tcPr>
            <w:tcW w:type="dxa" w:w="2088"/>
            <w:tcMar>
              <w:top w:w="95" w:type="dxa"/>
              <w:start w:w="95" w:type="dxa"/>
              <w:bottom w:w="95" w:type="dxa"/>
              <w:end w:w="95" w:type="dxa"/>
            </w:tcMar>
            <w:vAlign w:val="center"/>
          </w:tcPr>
          <w:p>
            <w:pPr>
              <w:spacing w:after="0" w:line="240" w:lineRule="auto"/>
            </w:pPr>
            <w:r>
              <w:rPr>
                <w:rFonts w:ascii="Aptos" w:hAnsi="Aptos"/>
                <w:color w:val="000000"/>
                <w:sz w:val="16"/>
              </w:rPr>
              <w:t>Advanced or federated assessment</w:t>
            </w:r>
          </w:p>
        </w:tc>
        <w:tc>
          <w:tcPr>
            <w:tcW w:type="dxa" w:w="3312"/>
            <w:tcMar>
              <w:top w:w="95" w:type="dxa"/>
              <w:start w:w="95" w:type="dxa"/>
              <w:bottom w:w="95" w:type="dxa"/>
              <w:end w:w="95" w:type="dxa"/>
            </w:tcMar>
            <w:vAlign w:val="center"/>
          </w:tcPr>
          <w:p>
            <w:pPr>
              <w:spacing w:after="0" w:line="240" w:lineRule="auto"/>
            </w:pPr>
            <w:r>
              <w:rPr>
                <w:rFonts w:ascii="Aptos" w:hAnsi="Aptos"/>
                <w:color w:val="000000"/>
                <w:sz w:val="16"/>
              </w:rPr>
              <w:t>Large decentralized system or established AI portfolio.</w:t>
            </w:r>
          </w:p>
        </w:tc>
        <w:tc>
          <w:tcPr>
            <w:tcW w:type="dxa" w:w="5112"/>
            <w:tcMar>
              <w:top w:w="95" w:type="dxa"/>
              <w:start w:w="95" w:type="dxa"/>
              <w:bottom w:w="95" w:type="dxa"/>
              <w:end w:w="95" w:type="dxa"/>
            </w:tcMar>
            <w:vAlign w:val="center"/>
          </w:tcPr>
          <w:p>
            <w:pPr>
              <w:spacing w:after="0" w:line="240" w:lineRule="auto"/>
            </w:pPr>
            <w:r>
              <w:rPr>
                <w:rFonts w:ascii="Aptos" w:hAnsi="Aptos"/>
                <w:color w:val="000000"/>
                <w:sz w:val="16"/>
              </w:rPr>
              <w:t>Sector assessments, shared standards, automated inventories, independent validation and national synthesis.</w:t>
            </w:r>
          </w:p>
        </w:tc>
      </w:tr>
    </w:tbl>
    <w:p>
      <w:pPr>
        <w:spacing w:after="20"/>
      </w:pPr>
    </w:p>
    <w:p>
      <w:pPr>
        <w:pStyle w:val="Heading2"/>
      </w:pPr>
      <w:r>
        <w:t>Minimum safeguards that never reduce</w:t>
      </w:r>
    </w:p>
    <w:p>
      <w:pPr>
        <w:pStyle w:val="ListBullet"/>
        <w:spacing w:after="60"/>
      </w:pPr>
      <w:r>
        <w:t>Named accountable statistical owner.</w:t>
      </w:r>
    </w:p>
    <w:p>
      <w:pPr>
        <w:pStyle w:val="ListBullet"/>
        <w:spacing w:after="60"/>
      </w:pPr>
      <w:r>
        <w:t>Lawful purpose and approved data access.</w:t>
      </w:r>
    </w:p>
    <w:p>
      <w:pPr>
        <w:pStyle w:val="ListBullet"/>
        <w:spacing w:after="60"/>
      </w:pPr>
      <w:r>
        <w:t>Statistical benchmark and acceptance criteria.</w:t>
      </w:r>
    </w:p>
    <w:p>
      <w:pPr>
        <w:pStyle w:val="ListBullet"/>
        <w:spacing w:after="60"/>
      </w:pPr>
      <w:r>
        <w:t>Secure approved environment.</w:t>
      </w:r>
    </w:p>
    <w:p>
      <w:pPr>
        <w:pStyle w:val="ListBullet"/>
        <w:spacing w:after="60"/>
      </w:pPr>
      <w:r>
        <w:t>Meaningful human review and release authority.</w:t>
      </w:r>
    </w:p>
    <w:p>
      <w:pPr>
        <w:pStyle w:val="ListBullet"/>
        <w:spacing w:after="60"/>
      </w:pPr>
      <w:r>
        <w:t>Reproducibility, monitoring, incident response and fallback.</w:t>
      </w:r>
    </w:p>
    <w:p>
      <w:pPr>
        <w:pStyle w:val="Heading1"/>
      </w:pPr>
      <w:r>
        <w:t>8 Field test before broad rollout</w:t>
      </w:r>
    </w:p>
    <w:p>
      <w:r>
        <w:t>The first application should be treated as a structured field test of the package as well as a country diagnostic. It should involve an NSO, at least two sector producers, an administrative-data owner and one research or geospatial institution. Agriculture is a suitable first domain because it exercises survey, census, administrative, research and earth-observation sources together.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7"/>
        <w:gridCol w:w="5047"/>
      </w:tblGrid>
      <w:tr>
        <w:trPr>
          <w:tblHeader w:val="true"/>
        </w:trPr>
        <w:tc>
          <w:tcPr>
            <w:tcW w:type="dxa" w:w="2520"/>
            <w:shd w:fill="17365D"/>
            <w:tcMar>
              <w:top w:w="95" w:type="dxa"/>
              <w:start w:w="95" w:type="dxa"/>
              <w:bottom w:w="95" w:type="dxa"/>
              <w:end w:w="95" w:type="dxa"/>
            </w:tcMar>
            <w:vAlign w:val="center"/>
          </w:tcPr>
          <w:p>
            <w:pPr>
              <w:spacing w:after="0"/>
              <w:jc w:val="center"/>
            </w:pPr>
            <w:r>
              <w:rPr>
                <w:rFonts w:ascii="Aptos" w:hAnsi="Aptos"/>
                <w:b/>
                <w:color w:val="FFFFFF"/>
                <w:sz w:val="17"/>
              </w:rPr>
              <w:t>Field-test step</w:t>
            </w:r>
          </w:p>
        </w:tc>
        <w:tc>
          <w:tcPr>
            <w:tcW w:type="dxa" w:w="7272"/>
            <w:shd w:fill="17365D"/>
            <w:tcMar>
              <w:top w:w="95" w:type="dxa"/>
              <w:start w:w="95" w:type="dxa"/>
              <w:bottom w:w="95" w:type="dxa"/>
              <w:end w:w="95" w:type="dxa"/>
            </w:tcMar>
            <w:vAlign w:val="center"/>
          </w:tcPr>
          <w:p>
            <w:pPr>
              <w:spacing w:after="0"/>
              <w:jc w:val="center"/>
            </w:pPr>
            <w:r>
              <w:rPr>
                <w:rFonts w:ascii="Aptos" w:hAnsi="Aptos"/>
                <w:b/>
                <w:color w:val="FFFFFF"/>
                <w:sz w:val="17"/>
              </w:rPr>
              <w:t>Output</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7"/>
              </w:rPr>
              <w:t>Preparation</w:t>
            </w:r>
          </w:p>
        </w:tc>
        <w:tc>
          <w:tcPr>
            <w:tcW w:type="dxa" w:w="7272"/>
            <w:tcMar>
              <w:top w:w="95" w:type="dxa"/>
              <w:start w:w="95" w:type="dxa"/>
              <w:bottom w:w="95" w:type="dxa"/>
              <w:end w:w="95" w:type="dxa"/>
            </w:tcMar>
            <w:vAlign w:val="center"/>
          </w:tcPr>
          <w:p>
            <w:pPr>
              <w:spacing w:after="0" w:line="240" w:lineRule="auto"/>
            </w:pPr>
            <w:r>
              <w:rPr>
                <w:rFonts w:ascii="Aptos" w:hAnsi="Aptos"/>
                <w:color w:val="000000"/>
                <w:sz w:val="17"/>
              </w:rPr>
              <w:t>National sponsor, scope, institutional sample, document request and facilitator team.</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7"/>
              </w:rPr>
              <w:t>Evidence collection</w:t>
            </w:r>
          </w:p>
        </w:tc>
        <w:tc>
          <w:tcPr>
            <w:tcW w:type="dxa" w:w="7272"/>
            <w:tcMar>
              <w:top w:w="95" w:type="dxa"/>
              <w:start w:w="95" w:type="dxa"/>
              <w:bottom w:w="95" w:type="dxa"/>
              <w:end w:w="95" w:type="dxa"/>
            </w:tcMar>
            <w:vAlign w:val="center"/>
            <w:shd w:fill="F3F6F9"/>
          </w:tcPr>
          <w:p>
            <w:pPr>
              <w:spacing w:after="0" w:line="240" w:lineRule="auto"/>
            </w:pPr>
            <w:r>
              <w:rPr>
                <w:rFonts w:ascii="Aptos" w:hAnsi="Aptos"/>
                <w:color w:val="000000"/>
                <w:sz w:val="17"/>
              </w:rPr>
              <w:t>Completed 1B responses and selected interviews with cited evidence.</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7"/>
              </w:rPr>
              <w:t>Ecosystem mapping</w:t>
            </w:r>
          </w:p>
        </w:tc>
        <w:tc>
          <w:tcPr>
            <w:tcW w:type="dxa" w:w="7272"/>
            <w:tcMar>
              <w:top w:w="95" w:type="dxa"/>
              <w:start w:w="95" w:type="dxa"/>
              <w:bottom w:w="95" w:type="dxa"/>
              <w:end w:w="95" w:type="dxa"/>
            </w:tcMar>
            <w:vAlign w:val="center"/>
          </w:tcPr>
          <w:p>
            <w:pPr>
              <w:spacing w:after="0" w:line="240" w:lineRule="auto"/>
            </w:pPr>
            <w:r>
              <w:rPr>
                <w:rFonts w:ascii="Aptos" w:hAnsi="Aptos"/>
                <w:color w:val="000000"/>
                <w:sz w:val="17"/>
              </w:rPr>
              <w:t>Validated actors, critical assets, flows, user needs and coordination gaps.</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7"/>
              </w:rPr>
              <w:t>Consensus and challenge</w:t>
            </w:r>
          </w:p>
        </w:tc>
        <w:tc>
          <w:tcPr>
            <w:tcW w:type="dxa" w:w="7272"/>
            <w:tcMar>
              <w:top w:w="95" w:type="dxa"/>
              <w:start w:w="95" w:type="dxa"/>
              <w:bottom w:w="95" w:type="dxa"/>
              <w:end w:w="95" w:type="dxa"/>
            </w:tcMar>
            <w:vAlign w:val="center"/>
            <w:shd w:fill="F3F6F9"/>
          </w:tcPr>
          <w:p>
            <w:pPr>
              <w:spacing w:after="0" w:line="240" w:lineRule="auto"/>
            </w:pPr>
            <w:r>
              <w:rPr>
                <w:rFonts w:ascii="Aptos" w:hAnsi="Aptos"/>
                <w:color w:val="000000"/>
                <w:sz w:val="17"/>
              </w:rPr>
              <w:t>Agreed readiness profiles, disputed findings and independent reviewer comments.</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7"/>
              </w:rPr>
              <w:t>Use-case workshop</w:t>
            </w:r>
          </w:p>
        </w:tc>
        <w:tc>
          <w:tcPr>
            <w:tcW w:type="dxa" w:w="7272"/>
            <w:tcMar>
              <w:top w:w="95" w:type="dxa"/>
              <w:start w:w="95" w:type="dxa"/>
              <w:bottom w:w="95" w:type="dxa"/>
              <w:end w:w="95" w:type="dxa"/>
            </w:tcMar>
            <w:vAlign w:val="center"/>
          </w:tcPr>
          <w:p>
            <w:pPr>
              <w:spacing w:after="0" w:line="240" w:lineRule="auto"/>
            </w:pPr>
            <w:r>
              <w:rPr>
                <w:rFonts w:ascii="Aptos" w:hAnsi="Aptos"/>
                <w:color w:val="000000"/>
                <w:sz w:val="17"/>
              </w:rPr>
              <w:t>Prioritized portfolio with gate results and no more than three pilot candidates.</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7"/>
              </w:rPr>
              <w:t>Pilot design</w:t>
            </w:r>
          </w:p>
        </w:tc>
        <w:tc>
          <w:tcPr>
            <w:tcW w:type="dxa" w:w="7272"/>
            <w:tcMar>
              <w:top w:w="95" w:type="dxa"/>
              <w:start w:w="95" w:type="dxa"/>
              <w:bottom w:w="95" w:type="dxa"/>
              <w:end w:w="95" w:type="dxa"/>
            </w:tcMar>
            <w:vAlign w:val="center"/>
            <w:shd w:fill="F3F6F9"/>
          </w:tcPr>
          <w:p>
            <w:pPr>
              <w:spacing w:after="0" w:line="240" w:lineRule="auto"/>
            </w:pPr>
            <w:r>
              <w:rPr>
                <w:rFonts w:ascii="Aptos" w:hAnsi="Aptos"/>
                <w:color w:val="000000"/>
                <w:sz w:val="17"/>
              </w:rPr>
              <w:t>At least one complete Phase 1F charter and evaluation matrix.</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7"/>
              </w:rPr>
              <w:t>National synthesis</w:t>
            </w:r>
          </w:p>
        </w:tc>
        <w:tc>
          <w:tcPr>
            <w:tcW w:type="dxa" w:w="7272"/>
            <w:tcMar>
              <w:top w:w="95" w:type="dxa"/>
              <w:start w:w="95" w:type="dxa"/>
              <w:bottom w:w="95" w:type="dxa"/>
              <w:end w:w="95" w:type="dxa"/>
            </w:tcMar>
            <w:vAlign w:val="center"/>
          </w:tcPr>
          <w:p>
            <w:pPr>
              <w:spacing w:after="0" w:line="240" w:lineRule="auto"/>
            </w:pPr>
            <w:r>
              <w:rPr>
                <w:rFonts w:ascii="Aptos" w:hAnsi="Aptos"/>
                <w:color w:val="000000"/>
                <w:sz w:val="17"/>
              </w:rPr>
              <w:t>Draft 1G diagnosis, action plan, costs, indicators and approvals.</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7"/>
              </w:rPr>
              <w:t>Package evaluation</w:t>
            </w:r>
          </w:p>
        </w:tc>
        <w:tc>
          <w:tcPr>
            <w:tcW w:type="dxa" w:w="7272"/>
            <w:tcMar>
              <w:top w:w="95" w:type="dxa"/>
              <w:start w:w="95" w:type="dxa"/>
              <w:bottom w:w="95" w:type="dxa"/>
              <w:end w:w="95" w:type="dxa"/>
            </w:tcMar>
            <w:vAlign w:val="center"/>
            <w:shd w:fill="F3F6F9"/>
          </w:tcPr>
          <w:p>
            <w:pPr>
              <w:spacing w:after="0" w:line="240" w:lineRule="auto"/>
            </w:pPr>
            <w:r>
              <w:rPr>
                <w:rFonts w:ascii="Aptos" w:hAnsi="Aptos"/>
                <w:color w:val="000000"/>
                <w:sz w:val="17"/>
              </w:rPr>
              <w:t>User burden, ambiguous questions, duplicated entry, missing fields, calculation issues and facilitator lessons.</w:t>
            </w:r>
          </w:p>
        </w:tc>
      </w:tr>
    </w:tbl>
    <w:p>
      <w:pPr>
        <w:spacing w:after="20"/>
      </w:pPr>
    </w:p>
    <w:p>
      <w:pPr>
        <w:pStyle w:val="Heading2"/>
      </w:pPr>
      <w:r>
        <w:t>Field-test success criteria</w:t>
      </w:r>
    </w:p>
    <w:p>
      <w:pPr>
        <w:pStyle w:val="ListBullet"/>
        <w:spacing w:after="60"/>
      </w:pPr>
      <w:r>
        <w:t>Institutions can complete the instruments without inventing evidence.</w:t>
      </w:r>
    </w:p>
    <w:p>
      <w:pPr>
        <w:pStyle w:val="ListBullet"/>
        <w:spacing w:after="60"/>
      </w:pPr>
      <w:r>
        <w:t>Material findings are traceable across tools through stable IDs.</w:t>
      </w:r>
    </w:p>
    <w:p>
      <w:pPr>
        <w:pStyle w:val="ListBullet"/>
        <w:spacing w:after="60"/>
      </w:pPr>
      <w:r>
        <w:t>Gate decisions are consistent when reviewed by different teams.</w:t>
      </w:r>
    </w:p>
    <w:p>
      <w:pPr>
        <w:pStyle w:val="ListBullet"/>
        <w:spacing w:after="60"/>
      </w:pPr>
      <w:r>
        <w:t>The resulting plan identifies realistic owners, dependencies and recurring costs.</w:t>
      </w:r>
    </w:p>
    <w:p>
      <w:pPr>
        <w:pStyle w:val="ListBullet"/>
        <w:spacing w:after="60"/>
      </w:pPr>
      <w:r>
        <w:t>At least one selected pilot can be expressed as testable claims and stopping rules.</w:t>
      </w:r>
    </w:p>
    <w:p>
      <w:pPr>
        <w:pStyle w:val="ListBullet"/>
        <w:spacing w:after="60"/>
      </w:pPr>
      <w:r>
        <w:t>Resource-constrained institutions can participate without being treated as uniformly unready.</w:t>
      </w:r>
    </w:p>
    <w:p>
      <w:pPr>
        <w:pStyle w:val="Heading1"/>
      </w:pPr>
      <w:r>
        <w:t>9 Version 1.1 harmonization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6"/>
              </w:rPr>
              <w:t>Priority</w:t>
            </w:r>
          </w:p>
        </w:tc>
        <w:tc>
          <w:tcPr>
            <w:tcW w:type="dxa" w:w="7056"/>
            <w:shd w:fill="17365D"/>
            <w:tcMar>
              <w:top w:w="95" w:type="dxa"/>
              <w:start w:w="95" w:type="dxa"/>
              <w:bottom w:w="95" w:type="dxa"/>
              <w:end w:w="95" w:type="dxa"/>
            </w:tcMar>
            <w:vAlign w:val="center"/>
          </w:tcPr>
          <w:p>
            <w:pPr>
              <w:spacing w:after="0"/>
              <w:jc w:val="center"/>
            </w:pPr>
            <w:r>
              <w:rPr>
                <w:rFonts w:ascii="Aptos" w:hAnsi="Aptos"/>
                <w:b/>
                <w:color w:val="FFFFFF"/>
                <w:sz w:val="16"/>
              </w:rPr>
              <w:t>Change</w:t>
            </w:r>
          </w:p>
        </w:tc>
        <w:tc>
          <w:tcPr>
            <w:tcW w:type="dxa" w:w="1728"/>
            <w:shd w:fill="17365D"/>
            <w:tcMar>
              <w:top w:w="95" w:type="dxa"/>
              <w:start w:w="95" w:type="dxa"/>
              <w:bottom w:w="95" w:type="dxa"/>
              <w:end w:w="95" w:type="dxa"/>
            </w:tcMar>
            <w:vAlign w:val="center"/>
          </w:tcPr>
          <w:p>
            <w:pPr>
              <w:spacing w:after="0"/>
              <w:jc w:val="center"/>
            </w:pPr>
            <w:r>
              <w:rPr>
                <w:rFonts w:ascii="Aptos" w:hAnsi="Aptos"/>
                <w:b/>
                <w:color w:val="FFFFFF"/>
                <w:sz w:val="16"/>
              </w:rPr>
              <w:t>Timing</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1</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6"/>
              </w:rPr>
              <w:t>Master data dictionary, identifier convention and evidence-register schema.</w:t>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t>Before first field deployment.</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1</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6"/>
              </w:rPr>
              <w:t>Canonical gate catalogue and risk or consequence crosswalk.</w:t>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t>Before first field deployment.</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1</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6"/>
              </w:rPr>
              <w:t>Handoff instructions and system-of-record rules.</w:t>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t>Before first field deployment.</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2</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6"/>
              </w:rPr>
              <w:t>Facilitator handbook and minimum viable pathway.</w:t>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t>During field-test preparation.</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2</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6"/>
              </w:rPr>
              <w:t>Localization guide for law, language, classifications and institutional arrangements.</w:t>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t>During field-test preparation.</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2</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6"/>
              </w:rPr>
              <w:t>Accessibility and low-connectivity versions of data-collection materials.</w:t>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t>During field-test preparation.</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3</w:t>
            </w:r>
          </w:p>
        </w:tc>
        <w:tc>
          <w:tcPr>
            <w:tcW w:type="dxa" w:w="7056"/>
            <w:tcMar>
              <w:top w:w="95" w:type="dxa"/>
              <w:start w:w="95" w:type="dxa"/>
              <w:bottom w:w="95" w:type="dxa"/>
              <w:end w:w="95" w:type="dxa"/>
            </w:tcMar>
            <w:vAlign w:val="center"/>
          </w:tcPr>
          <w:p>
            <w:pPr>
              <w:spacing w:after="0" w:line="240" w:lineRule="auto"/>
            </w:pPr>
            <w:r>
              <w:rPr>
                <w:rFonts w:ascii="Aptos" w:hAnsi="Aptos"/>
                <w:color w:val="000000"/>
                <w:sz w:val="16"/>
              </w:rPr>
              <w:t>Formula-linked transfer or import between workbooks.</w:t>
            </w:r>
          </w:p>
        </w:tc>
        <w:tc>
          <w:tcPr>
            <w:tcW w:type="dxa" w:w="1728"/>
            <w:tcMar>
              <w:top w:w="95" w:type="dxa"/>
              <w:start w:w="95" w:type="dxa"/>
              <w:bottom w:w="95" w:type="dxa"/>
              <w:end w:w="95" w:type="dxa"/>
            </w:tcMar>
            <w:vAlign w:val="center"/>
          </w:tcPr>
          <w:p>
            <w:pPr>
              <w:spacing w:after="0" w:line="240" w:lineRule="auto"/>
            </w:pPr>
            <w:r>
              <w:rPr>
                <w:rFonts w:ascii="Aptos" w:hAnsi="Aptos"/>
                <w:color w:val="000000"/>
                <w:sz w:val="16"/>
              </w:rPr>
              <w:t>After workflow is validated manually.</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3</w:t>
            </w:r>
          </w:p>
        </w:tc>
        <w:tc>
          <w:tcPr>
            <w:tcW w:type="dxa" w:w="7056"/>
            <w:tcMar>
              <w:top w:w="95" w:type="dxa"/>
              <w:start w:w="95" w:type="dxa"/>
              <w:bottom w:w="95" w:type="dxa"/>
              <w:end w:w="95" w:type="dxa"/>
            </w:tcMar>
            <w:vAlign w:val="center"/>
            <w:shd w:fill="F3F6F9"/>
          </w:tcPr>
          <w:p>
            <w:pPr>
              <w:spacing w:after="0" w:line="240" w:lineRule="auto"/>
            </w:pPr>
            <w:r>
              <w:rPr>
                <w:rFonts w:ascii="Aptos" w:hAnsi="Aptos"/>
                <w:color w:val="000000"/>
                <w:sz w:val="16"/>
              </w:rPr>
              <w:t>Examples and completed case studies from agriculture and another domain.</w:t>
            </w:r>
          </w:p>
        </w:tc>
        <w:tc>
          <w:tcPr>
            <w:tcW w:type="dxa" w:w="1728"/>
            <w:tcMar>
              <w:top w:w="95" w:type="dxa"/>
              <w:start w:w="95" w:type="dxa"/>
              <w:bottom w:w="95" w:type="dxa"/>
              <w:end w:w="95" w:type="dxa"/>
            </w:tcMar>
            <w:vAlign w:val="center"/>
            <w:shd w:fill="F3F6F9"/>
          </w:tcPr>
          <w:p>
            <w:pPr>
              <w:spacing w:after="0" w:line="240" w:lineRule="auto"/>
            </w:pPr>
            <w:r>
              <w:rPr>
                <w:rFonts w:ascii="Aptos" w:hAnsi="Aptos"/>
                <w:color w:val="000000"/>
                <w:sz w:val="16"/>
              </w:rPr>
              <w:t>After first field test.</w:t>
            </w:r>
          </w:p>
        </w:tc>
      </w:tr>
    </w:tbl>
    <w:p>
      <w:pPr>
        <w:spacing w:after="20"/>
      </w:pPr>
    </w:p>
    <w:p>
      <w:pPr>
        <w:pStyle w:val="Heading1"/>
      </w:pPr>
      <w:r>
        <w:t>10 Phase 2 design principles</w:t>
      </w:r>
    </w:p>
    <w:p>
      <w:r>
        <w:t>Phase 2 should not be a generic introduction to AI. It should train official statisticians and enabling staff to make competent decisions and produce the evidence required by Phase 1. The instruments therefore become the spine of the curriculum, laboratories and assessments.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7"/>
        <w:gridCol w:w="5047"/>
      </w:tblGrid>
      <w:tr>
        <w:trPr>
          <w:tblHeader w:val="true"/>
        </w:trPr>
        <w:tc>
          <w:tcPr>
            <w:tcW w:type="dxa" w:w="2232"/>
            <w:shd w:fill="17365D"/>
            <w:tcMar>
              <w:top w:w="95" w:type="dxa"/>
              <w:start w:w="95" w:type="dxa"/>
              <w:bottom w:w="95" w:type="dxa"/>
              <w:end w:w="95" w:type="dxa"/>
            </w:tcMar>
            <w:vAlign w:val="center"/>
          </w:tcPr>
          <w:p>
            <w:pPr>
              <w:spacing w:after="0"/>
              <w:jc w:val="center"/>
            </w:pPr>
            <w:r>
              <w:rPr>
                <w:rFonts w:ascii="Aptos" w:hAnsi="Aptos"/>
                <w:b/>
                <w:color w:val="FFFFFF"/>
                <w:sz w:val="16"/>
              </w:rPr>
              <w:t>Principle</w:t>
            </w:r>
          </w:p>
        </w:tc>
        <w:tc>
          <w:tcPr>
            <w:tcW w:type="dxa" w:w="7560"/>
            <w:shd w:fill="17365D"/>
            <w:tcMar>
              <w:top w:w="95" w:type="dxa"/>
              <w:start w:w="95" w:type="dxa"/>
              <w:bottom w:w="95" w:type="dxa"/>
              <w:end w:w="95" w:type="dxa"/>
            </w:tcMar>
            <w:vAlign w:val="center"/>
          </w:tcPr>
          <w:p>
            <w:pPr>
              <w:spacing w:after="0"/>
              <w:jc w:val="center"/>
            </w:pPr>
            <w:r>
              <w:rPr>
                <w:rFonts w:ascii="Aptos" w:hAnsi="Aptos"/>
                <w:b/>
                <w:color w:val="FFFFFF"/>
                <w:sz w:val="16"/>
              </w:rPr>
              <w:t>Application</w:t>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t>Role based</w:t>
            </w:r>
          </w:p>
        </w:tc>
        <w:tc>
          <w:tcPr>
            <w:tcW w:type="dxa" w:w="7560"/>
            <w:tcMar>
              <w:top w:w="95" w:type="dxa"/>
              <w:start w:w="95" w:type="dxa"/>
              <w:bottom w:w="95" w:type="dxa"/>
              <w:end w:w="95" w:type="dxa"/>
            </w:tcMar>
            <w:vAlign w:val="center"/>
          </w:tcPr>
          <w:p>
            <w:pPr>
              <w:spacing w:after="0" w:line="240" w:lineRule="auto"/>
            </w:pPr>
            <w:r>
              <w:rPr>
                <w:rFonts w:ascii="Aptos" w:hAnsi="Aptos"/>
                <w:color w:val="000000"/>
                <w:sz w:val="16"/>
              </w:rPr>
              <w:t>Common core followed by pathways for statisticians, leaders, data stewards, IT and security, legal and procurement, and trainers.</w:t>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t>Workplace anchored</w:t>
            </w:r>
          </w:p>
        </w:tc>
        <w:tc>
          <w:tcPr>
            <w:tcW w:type="dxa" w:w="7560"/>
            <w:tcMar>
              <w:top w:w="95" w:type="dxa"/>
              <w:start w:w="95" w:type="dxa"/>
              <w:bottom w:w="95" w:type="dxa"/>
              <w:end w:w="95" w:type="dxa"/>
            </w:tcMar>
            <w:vAlign w:val="center"/>
            <w:shd w:fill="F3F6F9"/>
          </w:tcPr>
          <w:p>
            <w:pPr>
              <w:spacing w:after="0" w:line="240" w:lineRule="auto"/>
            </w:pPr>
            <w:r>
              <w:rPr>
                <w:rFonts w:ascii="Aptos" w:hAnsi="Aptos"/>
                <w:color w:val="000000"/>
                <w:sz w:val="16"/>
              </w:rPr>
              <w:t>Exercises use actual statistical products, controlled data and institutional procedures.</w:t>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t>Evidence producing</w:t>
            </w:r>
          </w:p>
        </w:tc>
        <w:tc>
          <w:tcPr>
            <w:tcW w:type="dxa" w:w="7560"/>
            <w:tcMar>
              <w:top w:w="95" w:type="dxa"/>
              <w:start w:w="95" w:type="dxa"/>
              <w:bottom w:w="95" w:type="dxa"/>
              <w:end w:w="95" w:type="dxa"/>
            </w:tcMar>
            <w:vAlign w:val="center"/>
          </w:tcPr>
          <w:p>
            <w:pPr>
              <w:spacing w:after="0" w:line="240" w:lineRule="auto"/>
            </w:pPr>
            <w:r>
              <w:rPr>
                <w:rFonts w:ascii="Aptos" w:hAnsi="Aptos"/>
                <w:color w:val="000000"/>
                <w:sz w:val="16"/>
              </w:rPr>
              <w:t>Learners create registers, benchmarks, validation reports, decision logs and monitoring plans.</w:t>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t>Progressive independence</w:t>
            </w:r>
          </w:p>
        </w:tc>
        <w:tc>
          <w:tcPr>
            <w:tcW w:type="dxa" w:w="7560"/>
            <w:tcMar>
              <w:top w:w="95" w:type="dxa"/>
              <w:start w:w="95" w:type="dxa"/>
              <w:bottom w:w="95" w:type="dxa"/>
              <w:end w:w="95" w:type="dxa"/>
            </w:tcMar>
            <w:vAlign w:val="center"/>
            <w:shd w:fill="F3F6F9"/>
          </w:tcPr>
          <w:p>
            <w:pPr>
              <w:spacing w:after="0" w:line="240" w:lineRule="auto"/>
            </w:pPr>
            <w:r>
              <w:rPr>
                <w:rFonts w:ascii="Aptos" w:hAnsi="Aptos"/>
                <w:color w:val="000000"/>
                <w:sz w:val="16"/>
              </w:rPr>
              <w:t>Demonstration, guided practice, supervised application, independent capstone and workplace follow-up.</w:t>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t>Assessment for competence</w:t>
            </w:r>
          </w:p>
        </w:tc>
        <w:tc>
          <w:tcPr>
            <w:tcW w:type="dxa" w:w="7560"/>
            <w:tcMar>
              <w:top w:w="95" w:type="dxa"/>
              <w:start w:w="95" w:type="dxa"/>
              <w:bottom w:w="95" w:type="dxa"/>
              <w:end w:w="95" w:type="dxa"/>
            </w:tcMar>
            <w:vAlign w:val="center"/>
          </w:tcPr>
          <w:p>
            <w:pPr>
              <w:spacing w:after="0" w:line="240" w:lineRule="auto"/>
            </w:pPr>
            <w:r>
              <w:rPr>
                <w:rFonts w:ascii="Aptos" w:hAnsi="Aptos"/>
                <w:color w:val="000000"/>
                <w:sz w:val="16"/>
              </w:rPr>
              <w:t>Completion requires observable performance, not attendance or recall alone.</w:t>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t>Tool agnostic</w:t>
            </w:r>
          </w:p>
        </w:tc>
        <w:tc>
          <w:tcPr>
            <w:tcW w:type="dxa" w:w="7560"/>
            <w:tcMar>
              <w:top w:w="95" w:type="dxa"/>
              <w:start w:w="95" w:type="dxa"/>
              <w:bottom w:w="95" w:type="dxa"/>
              <w:end w:w="95" w:type="dxa"/>
            </w:tcMar>
            <w:vAlign w:val="center"/>
            <w:shd w:fill="F3F6F9"/>
          </w:tcPr>
          <w:p>
            <w:pPr>
              <w:spacing w:after="0" w:line="240" w:lineRule="auto"/>
            </w:pPr>
            <w:r>
              <w:rPr>
                <w:rFonts w:ascii="Aptos" w:hAnsi="Aptos"/>
                <w:color w:val="000000"/>
                <w:sz w:val="16"/>
              </w:rPr>
              <w:t>Teach durable concepts and verification methods while using current tools for practice.</w:t>
            </w:r>
          </w:p>
        </w:tc>
      </w:tr>
      <w:tr>
        <w:tc>
          <w:tcPr>
            <w:tcW w:type="dxa" w:w="2232"/>
            <w:tcMar>
              <w:top w:w="95" w:type="dxa"/>
              <w:start w:w="95" w:type="dxa"/>
              <w:bottom w:w="95" w:type="dxa"/>
              <w:end w:w="95" w:type="dxa"/>
            </w:tcMar>
            <w:vAlign w:val="center"/>
          </w:tcPr>
          <w:p>
            <w:pPr>
              <w:spacing w:after="0" w:line="240" w:lineRule="auto"/>
            </w:pPr>
            <w:r>
              <w:rPr>
                <w:rFonts w:ascii="Aptos" w:hAnsi="Aptos"/>
                <w:color w:val="000000"/>
                <w:sz w:val="16"/>
              </w:rPr>
              <w:t>Resource aware</w:t>
            </w:r>
          </w:p>
        </w:tc>
        <w:tc>
          <w:tcPr>
            <w:tcW w:type="dxa" w:w="7560"/>
            <w:tcMar>
              <w:top w:w="95" w:type="dxa"/>
              <w:start w:w="95" w:type="dxa"/>
              <w:bottom w:w="95" w:type="dxa"/>
              <w:end w:w="95" w:type="dxa"/>
            </w:tcMar>
            <w:vAlign w:val="center"/>
          </w:tcPr>
          <w:p>
            <w:pPr>
              <w:spacing w:after="0" w:line="240" w:lineRule="auto"/>
            </w:pPr>
            <w:r>
              <w:rPr>
                <w:rFonts w:ascii="Aptos" w:hAnsi="Aptos"/>
                <w:color w:val="000000"/>
                <w:sz w:val="16"/>
              </w:rPr>
              <w:t>Provide manual, open-source and managed-service options with explicit trade-offs.</w:t>
            </w:r>
          </w:p>
        </w:tc>
      </w:tr>
      <w:tr>
        <w:tc>
          <w:tcPr>
            <w:tcW w:type="dxa" w:w="2232"/>
            <w:tcMar>
              <w:top w:w="95" w:type="dxa"/>
              <w:start w:w="95" w:type="dxa"/>
              <w:bottom w:w="95" w:type="dxa"/>
              <w:end w:w="95" w:type="dxa"/>
            </w:tcMar>
            <w:vAlign w:val="center"/>
            <w:shd w:fill="F3F6F9"/>
          </w:tcPr>
          <w:p>
            <w:pPr>
              <w:spacing w:after="0" w:line="240" w:lineRule="auto"/>
            </w:pPr>
            <w:r>
              <w:rPr>
                <w:rFonts w:ascii="Aptos" w:hAnsi="Aptos"/>
                <w:color w:val="000000"/>
                <w:sz w:val="16"/>
              </w:rPr>
              <w:t>Train the system</w:t>
            </w:r>
          </w:p>
        </w:tc>
        <w:tc>
          <w:tcPr>
            <w:tcW w:type="dxa" w:w="7560"/>
            <w:tcMar>
              <w:top w:w="95" w:type="dxa"/>
              <w:start w:w="95" w:type="dxa"/>
              <w:bottom w:w="95" w:type="dxa"/>
              <w:end w:w="95" w:type="dxa"/>
            </w:tcMar>
            <w:vAlign w:val="center"/>
            <w:shd w:fill="F3F6F9"/>
          </w:tcPr>
          <w:p>
            <w:pPr>
              <w:spacing w:after="0" w:line="240" w:lineRule="auto"/>
            </w:pPr>
            <w:r>
              <w:rPr>
                <w:rFonts w:ascii="Aptos" w:hAnsi="Aptos"/>
                <w:color w:val="000000"/>
                <w:sz w:val="16"/>
              </w:rPr>
              <w:t>Combine individual learning with governance, workflow redesign and managerial authorization.</w:t>
            </w:r>
          </w:p>
        </w:tc>
      </w:tr>
    </w:tbl>
    <w:p>
      <w:pPr>
        <w:spacing w:after="20"/>
      </w:pPr>
    </w:p>
    <w:p>
      <w:pPr>
        <w:pStyle w:val="Heading1"/>
      </w:pPr>
      <w:r>
        <w:t>11 Proposed Phase 2 curriculum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2592"/>
            <w:shd w:fill="17365D"/>
            <w:tcMar>
              <w:top w:w="95" w:type="dxa"/>
              <w:start w:w="95" w:type="dxa"/>
              <w:bottom w:w="95" w:type="dxa"/>
              <w:end w:w="95" w:type="dxa"/>
            </w:tcMar>
            <w:vAlign w:val="center"/>
          </w:tcPr>
          <w:p>
            <w:pPr>
              <w:spacing w:after="0"/>
              <w:jc w:val="center"/>
            </w:pPr>
            <w:r>
              <w:rPr>
                <w:rFonts w:ascii="Aptos" w:hAnsi="Aptos"/>
                <w:b/>
                <w:color w:val="FFFFFF"/>
                <w:sz w:val="15"/>
              </w:rPr>
              <w:t>Block</w:t>
            </w:r>
          </w:p>
        </w:tc>
        <w:tc>
          <w:tcPr>
            <w:tcW w:type="dxa" w:w="3528"/>
            <w:shd w:fill="17365D"/>
            <w:tcMar>
              <w:top w:w="95" w:type="dxa"/>
              <w:start w:w="95" w:type="dxa"/>
              <w:bottom w:w="95" w:type="dxa"/>
              <w:end w:w="95" w:type="dxa"/>
            </w:tcMar>
            <w:vAlign w:val="center"/>
          </w:tcPr>
          <w:p>
            <w:pPr>
              <w:spacing w:after="0"/>
              <w:jc w:val="center"/>
            </w:pPr>
            <w:r>
              <w:rPr>
                <w:rFonts w:ascii="Aptos" w:hAnsi="Aptos"/>
                <w:b/>
                <w:color w:val="FFFFFF"/>
                <w:sz w:val="15"/>
              </w:rPr>
              <w:t>Purpose</w:t>
            </w:r>
          </w:p>
        </w:tc>
        <w:tc>
          <w:tcPr>
            <w:tcW w:type="dxa" w:w="3816"/>
            <w:shd w:fill="17365D"/>
            <w:tcMar>
              <w:top w:w="95" w:type="dxa"/>
              <w:start w:w="95" w:type="dxa"/>
              <w:bottom w:w="95" w:type="dxa"/>
              <w:end w:w="95" w:type="dxa"/>
            </w:tcMar>
            <w:vAlign w:val="center"/>
          </w:tcPr>
          <w:p>
            <w:pPr>
              <w:spacing w:after="0"/>
              <w:jc w:val="center"/>
            </w:pPr>
            <w:r>
              <w:rPr>
                <w:rFonts w:ascii="Aptos" w:hAnsi="Aptos"/>
                <w:b/>
                <w:color w:val="FFFFFF"/>
                <w:sz w:val="15"/>
              </w:rPr>
              <w:t>Indicative learning products</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A Official statistics and AI foundations</w:t>
            </w:r>
          </w:p>
        </w:tc>
        <w:tc>
          <w:tcPr>
            <w:tcW w:type="dxa" w:w="3528"/>
            <w:tcMar>
              <w:top w:w="95" w:type="dxa"/>
              <w:start w:w="95" w:type="dxa"/>
              <w:bottom w:w="95" w:type="dxa"/>
              <w:end w:w="95" w:type="dxa"/>
            </w:tcMar>
            <w:vAlign w:val="center"/>
          </w:tcPr>
          <w:p>
            <w:pPr>
              <w:spacing w:after="0" w:line="240" w:lineRule="auto"/>
            </w:pPr>
            <w:r>
              <w:rPr>
                <w:rFonts w:ascii="Aptos" w:hAnsi="Aptos"/>
                <w:color w:val="000000"/>
                <w:sz w:val="15"/>
              </w:rPr>
              <w:t>Establish concepts, limits, statistical purpose and professional obligations.</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t>Use-case statement and risk classification.</w:t>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B Productive daily practice</w:t>
            </w:r>
          </w:p>
        </w:tc>
        <w:tc>
          <w:tcPr>
            <w:tcW w:type="dxa" w:w="3528"/>
            <w:tcMar>
              <w:top w:w="95" w:type="dxa"/>
              <w:start w:w="95" w:type="dxa"/>
              <w:bottom w:w="95" w:type="dxa"/>
              <w:end w:w="95" w:type="dxa"/>
            </w:tcMar>
            <w:vAlign w:val="center"/>
            <w:shd w:fill="F3F6F9"/>
          </w:tcPr>
          <w:p>
            <w:pPr>
              <w:spacing w:after="0" w:line="240" w:lineRule="auto"/>
            </w:pPr>
            <w:r>
              <w:rPr>
                <w:rFonts w:ascii="Aptos" w:hAnsi="Aptos"/>
                <w:color w:val="000000"/>
                <w:sz w:val="15"/>
              </w:rPr>
              <w:t>Use assistants for reading, drafting, coding, metadata, analysis and quality support with verification.</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t>Verified work log and reusable prompt or procedure.</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C Data quality and fitness for use</w:t>
            </w:r>
          </w:p>
        </w:tc>
        <w:tc>
          <w:tcPr>
            <w:tcW w:type="dxa" w:w="3528"/>
            <w:tcMar>
              <w:top w:w="95" w:type="dxa"/>
              <w:start w:w="95" w:type="dxa"/>
              <w:bottom w:w="95" w:type="dxa"/>
              <w:end w:w="95" w:type="dxa"/>
            </w:tcMar>
            <w:vAlign w:val="center"/>
          </w:tcPr>
          <w:p>
            <w:pPr>
              <w:spacing w:after="0" w:line="240" w:lineRule="auto"/>
            </w:pPr>
            <w:r>
              <w:rPr>
                <w:rFonts w:ascii="Aptos" w:hAnsi="Aptos"/>
                <w:color w:val="000000"/>
                <w:sz w:val="15"/>
              </w:rPr>
              <w:t>Connect source quality, total survey error, administrative data and alternative sources to AI.</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t>Data-quality and fitness assessment.</w:t>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D Governance confidentiality ethics and security</w:t>
            </w:r>
          </w:p>
        </w:tc>
        <w:tc>
          <w:tcPr>
            <w:tcW w:type="dxa" w:w="3528"/>
            <w:tcMar>
              <w:top w:w="95" w:type="dxa"/>
              <w:start w:w="95" w:type="dxa"/>
              <w:bottom w:w="95" w:type="dxa"/>
              <w:end w:w="95" w:type="dxa"/>
            </w:tcMar>
            <w:vAlign w:val="center"/>
            <w:shd w:fill="F3F6F9"/>
          </w:tcPr>
          <w:p>
            <w:pPr>
              <w:spacing w:after="0" w:line="240" w:lineRule="auto"/>
            </w:pPr>
            <w:r>
              <w:rPr>
                <w:rFonts w:ascii="Aptos" w:hAnsi="Aptos"/>
                <w:color w:val="000000"/>
                <w:sz w:val="15"/>
              </w:rPr>
              <w:t>Apply access, purpose, oversight, supplier and incident controls.</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t>Data and tool clearance pack.</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E Methods validation and statistical assurance</w:t>
            </w:r>
          </w:p>
        </w:tc>
        <w:tc>
          <w:tcPr>
            <w:tcW w:type="dxa" w:w="3528"/>
            <w:tcMar>
              <w:top w:w="95" w:type="dxa"/>
              <w:start w:w="95" w:type="dxa"/>
              <w:bottom w:w="95" w:type="dxa"/>
              <w:end w:w="95" w:type="dxa"/>
            </w:tcMar>
            <w:vAlign w:val="center"/>
          </w:tcPr>
          <w:p>
            <w:pPr>
              <w:spacing w:after="0" w:line="240" w:lineRule="auto"/>
            </w:pPr>
            <w:r>
              <w:rPr>
                <w:rFonts w:ascii="Aptos" w:hAnsi="Aptos"/>
                <w:color w:val="000000"/>
                <w:sz w:val="15"/>
              </w:rPr>
              <w:t>Design benchmarks, locked tests, subgroup analysis, uncertainty and reproducibility.</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t>Evaluation matrix and validation report.</w:t>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F Domain laboratories</w:t>
            </w:r>
          </w:p>
        </w:tc>
        <w:tc>
          <w:tcPr>
            <w:tcW w:type="dxa" w:w="3528"/>
            <w:tcMar>
              <w:top w:w="95" w:type="dxa"/>
              <w:start w:w="95" w:type="dxa"/>
              <w:bottom w:w="95" w:type="dxa"/>
              <w:end w:w="95" w:type="dxa"/>
            </w:tcMar>
            <w:vAlign w:val="center"/>
            <w:shd w:fill="F3F6F9"/>
          </w:tcPr>
          <w:p>
            <w:pPr>
              <w:spacing w:after="0" w:line="240" w:lineRule="auto"/>
            </w:pPr>
            <w:r>
              <w:rPr>
                <w:rFonts w:ascii="Aptos" w:hAnsi="Aptos"/>
                <w:color w:val="000000"/>
                <w:sz w:val="15"/>
              </w:rPr>
              <w:t>Apply methods to surveys, censuses, administrative data, geospatial and research information.</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t>Domain evidence pack.</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G Institutional implementation</w:t>
            </w:r>
          </w:p>
        </w:tc>
        <w:tc>
          <w:tcPr>
            <w:tcW w:type="dxa" w:w="3528"/>
            <w:tcMar>
              <w:top w:w="95" w:type="dxa"/>
              <w:start w:w="95" w:type="dxa"/>
              <w:bottom w:w="95" w:type="dxa"/>
              <w:end w:w="95" w:type="dxa"/>
            </w:tcMar>
            <w:vAlign w:val="center"/>
          </w:tcPr>
          <w:p>
            <w:pPr>
              <w:spacing w:after="0" w:line="240" w:lineRule="auto"/>
            </w:pPr>
            <w:r>
              <w:rPr>
                <w:rFonts w:ascii="Aptos" w:hAnsi="Aptos"/>
                <w:color w:val="000000"/>
                <w:sz w:val="15"/>
              </w:rPr>
              <w:t>Design operating model, procurement, financing, change and monitoring.</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t>Institutional action plan.</w:t>
            </w:r>
          </w:p>
        </w:tc>
      </w:tr>
      <w:tr>
        <w:tc>
          <w:tcPr>
            <w:tcW w:type="dxa" w:w="2592"/>
            <w:tcMar>
              <w:top w:w="95" w:type="dxa"/>
              <w:start w:w="95" w:type="dxa"/>
              <w:bottom w:w="95" w:type="dxa"/>
              <w:end w:w="95" w:type="dxa"/>
            </w:tcMar>
            <w:vAlign w:val="center"/>
            <w:shd w:fill="F3F6F9"/>
          </w:tcPr>
          <w:p>
            <w:pPr>
              <w:spacing w:after="0" w:line="240" w:lineRule="auto"/>
            </w:pPr>
            <w:r>
              <w:rPr>
                <w:rFonts w:ascii="Aptos" w:hAnsi="Aptos"/>
                <w:color w:val="000000"/>
                <w:sz w:val="15"/>
              </w:rPr>
              <w:t>H Capstone controlled pilot</w:t>
            </w:r>
          </w:p>
        </w:tc>
        <w:tc>
          <w:tcPr>
            <w:tcW w:type="dxa" w:w="3528"/>
            <w:tcMar>
              <w:top w:w="95" w:type="dxa"/>
              <w:start w:w="95" w:type="dxa"/>
              <w:bottom w:w="95" w:type="dxa"/>
              <w:end w:w="95" w:type="dxa"/>
            </w:tcMar>
            <w:vAlign w:val="center"/>
            <w:shd w:fill="F3F6F9"/>
          </w:tcPr>
          <w:p>
            <w:pPr>
              <w:spacing w:after="0" w:line="240" w:lineRule="auto"/>
            </w:pPr>
            <w:r>
              <w:rPr>
                <w:rFonts w:ascii="Aptos" w:hAnsi="Aptos"/>
                <w:color w:val="000000"/>
                <w:sz w:val="15"/>
              </w:rPr>
              <w:t>Complete the Phase 1F process for a real bounded use case.</w:t>
            </w:r>
          </w:p>
        </w:tc>
        <w:tc>
          <w:tcPr>
            <w:tcW w:type="dxa" w:w="3816"/>
            <w:tcMar>
              <w:top w:w="95" w:type="dxa"/>
              <w:start w:w="95" w:type="dxa"/>
              <w:bottom w:w="95" w:type="dxa"/>
              <w:end w:w="95" w:type="dxa"/>
            </w:tcMar>
            <w:vAlign w:val="center"/>
            <w:shd w:fill="F3F6F9"/>
          </w:tcPr>
          <w:p>
            <w:pPr>
              <w:spacing w:after="0" w:line="240" w:lineRule="auto"/>
            </w:pPr>
            <w:r>
              <w:rPr>
                <w:rFonts w:ascii="Aptos" w:hAnsi="Aptos"/>
                <w:color w:val="000000"/>
                <w:sz w:val="15"/>
              </w:rPr>
              <w:t>Assurance case and scale, redesign or stop decision.</w:t>
            </w:r>
          </w:p>
        </w:tc>
      </w:tr>
      <w:tr>
        <w:tc>
          <w:tcPr>
            <w:tcW w:type="dxa" w:w="2592"/>
            <w:tcMar>
              <w:top w:w="95" w:type="dxa"/>
              <w:start w:w="95" w:type="dxa"/>
              <w:bottom w:w="95" w:type="dxa"/>
              <w:end w:w="95" w:type="dxa"/>
            </w:tcMar>
            <w:vAlign w:val="center"/>
          </w:tcPr>
          <w:p>
            <w:pPr>
              <w:spacing w:after="0" w:line="240" w:lineRule="auto"/>
            </w:pPr>
            <w:r>
              <w:rPr>
                <w:rFonts w:ascii="Aptos" w:hAnsi="Aptos"/>
                <w:color w:val="000000"/>
                <w:sz w:val="15"/>
              </w:rPr>
              <w:t>I Trainer and facilitator pathway</w:t>
            </w:r>
          </w:p>
        </w:tc>
        <w:tc>
          <w:tcPr>
            <w:tcW w:type="dxa" w:w="3528"/>
            <w:tcMar>
              <w:top w:w="95" w:type="dxa"/>
              <w:start w:w="95" w:type="dxa"/>
              <w:bottom w:w="95" w:type="dxa"/>
              <w:end w:w="95" w:type="dxa"/>
            </w:tcMar>
            <w:vAlign w:val="center"/>
          </w:tcPr>
          <w:p>
            <w:pPr>
              <w:spacing w:after="0" w:line="240" w:lineRule="auto"/>
            </w:pPr>
            <w:r>
              <w:rPr>
                <w:rFonts w:ascii="Aptos" w:hAnsi="Aptos"/>
                <w:color w:val="000000"/>
                <w:sz w:val="15"/>
              </w:rPr>
              <w:t>Deliver modules, coach projects and run the Phase 1 diagnostic.</w:t>
            </w:r>
          </w:p>
        </w:tc>
        <w:tc>
          <w:tcPr>
            <w:tcW w:type="dxa" w:w="3816"/>
            <w:tcMar>
              <w:top w:w="95" w:type="dxa"/>
              <w:start w:w="95" w:type="dxa"/>
              <w:bottom w:w="95" w:type="dxa"/>
              <w:end w:w="95" w:type="dxa"/>
            </w:tcMar>
            <w:vAlign w:val="center"/>
          </w:tcPr>
          <w:p>
            <w:pPr>
              <w:spacing w:after="0" w:line="240" w:lineRule="auto"/>
            </w:pPr>
            <w:r>
              <w:rPr>
                <w:rFonts w:ascii="Aptos" w:hAnsi="Aptos"/>
                <w:color w:val="000000"/>
                <w:sz w:val="15"/>
              </w:rPr>
              <w:t>Observed facilitation and adapted lesson plan.</w:t>
            </w:r>
          </w:p>
        </w:tc>
      </w:tr>
    </w:tbl>
    <w:p>
      <w:pPr>
        <w:spacing w:after="20"/>
      </w:pPr>
    </w:p>
    <w:p>
      <w:pPr>
        <w:pStyle w:val="Heading1"/>
      </w:pPr>
      <w:r>
        <w:t>12 Audience pathways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2520"/>
            <w:shd w:fill="17365D"/>
            <w:tcMar>
              <w:top w:w="95" w:type="dxa"/>
              <w:start w:w="95" w:type="dxa"/>
              <w:bottom w:w="95" w:type="dxa"/>
              <w:end w:w="95" w:type="dxa"/>
            </w:tcMar>
            <w:vAlign w:val="center"/>
          </w:tcPr>
          <w:p>
            <w:pPr>
              <w:spacing w:after="0"/>
              <w:jc w:val="center"/>
            </w:pPr>
            <w:r>
              <w:rPr>
                <w:rFonts w:ascii="Aptos" w:hAnsi="Aptos"/>
                <w:b/>
                <w:color w:val="FFFFFF"/>
                <w:sz w:val="16"/>
              </w:rPr>
              <w:t>Audience</w:t>
            </w:r>
          </w:p>
        </w:tc>
        <w:tc>
          <w:tcPr>
            <w:tcW w:type="dxa" w:w="2880"/>
            <w:shd w:fill="17365D"/>
            <w:tcMar>
              <w:top w:w="95" w:type="dxa"/>
              <w:start w:w="95" w:type="dxa"/>
              <w:bottom w:w="95" w:type="dxa"/>
              <w:end w:w="95" w:type="dxa"/>
            </w:tcMar>
            <w:vAlign w:val="center"/>
          </w:tcPr>
          <w:p>
            <w:pPr>
              <w:spacing w:after="0"/>
              <w:jc w:val="center"/>
            </w:pPr>
            <w:r>
              <w:rPr>
                <w:rFonts w:ascii="Aptos" w:hAnsi="Aptos"/>
                <w:b/>
                <w:color w:val="FFFFFF"/>
                <w:sz w:val="16"/>
              </w:rPr>
              <w:t>Required blocks</w:t>
            </w:r>
          </w:p>
        </w:tc>
        <w:tc>
          <w:tcPr>
            <w:tcW w:type="dxa" w:w="4536"/>
            <w:shd w:fill="17365D"/>
            <w:tcMar>
              <w:top w:w="95" w:type="dxa"/>
              <w:start w:w="95" w:type="dxa"/>
              <w:bottom w:w="95" w:type="dxa"/>
              <w:end w:w="95" w:type="dxa"/>
            </w:tcMar>
            <w:vAlign w:val="center"/>
          </w:tcPr>
          <w:p>
            <w:pPr>
              <w:spacing w:after="0"/>
              <w:jc w:val="center"/>
            </w:pPr>
            <w:r>
              <w:rPr>
                <w:rFonts w:ascii="Aptos" w:hAnsi="Aptos"/>
                <w:b/>
                <w:color w:val="FFFFFF"/>
                <w:sz w:val="16"/>
              </w:rPr>
              <w:t>Depth emphasis</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All participants</w:t>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A, B, C and D core</w:t>
            </w:r>
          </w:p>
        </w:tc>
        <w:tc>
          <w:tcPr>
            <w:tcW w:type="dxa" w:w="4536"/>
            <w:tcMar>
              <w:top w:w="95" w:type="dxa"/>
              <w:start w:w="95" w:type="dxa"/>
              <w:bottom w:w="95" w:type="dxa"/>
              <w:end w:w="95" w:type="dxa"/>
            </w:tcMar>
            <w:vAlign w:val="center"/>
          </w:tcPr>
          <w:p>
            <w:pPr>
              <w:spacing w:after="0" w:line="240" w:lineRule="auto"/>
            </w:pPr>
            <w:r>
              <w:rPr>
                <w:rFonts w:ascii="Aptos" w:hAnsi="Aptos"/>
                <w:color w:val="000000"/>
                <w:sz w:val="16"/>
              </w:rPr>
              <w:t>Professional judgement, verification and safe daily practice.</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Official statisticians and methodologists</w:t>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A–H</w:t>
            </w:r>
          </w:p>
        </w:tc>
        <w:tc>
          <w:tcPr>
            <w:tcW w:type="dxa" w:w="4536"/>
            <w:tcMar>
              <w:top w:w="95" w:type="dxa"/>
              <w:start w:w="95" w:type="dxa"/>
              <w:bottom w:w="95" w:type="dxa"/>
              <w:end w:w="95" w:type="dxa"/>
            </w:tcMar>
            <w:vAlign w:val="center"/>
            <w:shd w:fill="F3F6F9"/>
          </w:tcPr>
          <w:p>
            <w:pPr>
              <w:spacing w:after="0" w:line="240" w:lineRule="auto"/>
            </w:pPr>
            <w:r>
              <w:rPr>
                <w:rFonts w:ascii="Aptos" w:hAnsi="Aptos"/>
                <w:color w:val="000000"/>
                <w:sz w:val="16"/>
              </w:rPr>
              <w:t>Quality, methods, uncertainty, reproducibility and domain application.</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Senior leaders and managers</w:t>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A, D and G plus capstone decisions</w:t>
            </w:r>
          </w:p>
        </w:tc>
        <w:tc>
          <w:tcPr>
            <w:tcW w:type="dxa" w:w="4536"/>
            <w:tcMar>
              <w:top w:w="95" w:type="dxa"/>
              <w:start w:w="95" w:type="dxa"/>
              <w:bottom w:w="95" w:type="dxa"/>
              <w:end w:w="95" w:type="dxa"/>
            </w:tcMar>
            <w:vAlign w:val="center"/>
          </w:tcPr>
          <w:p>
            <w:pPr>
              <w:spacing w:after="0" w:line="240" w:lineRule="auto"/>
            </w:pPr>
            <w:r>
              <w:rPr>
                <w:rFonts w:ascii="Aptos" w:hAnsi="Aptos"/>
                <w:color w:val="000000"/>
                <w:sz w:val="16"/>
              </w:rPr>
              <w:t>Governance, investment, risk acceptance and benefits realization.</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Data stewards and source owners</w:t>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A, C, D and selected F</w:t>
            </w:r>
          </w:p>
        </w:tc>
        <w:tc>
          <w:tcPr>
            <w:tcW w:type="dxa" w:w="4536"/>
            <w:tcMar>
              <w:top w:w="95" w:type="dxa"/>
              <w:start w:w="95" w:type="dxa"/>
              <w:bottom w:w="95" w:type="dxa"/>
              <w:end w:w="95" w:type="dxa"/>
            </w:tcMar>
            <w:vAlign w:val="center"/>
            <w:shd w:fill="F3F6F9"/>
          </w:tcPr>
          <w:p>
            <w:pPr>
              <w:spacing w:after="0" w:line="240" w:lineRule="auto"/>
            </w:pPr>
            <w:r>
              <w:rPr>
                <w:rFonts w:ascii="Aptos" w:hAnsi="Aptos"/>
                <w:color w:val="000000"/>
                <w:sz w:val="16"/>
              </w:rPr>
              <w:t>Provenance, metadata, quality, access and change notification.</w:t>
            </w:r>
          </w:p>
        </w:tc>
      </w:tr>
      <w:tr>
        <w:tc>
          <w:tcPr>
            <w:tcW w:type="dxa" w:w="2520"/>
            <w:tcMar>
              <w:top w:w="95" w:type="dxa"/>
              <w:start w:w="95" w:type="dxa"/>
              <w:bottom w:w="95" w:type="dxa"/>
              <w:end w:w="95" w:type="dxa"/>
            </w:tcMar>
            <w:vAlign w:val="center"/>
          </w:tcPr>
          <w:p>
            <w:pPr>
              <w:spacing w:after="0" w:line="240" w:lineRule="auto"/>
            </w:pPr>
            <w:r>
              <w:rPr>
                <w:rFonts w:ascii="Aptos" w:hAnsi="Aptos"/>
                <w:color w:val="000000"/>
                <w:sz w:val="16"/>
              </w:rPr>
              <w:t>IT cybersecurity legal and procurement</w:t>
            </w:r>
          </w:p>
        </w:tc>
        <w:tc>
          <w:tcPr>
            <w:tcW w:type="dxa" w:w="2880"/>
            <w:tcMar>
              <w:top w:w="95" w:type="dxa"/>
              <w:start w:w="95" w:type="dxa"/>
              <w:bottom w:w="95" w:type="dxa"/>
              <w:end w:w="95" w:type="dxa"/>
            </w:tcMar>
            <w:vAlign w:val="center"/>
          </w:tcPr>
          <w:p>
            <w:pPr>
              <w:spacing w:after="0" w:line="240" w:lineRule="auto"/>
            </w:pPr>
            <w:r>
              <w:rPr>
                <w:rFonts w:ascii="Aptos" w:hAnsi="Aptos"/>
                <w:color w:val="000000"/>
                <w:sz w:val="16"/>
              </w:rPr>
              <w:t>A, D, E and G</w:t>
            </w:r>
          </w:p>
        </w:tc>
        <w:tc>
          <w:tcPr>
            <w:tcW w:type="dxa" w:w="4536"/>
            <w:tcMar>
              <w:top w:w="95" w:type="dxa"/>
              <w:start w:w="95" w:type="dxa"/>
              <w:bottom w:w="95" w:type="dxa"/>
              <w:end w:w="95" w:type="dxa"/>
            </w:tcMar>
            <w:vAlign w:val="center"/>
          </w:tcPr>
          <w:p>
            <w:pPr>
              <w:spacing w:after="0" w:line="240" w:lineRule="auto"/>
            </w:pPr>
            <w:r>
              <w:rPr>
                <w:rFonts w:ascii="Aptos" w:hAnsi="Aptos"/>
                <w:color w:val="000000"/>
                <w:sz w:val="16"/>
              </w:rPr>
              <w:t>Architecture, security, legal authority, contracts, continuity and audit.</w:t>
            </w:r>
          </w:p>
        </w:tc>
      </w:tr>
      <w:tr>
        <w:tc>
          <w:tcPr>
            <w:tcW w:type="dxa" w:w="2520"/>
            <w:tcMar>
              <w:top w:w="95" w:type="dxa"/>
              <w:start w:w="95" w:type="dxa"/>
              <w:bottom w:w="95" w:type="dxa"/>
              <w:end w:w="95" w:type="dxa"/>
            </w:tcMar>
            <w:vAlign w:val="center"/>
            <w:shd w:fill="F3F6F9"/>
          </w:tcPr>
          <w:p>
            <w:pPr>
              <w:spacing w:after="0" w:line="240" w:lineRule="auto"/>
            </w:pPr>
            <w:r>
              <w:rPr>
                <w:rFonts w:ascii="Aptos" w:hAnsi="Aptos"/>
                <w:color w:val="000000"/>
                <w:sz w:val="16"/>
              </w:rPr>
              <w:t>Trainers and national champions</w:t>
            </w:r>
          </w:p>
        </w:tc>
        <w:tc>
          <w:tcPr>
            <w:tcW w:type="dxa" w:w="2880"/>
            <w:tcMar>
              <w:top w:w="95" w:type="dxa"/>
              <w:start w:w="95" w:type="dxa"/>
              <w:bottom w:w="95" w:type="dxa"/>
              <w:end w:w="95" w:type="dxa"/>
            </w:tcMar>
            <w:vAlign w:val="center"/>
            <w:shd w:fill="F3F6F9"/>
          </w:tcPr>
          <w:p>
            <w:pPr>
              <w:spacing w:after="0" w:line="240" w:lineRule="auto"/>
            </w:pPr>
            <w:r>
              <w:rPr>
                <w:rFonts w:ascii="Aptos" w:hAnsi="Aptos"/>
                <w:color w:val="000000"/>
                <w:sz w:val="16"/>
              </w:rPr>
              <w:t>A–I</w:t>
            </w:r>
          </w:p>
        </w:tc>
        <w:tc>
          <w:tcPr>
            <w:tcW w:type="dxa" w:w="4536"/>
            <w:tcMar>
              <w:top w:w="95" w:type="dxa"/>
              <w:start w:w="95" w:type="dxa"/>
              <w:bottom w:w="95" w:type="dxa"/>
              <w:end w:w="95" w:type="dxa"/>
            </w:tcMar>
            <w:vAlign w:val="center"/>
            <w:shd w:fill="F3F6F9"/>
          </w:tcPr>
          <w:p>
            <w:pPr>
              <w:spacing w:after="0" w:line="240" w:lineRule="auto"/>
            </w:pPr>
            <w:r>
              <w:rPr>
                <w:rFonts w:ascii="Aptos" w:hAnsi="Aptos"/>
                <w:color w:val="000000"/>
                <w:sz w:val="16"/>
              </w:rPr>
              <w:t>Content mastery, facilitation, assessment and localization.</w:t>
            </w:r>
          </w:p>
        </w:tc>
      </w:tr>
    </w:tbl>
    <w:p>
      <w:pPr>
        <w:spacing w:after="20"/>
      </w:pPr>
    </w:p>
    <w:p>
      <w:pPr>
        <w:pStyle w:val="Heading1"/>
      </w:pPr>
      <w:r>
        <w:t>13 Assessment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7"/>
        <w:gridCol w:w="5047"/>
      </w:tblGrid>
      <w:tr>
        <w:trPr>
          <w:tblHeader w:val="true"/>
        </w:trPr>
        <w:tc>
          <w:tcPr>
            <w:tcW w:type="dxa" w:w="2304"/>
            <w:shd w:fill="17365D"/>
            <w:tcMar>
              <w:top w:w="95" w:type="dxa"/>
              <w:start w:w="95" w:type="dxa"/>
              <w:bottom w:w="95" w:type="dxa"/>
              <w:end w:w="95" w:type="dxa"/>
            </w:tcMar>
            <w:vAlign w:val="center"/>
          </w:tcPr>
          <w:p>
            <w:pPr>
              <w:spacing w:after="0"/>
              <w:jc w:val="center"/>
            </w:pPr>
            <w:r>
              <w:rPr>
                <w:rFonts w:ascii="Aptos" w:hAnsi="Aptos"/>
                <w:b/>
                <w:color w:val="FFFFFF"/>
                <w:sz w:val="17"/>
              </w:rPr>
              <w:t>Level</w:t>
            </w:r>
          </w:p>
        </w:tc>
        <w:tc>
          <w:tcPr>
            <w:tcW w:type="dxa" w:w="7488"/>
            <w:shd w:fill="17365D"/>
            <w:tcMar>
              <w:top w:w="95" w:type="dxa"/>
              <w:start w:w="95" w:type="dxa"/>
              <w:bottom w:w="95" w:type="dxa"/>
              <w:end w:w="95" w:type="dxa"/>
            </w:tcMar>
            <w:vAlign w:val="center"/>
          </w:tcPr>
          <w:p>
            <w:pPr>
              <w:spacing w:after="0"/>
              <w:jc w:val="center"/>
            </w:pPr>
            <w:r>
              <w:rPr>
                <w:rFonts w:ascii="Aptos" w:hAnsi="Aptos"/>
                <w:b/>
                <w:color w:val="FFFFFF"/>
                <w:sz w:val="17"/>
              </w:rPr>
              <w:t>Assessment</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7"/>
              </w:rPr>
              <w:t>Knowledge</w:t>
            </w:r>
          </w:p>
        </w:tc>
        <w:tc>
          <w:tcPr>
            <w:tcW w:type="dxa" w:w="7488"/>
            <w:tcMar>
              <w:top w:w="95" w:type="dxa"/>
              <w:start w:w="95" w:type="dxa"/>
              <w:bottom w:w="95" w:type="dxa"/>
              <w:end w:w="95" w:type="dxa"/>
            </w:tcMar>
            <w:vAlign w:val="center"/>
          </w:tcPr>
          <w:p>
            <w:pPr>
              <w:spacing w:after="0" w:line="240" w:lineRule="auto"/>
            </w:pPr>
            <w:r>
              <w:rPr>
                <w:rFonts w:ascii="Aptos" w:hAnsi="Aptos"/>
                <w:color w:val="000000"/>
                <w:sz w:val="17"/>
              </w:rPr>
              <w:t>Short diagnostic checks on concepts, risks, quality and statistical authority.</w:t>
            </w:r>
          </w:p>
        </w:tc>
      </w:tr>
      <w:tr>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7"/>
              </w:rPr>
              <w:t>Guided skill</w:t>
            </w:r>
          </w:p>
        </w:tc>
        <w:tc>
          <w:tcPr>
            <w:tcW w:type="dxa" w:w="7488"/>
            <w:tcMar>
              <w:top w:w="95" w:type="dxa"/>
              <w:start w:w="95" w:type="dxa"/>
              <w:bottom w:w="95" w:type="dxa"/>
              <w:end w:w="95" w:type="dxa"/>
            </w:tcMar>
            <w:vAlign w:val="center"/>
            <w:shd w:fill="F3F6F9"/>
          </w:tcPr>
          <w:p>
            <w:pPr>
              <w:spacing w:after="0" w:line="240" w:lineRule="auto"/>
            </w:pPr>
            <w:r>
              <w:rPr>
                <w:rFonts w:ascii="Aptos" w:hAnsi="Aptos"/>
                <w:color w:val="000000"/>
                <w:sz w:val="17"/>
              </w:rPr>
              <w:t>Structured exercises with known answers and explicit verification steps.</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7"/>
              </w:rPr>
              <w:t>Applied skill</w:t>
            </w:r>
          </w:p>
        </w:tc>
        <w:tc>
          <w:tcPr>
            <w:tcW w:type="dxa" w:w="7488"/>
            <w:tcMar>
              <w:top w:w="95" w:type="dxa"/>
              <w:start w:w="95" w:type="dxa"/>
              <w:bottom w:w="95" w:type="dxa"/>
              <w:end w:w="95" w:type="dxa"/>
            </w:tcMar>
            <w:vAlign w:val="center"/>
          </w:tcPr>
          <w:p>
            <w:pPr>
              <w:spacing w:after="0" w:line="240" w:lineRule="auto"/>
            </w:pPr>
            <w:r>
              <w:rPr>
                <w:rFonts w:ascii="Aptos" w:hAnsi="Aptos"/>
                <w:color w:val="000000"/>
                <w:sz w:val="17"/>
              </w:rPr>
              <w:t>Incomplete or imperfect datasets requiring judgement, documentation and peer review.</w:t>
            </w:r>
          </w:p>
        </w:tc>
      </w:tr>
      <w:tr>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7"/>
              </w:rPr>
              <w:t>Integrated competence</w:t>
            </w:r>
          </w:p>
        </w:tc>
        <w:tc>
          <w:tcPr>
            <w:tcW w:type="dxa" w:w="7488"/>
            <w:tcMar>
              <w:top w:w="95" w:type="dxa"/>
              <w:start w:w="95" w:type="dxa"/>
              <w:bottom w:w="95" w:type="dxa"/>
              <w:end w:w="95" w:type="dxa"/>
            </w:tcMar>
            <w:vAlign w:val="center"/>
            <w:shd w:fill="F3F6F9"/>
          </w:tcPr>
          <w:p>
            <w:pPr>
              <w:spacing w:after="0" w:line="240" w:lineRule="auto"/>
            </w:pPr>
            <w:r>
              <w:rPr>
                <w:rFonts w:ascii="Aptos" w:hAnsi="Aptos"/>
                <w:color w:val="000000"/>
                <w:sz w:val="17"/>
              </w:rPr>
              <w:t>Team capstone using the Phase 1F protocol and institutional decision bodies.</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7"/>
              </w:rPr>
              <w:t>Workplace transfer</w:t>
            </w:r>
          </w:p>
        </w:tc>
        <w:tc>
          <w:tcPr>
            <w:tcW w:type="dxa" w:w="7488"/>
            <w:tcMar>
              <w:top w:w="95" w:type="dxa"/>
              <w:start w:w="95" w:type="dxa"/>
              <w:bottom w:w="95" w:type="dxa"/>
              <w:end w:w="95" w:type="dxa"/>
            </w:tcMar>
            <w:vAlign w:val="center"/>
          </w:tcPr>
          <w:p>
            <w:pPr>
              <w:spacing w:after="0" w:line="240" w:lineRule="auto"/>
            </w:pPr>
            <w:r>
              <w:rPr>
                <w:rFonts w:ascii="Aptos" w:hAnsi="Aptos"/>
                <w:color w:val="000000"/>
                <w:sz w:val="17"/>
              </w:rPr>
              <w:t>Evidence after 30, 60 and 90 days that the method is used correctly in routine work.</w:t>
            </w:r>
          </w:p>
        </w:tc>
      </w:tr>
      <w:tr>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7"/>
              </w:rPr>
              <w:t>Trainer competence</w:t>
            </w:r>
          </w:p>
        </w:tc>
        <w:tc>
          <w:tcPr>
            <w:tcW w:type="dxa" w:w="7488"/>
            <w:tcMar>
              <w:top w:w="95" w:type="dxa"/>
              <w:start w:w="95" w:type="dxa"/>
              <w:bottom w:w="95" w:type="dxa"/>
              <w:end w:w="95" w:type="dxa"/>
            </w:tcMar>
            <w:vAlign w:val="center"/>
            <w:shd w:fill="F3F6F9"/>
          </w:tcPr>
          <w:p>
            <w:pPr>
              <w:spacing w:after="0" w:line="240" w:lineRule="auto"/>
            </w:pPr>
            <w:r>
              <w:rPr>
                <w:rFonts w:ascii="Aptos" w:hAnsi="Aptos"/>
                <w:color w:val="000000"/>
                <w:sz w:val="17"/>
              </w:rPr>
              <w:t>Observed delivery, feedback quality, adaptation and consistent scoring.</w:t>
            </w:r>
          </w:p>
        </w:tc>
      </w:tr>
    </w:tbl>
    <w:p>
      <w:pPr>
        <w:spacing w:after="20"/>
      </w:pPr>
    </w:p>
    <w:p>
      <w:pPr>
        <w:pStyle w:val="Heading1"/>
      </w:pPr>
      <w:r>
        <w:t>14 Recommended delivery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2304"/>
            <w:shd w:fill="17365D"/>
            <w:tcMar>
              <w:top w:w="95" w:type="dxa"/>
              <w:start w:w="95" w:type="dxa"/>
              <w:bottom w:w="95" w:type="dxa"/>
              <w:end w:w="95" w:type="dxa"/>
            </w:tcMar>
            <w:vAlign w:val="center"/>
          </w:tcPr>
          <w:p>
            <w:pPr>
              <w:spacing w:after="0"/>
              <w:jc w:val="center"/>
            </w:pPr>
            <w:r>
              <w:rPr>
                <w:rFonts w:ascii="Aptos" w:hAnsi="Aptos"/>
                <w:b/>
                <w:color w:val="FFFFFF"/>
                <w:sz w:val="16"/>
              </w:rPr>
              <w:t>Stage</w:t>
            </w:r>
          </w:p>
        </w:tc>
        <w:tc>
          <w:tcPr>
            <w:tcW w:type="dxa" w:w="3024"/>
            <w:shd w:fill="17365D"/>
            <w:tcMar>
              <w:top w:w="95" w:type="dxa"/>
              <w:start w:w="95" w:type="dxa"/>
              <w:bottom w:w="95" w:type="dxa"/>
              <w:end w:w="95" w:type="dxa"/>
            </w:tcMar>
            <w:vAlign w:val="center"/>
          </w:tcPr>
          <w:p>
            <w:pPr>
              <w:spacing w:after="0"/>
              <w:jc w:val="center"/>
            </w:pPr>
            <w:r>
              <w:rPr>
                <w:rFonts w:ascii="Aptos" w:hAnsi="Aptos"/>
                <w:b/>
                <w:color w:val="FFFFFF"/>
                <w:sz w:val="16"/>
              </w:rPr>
              <w:t>Duration concept</w:t>
            </w:r>
          </w:p>
        </w:tc>
        <w:tc>
          <w:tcPr>
            <w:tcW w:type="dxa" w:w="4464"/>
            <w:shd w:fill="17365D"/>
            <w:tcMar>
              <w:top w:w="95" w:type="dxa"/>
              <w:start w:w="95" w:type="dxa"/>
              <w:bottom w:w="95" w:type="dxa"/>
              <w:end w:w="95" w:type="dxa"/>
            </w:tcMar>
            <w:vAlign w:val="center"/>
          </w:tcPr>
          <w:p>
            <w:pPr>
              <w:spacing w:after="0"/>
              <w:jc w:val="center"/>
            </w:pPr>
            <w:r>
              <w:rPr>
                <w:rFonts w:ascii="Aptos" w:hAnsi="Aptos"/>
                <w:b/>
                <w:color w:val="FFFFFF"/>
                <w:sz w:val="16"/>
              </w:rPr>
              <w:t>Result</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t>Preparation and baseline</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t>2 to 4 weeks</w:t>
            </w:r>
          </w:p>
        </w:tc>
        <w:tc>
          <w:tcPr>
            <w:tcW w:type="dxa" w:w="4464"/>
            <w:tcMar>
              <w:top w:w="95" w:type="dxa"/>
              <w:start w:w="95" w:type="dxa"/>
              <w:bottom w:w="95" w:type="dxa"/>
              <w:end w:w="95" w:type="dxa"/>
            </w:tcMar>
            <w:vAlign w:val="center"/>
          </w:tcPr>
          <w:p>
            <w:pPr>
              <w:spacing w:after="0" w:line="240" w:lineRule="auto"/>
            </w:pPr>
            <w:r>
              <w:rPr>
                <w:rFonts w:ascii="Aptos" w:hAnsi="Aptos"/>
                <w:color w:val="000000"/>
                <w:sz w:val="16"/>
              </w:rPr>
              <w:t>Cohorts, role profiles, digital access, selected use cases and initial skills evidence.</w:t>
            </w:r>
          </w:p>
        </w:tc>
      </w:tr>
      <w:tr>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6"/>
              </w:rPr>
              <w:t>Common core</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6"/>
              </w:rPr>
              <w:t>3 to 5 learning days distributed over time</w:t>
            </w:r>
          </w:p>
        </w:tc>
        <w:tc>
          <w:tcPr>
            <w:tcW w:type="dxa" w:w="4464"/>
            <w:tcMar>
              <w:top w:w="95" w:type="dxa"/>
              <w:start w:w="95" w:type="dxa"/>
              <w:bottom w:w="95" w:type="dxa"/>
              <w:end w:w="95" w:type="dxa"/>
            </w:tcMar>
            <w:vAlign w:val="center"/>
            <w:shd w:fill="F3F6F9"/>
          </w:tcPr>
          <w:p>
            <w:pPr>
              <w:spacing w:after="0" w:line="240" w:lineRule="auto"/>
            </w:pPr>
            <w:r>
              <w:rPr>
                <w:rFonts w:ascii="Aptos" w:hAnsi="Aptos"/>
                <w:color w:val="000000"/>
                <w:sz w:val="16"/>
              </w:rPr>
              <w:t>Shared language, safe practice and verified daily productivity.</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t>Role pathways</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t>4 to 10 learning days depending on role</w:t>
            </w:r>
          </w:p>
        </w:tc>
        <w:tc>
          <w:tcPr>
            <w:tcW w:type="dxa" w:w="4464"/>
            <w:tcMar>
              <w:top w:w="95" w:type="dxa"/>
              <w:start w:w="95" w:type="dxa"/>
              <w:bottom w:w="95" w:type="dxa"/>
              <w:end w:w="95" w:type="dxa"/>
            </w:tcMar>
            <w:vAlign w:val="center"/>
          </w:tcPr>
          <w:p>
            <w:pPr>
              <w:spacing w:after="0" w:line="240" w:lineRule="auto"/>
            </w:pPr>
            <w:r>
              <w:rPr>
                <w:rFonts w:ascii="Aptos" w:hAnsi="Aptos"/>
                <w:color w:val="000000"/>
                <w:sz w:val="16"/>
              </w:rPr>
              <w:t>Role-specific evidence products and supervised practice.</w:t>
            </w:r>
          </w:p>
        </w:tc>
      </w:tr>
      <w:tr>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6"/>
              </w:rPr>
              <w:t>Domain laboratories</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6"/>
              </w:rPr>
              <w:t>2 to 6 weeks part time</w:t>
            </w:r>
          </w:p>
        </w:tc>
        <w:tc>
          <w:tcPr>
            <w:tcW w:type="dxa" w:w="4464"/>
            <w:tcMar>
              <w:top w:w="95" w:type="dxa"/>
              <w:start w:w="95" w:type="dxa"/>
              <w:bottom w:w="95" w:type="dxa"/>
              <w:end w:w="95" w:type="dxa"/>
            </w:tcMar>
            <w:vAlign w:val="center"/>
            <w:shd w:fill="F3F6F9"/>
          </w:tcPr>
          <w:p>
            <w:pPr>
              <w:spacing w:after="0" w:line="240" w:lineRule="auto"/>
            </w:pPr>
            <w:r>
              <w:rPr>
                <w:rFonts w:ascii="Aptos" w:hAnsi="Aptos"/>
                <w:color w:val="000000"/>
                <w:sz w:val="16"/>
              </w:rPr>
              <w:t>Completed analyses using controlled statistical data.</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t>Capstone pilot</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t>8 to 16 weeks workplace based</w:t>
            </w:r>
          </w:p>
        </w:tc>
        <w:tc>
          <w:tcPr>
            <w:tcW w:type="dxa" w:w="4464"/>
            <w:tcMar>
              <w:top w:w="95" w:type="dxa"/>
              <w:start w:w="95" w:type="dxa"/>
              <w:bottom w:w="95" w:type="dxa"/>
              <w:end w:w="95" w:type="dxa"/>
            </w:tcMar>
            <w:vAlign w:val="center"/>
          </w:tcPr>
          <w:p>
            <w:pPr>
              <w:spacing w:after="0" w:line="240" w:lineRule="auto"/>
            </w:pPr>
            <w:r>
              <w:rPr>
                <w:rFonts w:ascii="Aptos" w:hAnsi="Aptos"/>
                <w:color w:val="000000"/>
                <w:sz w:val="16"/>
              </w:rPr>
              <w:t>Phase 1F assurance case and decision.</w:t>
            </w:r>
          </w:p>
        </w:tc>
      </w:tr>
      <w:tr>
        <w:tc>
          <w:tcPr>
            <w:tcW w:type="dxa" w:w="2304"/>
            <w:tcMar>
              <w:top w:w="95" w:type="dxa"/>
              <w:start w:w="95" w:type="dxa"/>
              <w:bottom w:w="95" w:type="dxa"/>
              <w:end w:w="95" w:type="dxa"/>
            </w:tcMar>
            <w:vAlign w:val="center"/>
            <w:shd w:fill="F3F6F9"/>
          </w:tcPr>
          <w:p>
            <w:pPr>
              <w:spacing w:after="0" w:line="240" w:lineRule="auto"/>
            </w:pPr>
            <w:r>
              <w:rPr>
                <w:rFonts w:ascii="Aptos" w:hAnsi="Aptos"/>
                <w:color w:val="000000"/>
                <w:sz w:val="16"/>
              </w:rPr>
              <w:t>Trainer development</w:t>
            </w:r>
          </w:p>
        </w:tc>
        <w:tc>
          <w:tcPr>
            <w:tcW w:type="dxa" w:w="3024"/>
            <w:tcMar>
              <w:top w:w="95" w:type="dxa"/>
              <w:start w:w="95" w:type="dxa"/>
              <w:bottom w:w="95" w:type="dxa"/>
              <w:end w:w="95" w:type="dxa"/>
            </w:tcMar>
            <w:vAlign w:val="center"/>
            <w:shd w:fill="F3F6F9"/>
          </w:tcPr>
          <w:p>
            <w:pPr>
              <w:spacing w:after="0" w:line="240" w:lineRule="auto"/>
            </w:pPr>
            <w:r>
              <w:rPr>
                <w:rFonts w:ascii="Aptos" w:hAnsi="Aptos"/>
                <w:color w:val="000000"/>
                <w:sz w:val="16"/>
              </w:rPr>
              <w:t>Parallel and extended</w:t>
            </w:r>
          </w:p>
        </w:tc>
        <w:tc>
          <w:tcPr>
            <w:tcW w:type="dxa" w:w="4464"/>
            <w:tcMar>
              <w:top w:w="95" w:type="dxa"/>
              <w:start w:w="95" w:type="dxa"/>
              <w:bottom w:w="95" w:type="dxa"/>
              <w:end w:w="95" w:type="dxa"/>
            </w:tcMar>
            <w:vAlign w:val="center"/>
            <w:shd w:fill="F3F6F9"/>
          </w:tcPr>
          <w:p>
            <w:pPr>
              <w:spacing w:after="0" w:line="240" w:lineRule="auto"/>
            </w:pPr>
            <w:r>
              <w:rPr>
                <w:rFonts w:ascii="Aptos" w:hAnsi="Aptos"/>
                <w:color w:val="000000"/>
                <w:sz w:val="16"/>
              </w:rPr>
              <w:t>Local faculty capable of delivery and coaching.</w:t>
            </w:r>
          </w:p>
        </w:tc>
      </w:tr>
      <w:tr>
        <w:tc>
          <w:tcPr>
            <w:tcW w:type="dxa" w:w="2304"/>
            <w:tcMar>
              <w:top w:w="95" w:type="dxa"/>
              <w:start w:w="95" w:type="dxa"/>
              <w:bottom w:w="95" w:type="dxa"/>
              <w:end w:w="95" w:type="dxa"/>
            </w:tcMar>
            <w:vAlign w:val="center"/>
          </w:tcPr>
          <w:p>
            <w:pPr>
              <w:spacing w:after="0" w:line="240" w:lineRule="auto"/>
            </w:pPr>
            <w:r>
              <w:rPr>
                <w:rFonts w:ascii="Aptos" w:hAnsi="Aptos"/>
                <w:color w:val="000000"/>
                <w:sz w:val="16"/>
              </w:rPr>
              <w:t>Post-course follow-up</w:t>
            </w:r>
          </w:p>
        </w:tc>
        <w:tc>
          <w:tcPr>
            <w:tcW w:type="dxa" w:w="3024"/>
            <w:tcMar>
              <w:top w:w="95" w:type="dxa"/>
              <w:start w:w="95" w:type="dxa"/>
              <w:bottom w:w="95" w:type="dxa"/>
              <w:end w:w="95" w:type="dxa"/>
            </w:tcMar>
            <w:vAlign w:val="center"/>
          </w:tcPr>
          <w:p>
            <w:pPr>
              <w:spacing w:after="0" w:line="240" w:lineRule="auto"/>
            </w:pPr>
            <w:r>
              <w:rPr>
                <w:rFonts w:ascii="Aptos" w:hAnsi="Aptos"/>
                <w:color w:val="000000"/>
                <w:sz w:val="16"/>
              </w:rPr>
              <w:t>At 30, 60 and 90 days</w:t>
            </w:r>
          </w:p>
        </w:tc>
        <w:tc>
          <w:tcPr>
            <w:tcW w:type="dxa" w:w="4464"/>
            <w:tcMar>
              <w:top w:w="95" w:type="dxa"/>
              <w:start w:w="95" w:type="dxa"/>
              <w:bottom w:w="95" w:type="dxa"/>
              <w:end w:w="95" w:type="dxa"/>
            </w:tcMar>
            <w:vAlign w:val="center"/>
          </w:tcPr>
          <w:p>
            <w:pPr>
              <w:spacing w:after="0" w:line="240" w:lineRule="auto"/>
            </w:pPr>
            <w:r>
              <w:rPr>
                <w:rFonts w:ascii="Aptos" w:hAnsi="Aptos"/>
                <w:color w:val="000000"/>
                <w:sz w:val="16"/>
              </w:rPr>
              <w:t>Adoption evidence, corrections and management decisions.</w:t>
            </w:r>
          </w:p>
        </w:tc>
      </w:tr>
    </w:tbl>
    <w:p>
      <w:pPr>
        <w:spacing w:after="20"/>
      </w:pPr>
    </w:p>
    <w:p>
      <w:pPr>
        <w:pStyle w:val="Heading1"/>
      </w:pPr>
      <w:r>
        <w:t>15 Immediate next work products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5"/>
        <w:gridCol w:w="3365"/>
        <w:gridCol w:w="3365"/>
      </w:tblGrid>
      <w:tr>
        <w:trPr>
          <w:tblHeader w:val="true"/>
        </w:trPr>
        <w:tc>
          <w:tcPr>
            <w:tcW w:type="dxa" w:w="1008"/>
            <w:shd w:fill="17365D"/>
            <w:tcMar>
              <w:top w:w="95" w:type="dxa"/>
              <w:start w:w="95" w:type="dxa"/>
              <w:bottom w:w="95" w:type="dxa"/>
              <w:end w:w="95" w:type="dxa"/>
            </w:tcMar>
            <w:vAlign w:val="center"/>
          </w:tcPr>
          <w:p>
            <w:pPr>
              <w:spacing w:after="0"/>
              <w:jc w:val="center"/>
            </w:pPr>
            <w:r>
              <w:rPr>
                <w:rFonts w:ascii="Aptos" w:hAnsi="Aptos"/>
                <w:b/>
                <w:color w:val="FFFFFF"/>
                <w:sz w:val="16"/>
              </w:rPr>
              <w:t>Order</w:t>
            </w:r>
          </w:p>
        </w:tc>
        <w:tc>
          <w:tcPr>
            <w:tcW w:type="dxa" w:w="3600"/>
            <w:shd w:fill="17365D"/>
            <w:tcMar>
              <w:top w:w="95" w:type="dxa"/>
              <w:start w:w="95" w:type="dxa"/>
              <w:bottom w:w="95" w:type="dxa"/>
              <w:end w:w="95" w:type="dxa"/>
            </w:tcMar>
            <w:vAlign w:val="center"/>
          </w:tcPr>
          <w:p>
            <w:pPr>
              <w:spacing w:after="0"/>
              <w:jc w:val="center"/>
            </w:pPr>
            <w:r>
              <w:rPr>
                <w:rFonts w:ascii="Aptos" w:hAnsi="Aptos"/>
                <w:b/>
                <w:color w:val="FFFFFF"/>
                <w:sz w:val="16"/>
              </w:rPr>
              <w:t>Product</w:t>
            </w:r>
          </w:p>
        </w:tc>
        <w:tc>
          <w:tcPr>
            <w:tcW w:type="dxa" w:w="5184"/>
            <w:shd w:fill="17365D"/>
            <w:tcMar>
              <w:top w:w="95" w:type="dxa"/>
              <w:start w:w="95" w:type="dxa"/>
              <w:bottom w:w="95" w:type="dxa"/>
              <w:end w:w="95" w:type="dxa"/>
            </w:tcMar>
            <w:vAlign w:val="center"/>
          </w:tcPr>
          <w:p>
            <w:pPr>
              <w:spacing w:after="0"/>
              <w:jc w:val="center"/>
            </w:pPr>
            <w:r>
              <w:rPr>
                <w:rFonts w:ascii="Aptos" w:hAnsi="Aptos"/>
                <w:b/>
                <w:color w:val="FFFFFF"/>
                <w:sz w:val="16"/>
              </w:rPr>
              <w:t>Purpose</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1</w:t>
            </w:r>
          </w:p>
        </w:tc>
        <w:tc>
          <w:tcPr>
            <w:tcW w:type="dxa" w:w="3600"/>
            <w:tcMar>
              <w:top w:w="95" w:type="dxa"/>
              <w:start w:w="95" w:type="dxa"/>
              <w:bottom w:w="95" w:type="dxa"/>
              <w:end w:w="95" w:type="dxa"/>
            </w:tcMar>
            <w:vAlign w:val="center"/>
          </w:tcPr>
          <w:p>
            <w:pPr>
              <w:spacing w:after="0" w:line="240" w:lineRule="auto"/>
            </w:pPr>
            <w:r>
              <w:rPr>
                <w:rFonts w:ascii="Aptos" w:hAnsi="Aptos"/>
                <w:color w:val="000000"/>
                <w:sz w:val="16"/>
              </w:rPr>
              <w:t>Phase 2 curriculum blueprint</w:t>
            </w:r>
          </w:p>
        </w:tc>
        <w:tc>
          <w:tcPr>
            <w:tcW w:type="dxa" w:w="5184"/>
            <w:tcMar>
              <w:top w:w="95" w:type="dxa"/>
              <w:start w:w="95" w:type="dxa"/>
              <w:bottom w:w="95" w:type="dxa"/>
              <w:end w:w="95" w:type="dxa"/>
            </w:tcMar>
            <w:vAlign w:val="center"/>
          </w:tcPr>
          <w:p>
            <w:pPr>
              <w:spacing w:after="0" w:line="240" w:lineRule="auto"/>
            </w:pPr>
            <w:r>
              <w:rPr>
                <w:rFonts w:ascii="Aptos" w:hAnsi="Aptos"/>
                <w:color w:val="000000"/>
                <w:sz w:val="16"/>
              </w:rPr>
              <w:t>Define competencies, modules, pathways, prerequisites, hours and assessments.</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2</w:t>
            </w:r>
          </w:p>
        </w:tc>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6"/>
              </w:rPr>
              <w:t>Module 1 detailed lesson package</w:t>
            </w:r>
          </w:p>
        </w:tc>
        <w:tc>
          <w:tcPr>
            <w:tcW w:type="dxa" w:w="5184"/>
            <w:tcMar>
              <w:top w:w="95" w:type="dxa"/>
              <w:start w:w="95" w:type="dxa"/>
              <w:bottom w:w="95" w:type="dxa"/>
              <w:end w:w="95" w:type="dxa"/>
            </w:tcMar>
            <w:vAlign w:val="center"/>
            <w:shd w:fill="F3F6F9"/>
          </w:tcPr>
          <w:p>
            <w:pPr>
              <w:spacing w:after="0" w:line="240" w:lineRule="auto"/>
            </w:pPr>
            <w:r>
              <w:rPr>
                <w:rFonts w:ascii="Aptos" w:hAnsi="Aptos"/>
                <w:color w:val="000000"/>
                <w:sz w:val="16"/>
              </w:rPr>
              <w:t>Establish the production standard for objectives, instruction, exercises, datasets, facilitator notes and assessment.</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3</w:t>
            </w:r>
          </w:p>
        </w:tc>
        <w:tc>
          <w:tcPr>
            <w:tcW w:type="dxa" w:w="3600"/>
            <w:tcMar>
              <w:top w:w="95" w:type="dxa"/>
              <w:start w:w="95" w:type="dxa"/>
              <w:bottom w:w="95" w:type="dxa"/>
              <w:end w:w="95" w:type="dxa"/>
            </w:tcMar>
            <w:vAlign w:val="center"/>
          </w:tcPr>
          <w:p>
            <w:pPr>
              <w:spacing w:after="0" w:line="240" w:lineRule="auto"/>
            </w:pPr>
            <w:r>
              <w:rPr>
                <w:rFonts w:ascii="Aptos" w:hAnsi="Aptos"/>
                <w:color w:val="000000"/>
                <w:sz w:val="16"/>
              </w:rPr>
              <w:t>Practical laboratory design standard</w:t>
            </w:r>
          </w:p>
        </w:tc>
        <w:tc>
          <w:tcPr>
            <w:tcW w:type="dxa" w:w="5184"/>
            <w:tcMar>
              <w:top w:w="95" w:type="dxa"/>
              <w:start w:w="95" w:type="dxa"/>
              <w:bottom w:w="95" w:type="dxa"/>
              <w:end w:w="95" w:type="dxa"/>
            </w:tcMar>
            <w:vAlign w:val="center"/>
          </w:tcPr>
          <w:p>
            <w:pPr>
              <w:spacing w:after="0" w:line="240" w:lineRule="auto"/>
            </w:pPr>
            <w:r>
              <w:rPr>
                <w:rFonts w:ascii="Aptos" w:hAnsi="Aptos"/>
                <w:color w:val="000000"/>
                <w:sz w:val="16"/>
              </w:rPr>
              <w:t>Specify controlled data, expected artefacts, verification, difficulty and scoring.</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4</w:t>
            </w:r>
          </w:p>
        </w:tc>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6"/>
              </w:rPr>
              <w:t>Competency and assessment framework</w:t>
            </w:r>
          </w:p>
        </w:tc>
        <w:tc>
          <w:tcPr>
            <w:tcW w:type="dxa" w:w="5184"/>
            <w:tcMar>
              <w:top w:w="95" w:type="dxa"/>
              <w:start w:w="95" w:type="dxa"/>
              <w:bottom w:w="95" w:type="dxa"/>
              <w:end w:w="95" w:type="dxa"/>
            </w:tcMar>
            <w:vAlign w:val="center"/>
            <w:shd w:fill="F3F6F9"/>
          </w:tcPr>
          <w:p>
            <w:pPr>
              <w:spacing w:after="0" w:line="240" w:lineRule="auto"/>
            </w:pPr>
            <w:r>
              <w:rPr>
                <w:rFonts w:ascii="Aptos" w:hAnsi="Aptos"/>
                <w:color w:val="000000"/>
                <w:sz w:val="16"/>
              </w:rPr>
              <w:t>Define observable performance by role and level.</w:t>
            </w:r>
          </w:p>
        </w:tc>
      </w:tr>
      <w:tr>
        <w:tc>
          <w:tcPr>
            <w:tcW w:type="dxa" w:w="1008"/>
            <w:tcMar>
              <w:top w:w="95" w:type="dxa"/>
              <w:start w:w="95" w:type="dxa"/>
              <w:bottom w:w="95" w:type="dxa"/>
              <w:end w:w="95" w:type="dxa"/>
            </w:tcMar>
            <w:vAlign w:val="center"/>
          </w:tcPr>
          <w:p>
            <w:pPr>
              <w:spacing w:after="0" w:line="240" w:lineRule="auto"/>
            </w:pPr>
            <w:r>
              <w:rPr>
                <w:rFonts w:ascii="Aptos" w:hAnsi="Aptos"/>
                <w:color w:val="000000"/>
                <w:sz w:val="16"/>
              </w:rPr>
              <w:t>5</w:t>
            </w:r>
          </w:p>
        </w:tc>
        <w:tc>
          <w:tcPr>
            <w:tcW w:type="dxa" w:w="3600"/>
            <w:tcMar>
              <w:top w:w="95" w:type="dxa"/>
              <w:start w:w="95" w:type="dxa"/>
              <w:bottom w:w="95" w:type="dxa"/>
              <w:end w:w="95" w:type="dxa"/>
            </w:tcMar>
            <w:vAlign w:val="center"/>
          </w:tcPr>
          <w:p>
            <w:pPr>
              <w:spacing w:after="0" w:line="240" w:lineRule="auto"/>
            </w:pPr>
            <w:r>
              <w:rPr>
                <w:rFonts w:ascii="Aptos" w:hAnsi="Aptos"/>
                <w:color w:val="000000"/>
                <w:sz w:val="16"/>
              </w:rPr>
              <w:t>Facilitator and train-the-trainer framework</w:t>
            </w:r>
          </w:p>
        </w:tc>
        <w:tc>
          <w:tcPr>
            <w:tcW w:type="dxa" w:w="5184"/>
            <w:tcMar>
              <w:top w:w="95" w:type="dxa"/>
              <w:start w:w="95" w:type="dxa"/>
              <w:bottom w:w="95" w:type="dxa"/>
              <w:end w:w="95" w:type="dxa"/>
            </w:tcMar>
            <w:vAlign w:val="center"/>
          </w:tcPr>
          <w:p>
            <w:pPr>
              <w:spacing w:after="0" w:line="240" w:lineRule="auto"/>
            </w:pPr>
            <w:r>
              <w:rPr>
                <w:rFonts w:ascii="Aptos" w:hAnsi="Aptos"/>
                <w:color w:val="000000"/>
                <w:sz w:val="16"/>
              </w:rPr>
              <w:t>Enable consistent delivery and national adaptation.</w:t>
            </w:r>
          </w:p>
        </w:tc>
      </w:tr>
      <w:tr>
        <w:tc>
          <w:tcPr>
            <w:tcW w:type="dxa" w:w="1008"/>
            <w:tcMar>
              <w:top w:w="95" w:type="dxa"/>
              <w:start w:w="95" w:type="dxa"/>
              <w:bottom w:w="95" w:type="dxa"/>
              <w:end w:w="95" w:type="dxa"/>
            </w:tcMar>
            <w:vAlign w:val="center"/>
            <w:shd w:fill="F3F6F9"/>
          </w:tcPr>
          <w:p>
            <w:pPr>
              <w:spacing w:after="0" w:line="240" w:lineRule="auto"/>
            </w:pPr>
            <w:r>
              <w:rPr>
                <w:rFonts w:ascii="Aptos" w:hAnsi="Aptos"/>
                <w:color w:val="000000"/>
                <w:sz w:val="16"/>
              </w:rPr>
              <w:t>6</w:t>
            </w:r>
          </w:p>
        </w:tc>
        <w:tc>
          <w:tcPr>
            <w:tcW w:type="dxa" w:w="3600"/>
            <w:tcMar>
              <w:top w:w="95" w:type="dxa"/>
              <w:start w:w="95" w:type="dxa"/>
              <w:bottom w:w="95" w:type="dxa"/>
              <w:end w:w="95" w:type="dxa"/>
            </w:tcMar>
            <w:vAlign w:val="center"/>
            <w:shd w:fill="F3F6F9"/>
          </w:tcPr>
          <w:p>
            <w:pPr>
              <w:spacing w:after="0" w:line="240" w:lineRule="auto"/>
            </w:pPr>
            <w:r>
              <w:rPr>
                <w:rFonts w:ascii="Aptos" w:hAnsi="Aptos"/>
                <w:color w:val="000000"/>
                <w:sz w:val="16"/>
              </w:rPr>
              <w:t>Learning platform and content-publication plan</w:t>
            </w:r>
          </w:p>
        </w:tc>
        <w:tc>
          <w:tcPr>
            <w:tcW w:type="dxa" w:w="5184"/>
            <w:tcMar>
              <w:top w:w="95" w:type="dxa"/>
              <w:start w:w="95" w:type="dxa"/>
              <w:bottom w:w="95" w:type="dxa"/>
              <w:end w:w="95" w:type="dxa"/>
            </w:tcMar>
            <w:vAlign w:val="center"/>
            <w:shd w:fill="F3F6F9"/>
          </w:tcPr>
          <w:p>
            <w:pPr>
              <w:spacing w:after="0" w:line="240" w:lineRule="auto"/>
            </w:pPr>
            <w:r>
              <w:rPr>
                <w:rFonts w:ascii="Aptos" w:hAnsi="Aptos"/>
                <w:color w:val="000000"/>
                <w:sz w:val="16"/>
              </w:rPr>
              <w:t>Decide how materials, exercises, updates and learner evidence will be managed.</w:t>
            </w:r>
          </w:p>
        </w:tc>
      </w:tr>
    </w:tbl>
    <w:p>
      <w:pPr>
        <w:spacing w:after="20"/>
      </w:pPr>
    </w:p>
    <w:p>
      <w:pPr>
        <w:pStyle w:val="Heading1"/>
      </w:pPr>
      <w:r>
        <w:t>Final recommendation</w:t>
      </w:r>
    </w:p>
    <w:p>
      <w:r>
        <w:t>Phase 1 should be accepted as the programme’s Version 1 operational foundation. Begin Phase 2 with the curriculum blueprint, while treating the first country application as the formal field test that will generate Version 1.1 of the diagnostic package. The next deliverable should be the Phase 2 Curriculum Blueprint and Competency Architecture, not a website or a sequence of isolated lessons.</w:t>
      </w:r>
    </w:p>
    <w:sectPr w:rsidR="00FC693F" w:rsidRPr="0006063C" w:rsidSect="00034616">
      <w:footerReference w:type="default" r:id="rId9"/>
      <w:pgSz w:w="12240" w:h="15840"/>
      <w:pgMar w:top="1037" w:right="1037" w:bottom="979"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Phase 1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36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Package Review and Phase 2 Design Brief</dc:title>
  <dc:subject/>
  <dc:creator>National Information Ecosystem and AI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